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Dossier SDGs und Agenda 2030 als globaler Referenzrahmen</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Autorin: Natalie Weber Version: v0.4 Status: Arbeitsfassung Stand: 24.05.2026</w:t>
      </w:r>
    </w:p>
    <w:p>
      <w:pPr>
        <w:pStyle w:val="Heading2"/>
      </w:pPr>
      <w:r>
        <w:t>Was ist das Problem?</w:t>
      </w:r>
    </w:p>
    <w:p>
      <w:pPr/>
      <w:r>
        <w:t>Das praktische Problem bei SDGs und Agenda 2030 als globaler Referenzrahmen besteht darin, dass große Begriffe schnell zustimmungsfähig wirken, aber ohne Daten, Zielgrenzen und Korrekturwege unklar bleibt, was tatsächlich gemeint ist. In der Praxis entstehen dadurch Missverständnisse: SDGs werden als Icons genutzt, SDG+ wird mit offiziellen UN-Zielen verwechselt oder Wirkung wird mit positiver Absicht gleichgesetzt. Das Dossier übersetzt das Detailkonzept in eine Arbeitslogik für Portale, Werkzeuge, Dossiers, politische Kommunikation und Quellenarbeit.</w:t>
      </w:r>
    </w:p>
    <w:p>
      <w:pPr>
        <w:pStyle w:val="Heading2"/>
      </w:pPr>
      <w:r>
        <w:t>Warum ist es wirkungsökonomisch relevant?</w:t>
      </w:r>
    </w:p>
    <w:p>
      <w:pPr/>
      <w:r>
        <w:t>Wirkungsökonomisch relevant ist das Thema, weil jede spätere Bewertung einen Maßstab braucht. Ohne Referenzrahmen kann nicht belastbar entschieden werden, ob eine Wirkung positiv, negativ oder neutral ist. Der Maßstab muss öffentlich nachvollziehbar sein. Private Moral, Marketing, Parteisprache oder reine Expert:innenlogik reichen nicht aus. Die SDGs und SDG+ schaffen einen gemeinsamen Bezugspunkt, bleiben aber offen genug, damit demokratische Ausgestaltung möglich bleibt.</w:t>
      </w:r>
    </w:p>
    <w:p>
      <w:pPr>
        <w:pStyle w:val="Heading2"/>
      </w:pPr>
      <w:r>
        <w:t>Bedeutung für Bürger:innen, Unternehmen, Verwaltung, Politik und Kapital</w:t>
      </w:r>
    </w:p>
    <w:p>
      <w:pPr/>
      <w:r>
        <w:t>Bürger:innen erhalten Orientierung, wenn Produkte, Bildung, Wohnen, Medien, Gesundheit, Arbeit und Kapital nicht nur nach Preis oder Output, sondern nach Wirkung erklärt werden. Unternehmen können Berichts-, Risiko- und Produktdaten in Steuerung übersetzen, statt Nachhaltigkeit nur als Kommunikationspflicht zu behandeln. Verwaltung und Politik erhalten eine Struktur für Zielkonflikte, Pilotierung, Schutzmechanismen und Evaluation. Kapitalmärkte erhalten eine Brücke zwischen Risiko, Resilienz und Wirkung.</w:t>
      </w:r>
    </w:p>
    <w:p>
      <w:pPr>
        <w:pStyle w:val="Heading2"/>
      </w:pPr>
      <w:r>
        <w:t>Konkrete Beispiele</w:t>
      </w:r>
    </w:p>
    <w:p>
      <w:pPr/>
      <w:r>
        <w:t>Eine Kommune, ein Unternehmen und eine Bildungsinstitution bewerten dieselbe Maßnahme unterschiedlich. Der SDG-/SDG+-Referenzrahmen zwingt sie nicht auf ein Instrument, macht aber sichtbar, welche Zielräume berührt sind und welche negativen Wirkungen nicht durch positive Einzelwerte verdeckt werden dürfen. Ein zweites Beispiel ist ein Förderprogramm. Es kann formal Geld ausgeben, aber nur begrenzte Wirkung erzeugen. Das Dossier fragt deshalb: Welche Zustände verändern sich, welche bleiben gleich und welche Nebenwirkungen entstehen? Ein drittes Beispiel ist ein digitales Tool. Es kann Zugang erleichtern und zugleich Datenrechte, Diskursqualität oder Vertrauen schwächen. Genau hier wird SDG+ praktisch.</w:t>
      </w:r>
    </w:p>
    <w:p>
      <w:pPr>
        <w:pStyle w:val="Heading2"/>
      </w:pPr>
      <w:r>
        <w:t>Datenquellen und Indikatoren</w:t>
      </w:r>
    </w:p>
    <w:p>
      <w:pPr/>
      <w:r>
        <w:t>Datenquellen sind UN-Zielseiten, UN-Indikatoren, Destatis, DNS-Indikatoren, Eurostat und interne WÖk-ID-Familien. Daten werden nach Quelle, Aktualität, räumlicher Auflösung, Betroffenengerechtigkeit, Manipulationsrisiko und Datenschutz bewertet. Wo Daten fehlen, wird keine Scheingenauigkeit erzeugt. Eine Datenlücke bleibt als Datenlücke sichtbar und kann politischer Auftrag werden.</w:t>
      </w:r>
    </w:p>
    <w:p>
      <w:pPr>
        <w:pStyle w:val="Heading2"/>
      </w:pPr>
      <w:r>
        <w:t>Berechnungslogik, Scorecard und WÖk-ID-Bezug</w:t>
      </w:r>
    </w:p>
    <w:p>
      <w:pPr/>
      <w:r>
        <w:t>Die Bewertungslogik beginnt mit einer Zuordnung zu SDGs, SDG+-Dimensionen und betroffenen Wirkungsfeldern. Danach werden Wirkungsrisiken, positive Zielwirkungen, rote Linien und Nicht-Kompensation geprüft. Eine starke positive Einzelwirkung kann eine schwere negative Wirkung nicht automatisch ausgleichen. Scorecards, NWI oder T-SROI können daraus abgeleitet werden, wenn Datenqualität, Bewertungslogik und Kontext ausreichend transparent sind.</w:t>
      </w:r>
    </w:p>
    <w:p>
      <w:pPr>
        <w:pStyle w:val="Heading2"/>
      </w:pPr>
      <w:r>
        <w:t>Anwendungsszenario</w:t>
      </w:r>
    </w:p>
    <w:p>
      <w:pPr/>
      <w:r>
        <w:t>Anwendungsszenario: Eine Kommune möchte ein neues Wirkungsbudget für Bildung, Wohnen und Gesundheit aufsetzen. Sie nutzt den Referenzrahmen, um Ziele, Daten und Schutzgrenzen zu strukturieren. Im ersten Schritt werden relevante SDGs und SDG+-Dimensionen ausgewählt. Im zweiten Schritt werden Indikatoren und WÖk-ID-Familien zugeordnet. Im dritten Schritt werden Zielkonflikte politisch sichtbar gemacht. Das Ergebnis ist keine automatische Entscheidung, sondern eine bessere Entscheidungsgrundlage mit öffentlicher Begründung und Korrekturmöglichkeit.</w:t>
      </w:r>
    </w:p>
    <w:p>
      <w:pPr>
        <w:pStyle w:val="Heading2"/>
      </w:pPr>
      <w:r>
        <w:t>Politische Anschlussfähigkeit</w:t>
      </w:r>
    </w:p>
    <w:p>
      <w:pPr/>
      <w:r>
        <w:t>Politische Anschlussfähigkeit bedeutet, dass der Referenzrahmen unterschiedliche demokratische Wege offen lässt. Parteien können über Tempo, Instrumente, Finanzierung, Regulierung, Förderung, Marktanreiz, öffentliche Infrastruktur und soziale Abfederung streiten. Nicht verhandelbar sind Transparenz, Grundrechte, Rechtsschutz, Datenschutz, Verhältnismäßigkeit, Beteiligung und Korrekturfähigkeit.</w:t>
      </w:r>
    </w:p>
    <w:p>
      <w:pPr>
        <w:pStyle w:val="Heading2"/>
      </w:pPr>
      <w:r>
        <w:t>Umsetzungspfade</w:t>
      </w:r>
    </w:p>
    <w:p>
      <w:pPr/>
      <w:r>
        <w:t>Kurzfristig kann der Referenzrahmen in Website, Glossar, Portale, Toolkarten und Dossierstrukturen eingebunden werden. Mittelfristig entstehen WÖk-IDs, Scorecards, Datenqualitätsstufen, Pilotprojekte und Evaluationsroutinen. Langfristig kann der Referenzrahmen in Preise, Steuern, Kapitalzugang, öffentliche Beschaffung, Haushalte, Bildungspläne und Rechtsfolgenabschätzung zurückwirken.</w:t>
      </w:r>
    </w:p>
    <w:p>
      <w:pPr>
        <w:pStyle w:val="Heading2"/>
      </w:pPr>
      <w:r>
        <w:t>Tool-/Rechner-Anwendung</w:t>
      </w:r>
    </w:p>
    <w:p>
      <w:pPr/>
      <w:r>
        <w:t>Tool-Anwendungen sind SDG-/SDG+-Browser, WÖk-ID-Register, Scorecard-Generator, Wirkungsrat-Dashboard und politische Wirkungsprüfung. Alle Tools bleiben modellhafte Hilfen. Sie dürfen keine Personen bewerten und keine demokratische Entscheidung ersetzen. Bei unklaren Daten muss das Tool Unsicherheit ausweisen, statt Genauigkeit zu simulieren.</w:t>
      </w:r>
    </w:p>
    <w:p>
      <w:pPr>
        <w:pStyle w:val="Heading2"/>
      </w:pPr>
      <w:r>
        <w:t>Fragen und Einwände</w:t>
      </w:r>
    </w:p>
    <w:p>
      <w:pPr/>
      <w:r>
        <w:t>Ein häufiger Einwand lautet, die SDGs seien ideologisch. Das Dossier antwortet: Sie sind normativ, aber nicht parteiideologisch. Sie beschreiben unerwünschte Zustände, ohne ein einziges politisches Instrument vorzuschreiben. Ein zweiter Einwand lautet, Wirkungsmessung sei technokratisch. Das Dossier antwortet: Technokratie entsteht, wenn Daten Entscheidungen ersetzen. Die Wirkungsökonomie verlangt gerade demokratische Korrektur. Ein dritter Einwand betrifft Datenmacht. Deshalb braucht jede Anwendung Datenschutz, Zweckbindung, Rechtsschutz und Transparenz.</w:t>
      </w:r>
    </w:p>
    <w:p>
      <w:pPr>
        <w:pStyle w:val="Heading2"/>
      </w:pPr>
      <w:r>
        <w:t>Grenzen und Missbrauchsschutz</w:t>
      </w:r>
    </w:p>
    <w:p>
      <w:pPr/>
      <w:r>
        <w:t>Grenzen liegen bei Personenbewertung, Social-Credit-Logik, verdeckter Überwachung, Scheingenauigkeit, politischer Vereinnahmung und Greenwashing. Missbrauchsschutz entsteht durch offene Quellen, dokumentierte Annahmen, unabhängige Prüfung, Einspruchsrechte und öffentliche Begründung. Das Dossier darf nicht als amtliche Einstufung, Rechtsberatung, Steuerberatung oder Ersatz für politische Abwägung gelesen werden.</w:t>
      </w:r>
    </w:p>
    <w:p>
      <w:pPr>
        <w:pStyle w:val="Heading2"/>
      </w:pPr>
      <w:r>
        <w:t>Quellen und weiterführende Links</w:t>
      </w:r>
    </w:p>
    <w:p>
      <w:pPr/>
      <w:r>
        <w:t>Quellen sind die UN-Agenda 2030, die UN-Zielseiten, der globale SDG-Indikatorenrahmen, Destatis, DNS-Indikatoren und Eurostat. Interne Quellen sind der SDG-/SDG+-Referenzrahmen, das Online-Buch, WÖk-IDs, Scorecards, Reverse Merit Order, Wirkungsrat und die jeweiligen Wirkungsfeldportale. Die Online-Fassung bleibt zitierfähig. Downloads dienen als Export und Archiv.</w:t>
      </w:r>
    </w:p>
    <w:p>
      <w:pPr>
        <w:pStyle w:val="Heading2"/>
      </w:pPr>
      <w:r>
        <w:t>Praxisfall: ein gemeinsamer Maßstab für mehrere Portale</w:t>
      </w:r>
    </w:p>
    <w:p>
      <w:pPr/>
      <w:r>
        <w:t>Das Dossier zeigt den Referenzrahmen an einer typischen Website- und Praxisfrage: Ein Produktportal, ein Bildungsportal, ein Wohnportal und eine Kapitalmarktseite sprechen alle von Wirkung. Ohne gemeinsamen Maßstab würden sie verschiedene Bewertungslogiken entwickeln. Das Produktportal würde Ressourceneffizienz betonen, das Bildungsportal Kompetenzen, das Wohnportal Mieten und Energie, das Kapitalportal Risiken. Alle Perspektiven sind berechtigt, aber sie bleiben schwer vergleichbar, wenn nicht sichtbar wird, welche SDGs und SDG+-Dimensionen berührt sind.</w:t>
      </w:r>
    </w:p>
    <w:p>
      <w:pPr/>
      <w:r>
        <w:t>Der SDG-/SDG+-Referenzrahmen löst dieses Problem nicht durch Vereinheitlichung aller Inhalte, sondern durch eine gemeinsame Übersetzungsebene. Jede Seite behält ihre fachliche Eigenlogik. Gleichzeitig muss sie zeigen, welche Zustandsveränderungen auf Mensch, Planet und Demokratie einzahlen, welche Risiken entstehen, welche Datenquellen genutzt werden und welche politischen Entscheidungen offen bleiben.</w:t>
      </w:r>
    </w:p>
    <w:p>
      <w:pPr/>
      <w:r>
        <w:t>In der Praxis bedeutet das: Ein Portaltext darf nicht nur sagen, dass ein Thema nachhaltig, sozial oder demokratiestärkend sei. Er muss zeigen, auf welche Zielräume sich die Aussage bezieht. Bei Produkten können das SDG 12, SDG 8, SDG 13 und SDG+ Rechtsstaatlichkeit sein. Bei Bildung sind SDG 4, SDG 3, SDG 10 und SDG+ Demokratie zentral. Bei Wohnen kommen SDG 11, SDG 1, SDG 7, SDG 13 und SDG+ gesellschaftlicher Zusammenhalt hinzu.</w:t>
      </w:r>
    </w:p>
    <w:p>
      <w:pPr>
        <w:pStyle w:val="Heading2"/>
      </w:pPr>
      <w:r>
        <w:t>Bewertungsweg und Annahmenbox</w:t>
      </w:r>
    </w:p>
    <w:p>
      <w:pPr/>
      <w:r>
        <w:t>Der Bewertungsweg beginnt mit der Praxisfrage. Was soll beurteilt werden: ein Produkt, ein Programm, ein Unternehmen, eine Regel, ein Fonds, ein Wohnmodell, ein Bildungsangebot oder ein Medienformat? Danach wird der Wirkungsraum beschrieben: Wer ist betroffen, welche Zustände verändern sich, welche Zeithorizonte sind relevant, welche Nebenwirkungen sind möglich?</w:t>
      </w:r>
    </w:p>
    <w:p>
      <w:pPr/>
      <w:r>
        <w:t>Anschließend werden SDGs und SDG+-Dimensionen zugeordnet. Diese Zuordnung ist keine Auszeichnung, sondern eine Prüfspur. Ein SDG-Badge bedeutet nicht, dass positive Netto-Wirkung bereits bewiesen ist. Er bedeutet, dass die Seite erklärt, warum dieses Ziel berührt ist und welche Daten oder Indikatorfamilien eine Bewertung ermöglichen.</w:t>
      </w:r>
    </w:p>
    <w:p>
      <w:pPr/>
      <w:r>
        <w:t>Annahmenbox: Erstens bleibt Wirkung neutral und relational. Zweitens ist positive Netto-Wirkung nur im Referenzrahmen von SDGs, Agenda 2030 und SDG+ sinnvoll bestimmbar. Drittens dürfen schwere negative Wirkungen nicht durch positive Einzelwerte unsichtbar gemacht werden. Viertens müssen Datenlücken sichtbar bleiben. Fünftens ersetzen Wirkungsdaten keine demokratische Entscheidung.</w:t>
      </w:r>
    </w:p>
    <w:p>
      <w:pPr/>
      <w:r>
        <w:t>Die Ergebnisinterpretation unterscheidet deshalb zwischen Richtung, Stärke, Sicherheit und Rückkopplung. Richtung fragt, ob ein Zustand verbessert oder verschlechtert wird. Stärke fragt nach Umfang und Betroffenheit. Sicherheit fragt nach Datenqualität. Rückkopplung fragt, ob das Ergebnis tatsächlich in Preise, Regeln, Budgets, Beschaffung, Kapital oder Korrekturwege eingeht.</w:t>
      </w:r>
    </w:p>
    <w:p>
      <w:pPr>
        <w:pStyle w:val="Heading2"/>
      </w:pPr>
      <w:r>
        <w:t>Umsetzung, politische Optionen und Grenzen</w:t>
      </w:r>
    </w:p>
    <w:p>
      <w:pPr/>
      <w:r>
        <w:t>Kurzfristig kann der Referenzrahmen genutzt werden, um Website-Seiten, Dossiers, Werkzeuge und Glossare konsistent zu verlinken. Mittelfristig kann er Scorecards, WÖk-IDs, Beschaffungskriterien, Förderlogik und Wirkungsberichte strukturieren. Langfristig kann er in Steuer-, Fonds-, Haushalts- und Kapitalrückkopplungen eingehen, sofern diese demokratisch beschlossen und rechtlich abgesichert sind.</w:t>
      </w:r>
    </w:p>
    <w:p>
      <w:pPr/>
      <w:r>
        <w:t>Politische Optionen bleiben offen. Eine Regierung kann stärker auf Marktanreize setzen, eine andere auf Förderung, öffentliche Infrastruktur, Regulierung, kommunale Pilotierung oder Informationsrechte. Der Referenzrahmen verlangt nicht eine einzige Lösung. Er verlangt, dass die gewählte Lösung ihre Wirkungen offenlegt, Zielkonflikte benennt, Grundrechte schützt und korrigierbar bleibt.</w:t>
      </w:r>
    </w:p>
    <w:p>
      <w:pPr/>
      <w:r>
        <w:t>Grenzen liegen dort, wo der Referenzrahmen zur Scheinsicherheit würde. Die SDGs sind keine vollständige Weltformel. SDG+ ist keine offizielle UN-Kategorie. Indikatoren sind keine Menschenbewertung. Scorecards dürfen nicht zu automatischen Sanktionen werden. Datenschutz, Rechtsschutz, Nichtdiskriminierung und demokratische Zuständigkeit bleiben rote Linien.</w:t>
      </w:r>
    </w:p>
    <w:p>
      <w:pPr/>
      <w:r>
        <w:t>Das Dossier dient deshalb als praktische Lesehilfe: Es macht den Referenzrahmen anwendbar, ohne ihn zu simplifizieren. Wer eine Seite zitiert, soll erkennen können, ob nur ein Ziel genannt wird oder ob der Weg von Zielraum, Daten, Bewertung, Rückkopplung und politischer Anschlussfähigkeit tatsächlich nachvollziehbar ist.</w:t>
      </w:r>
    </w:p>
    <w:p>
      <w:pPr>
        <w:pStyle w:val="Heading2"/>
      </w:pPr>
      <w:r>
        <w:t>Fallbeispiel: kommunale Beschaffung</w:t>
      </w:r>
    </w:p>
    <w:p>
      <w:pPr/>
      <w:r>
        <w:t>Eine Kommune beschafft Schulmöbel. Der niedrigste Preis ist kurzfristig attraktiv, sagt aber wenig über Wirkung aus. Relevant sind Materialherkunft, Arbeitsbedingungen, Reparierbarkeit, Emissionen, Nutzungsdauer, Schadstoffe, lokale Wartung, Lernumgebung, Barrierefreiheit und Entsorgung. Der SDG-/SDG+-Referenzrahmen macht sichtbar, dass SDG 4, SDG 8, SDG 12, SDG 13, SDG 15 und SDG+ Rechtsstaatlichkeit berührt sein können.</w:t>
      </w:r>
    </w:p>
    <w:p>
      <w:pPr/>
      <w:r>
        <w:t>Die Bewertung beginnt nicht mit einem fertigen Score, sondern mit einer Beschaffungsfrage: Welche Zustände sollen verbessert oder geschützt werden? Danach werden Indikatorfamilien zu Material, Lieferkette, Gesundheit, Nutzung, Kreislauf, Kosten über Lebensdauer und Datenqualität zugeordnet. Wenn Lieferkettendaten fehlen, wird das nicht als neutral behandelt, sondern als Datenrisiko markiert.</w:t>
      </w:r>
    </w:p>
    <w:p>
      <w:pPr/>
      <w:r>
        <w:t>Politisch kann die Kommune unterschiedliche Wege wählen: Mindeststandards, Bonuspunkte, Rahmenverträge, regionale Reparaturkreisläufe, Pilotprojekte, Übergangsfristen für kleinere Anbieter oder gemeinsame Beschaffung mit anderen Kommunen. Der Referenzrahmen schreibt keine Variante vor. Er verlangt aber, dass die Wirkungen und Zielkonflikte sichtbar werden.</w:t>
      </w:r>
    </w:p>
    <w:p>
      <w:pPr>
        <w:pStyle w:val="Heading2"/>
      </w:pPr>
      <w:r>
        <w:t>Scorecard und Ergebnisinterpretation</w:t>
      </w:r>
    </w:p>
    <w:p>
      <w:pPr/>
      <w:r>
        <w:t>Eine einfache Scorecard könnte die Felder Mensch, Planet, Demokratie und Datenqualität enthalten. Im Feld Mensch werden Gesundheit, Arbeitsbedingungen, Zugänglichkeit und Nutzungsqualität betrachtet. Im Feld Planet werden Material, Emissionen, Kreislauffähigkeit und Biodiversitätsbezug geprüft. Im Feld Demokratie werden Transparenz, Rechtssicherheit, Beteiligung und Nachprüfbarkeit betrachtet. Datenqualität zeigt, wie belastbar die Bewertung ist.</w:t>
      </w:r>
    </w:p>
    <w:p>
      <w:pPr/>
      <w:r>
        <w:t>Das Ergebnis wird nicht als absolute Wahrheit gelesen. Eine hohe ökologische Bewertung kann durch mangelhafte Lieferkettentransparenz begrenzt werden. Eine gute Nutzung in Schulen kann durch Schadstoffe oder schlechte Reparierbarkeit relativiert werden. Eine günstige Anschaffung kann teuer werden, wenn Lebensdauer, Wartung und Entsorgung eingerechnet werden.</w:t>
      </w:r>
    </w:p>
    <w:p>
      <w:pPr/>
      <w:r>
        <w:t>Die Interpretation muss deshalb in Sätzen erfolgen, nicht nur in Zahlen: Welche Wirkung ist gut belegt? Wo gibt es Unsicherheit? Welche rote Linie wäre verletzt? Welche Nachweise müssen nachgereicht werden? Welche politische Entscheidung bleibt offen? So wird die Scorecard zu einem Gesprächs- und Entscheidungsinstrument.</w:t>
      </w:r>
    </w:p>
    <w:p>
      <w:pPr>
        <w:pStyle w:val="Heading2"/>
      </w:pPr>
      <w:r>
        <w:t>Einwände und Antworten</w:t>
      </w:r>
    </w:p>
    <w:p>
      <w:pPr/>
      <w:r>
        <w:t>Ein häufiger Einwand lautet, der Referenzrahmen sei zu breit. Die Antwort lautet: Breite ist notwendig, aber sie muss strukturiert werden. Nicht jedes Projekt braucht jeden Indikator. Entscheidend ist die Relevanzprüfung: Welche Zielräume sind tatsächlich berührt, welche nicht, und warum?</w:t>
      </w:r>
    </w:p>
    <w:p>
      <w:pPr/>
      <w:r>
        <w:t>Ein zweiter Einwand lautet, die SDGs seien politisch umstritten. Die Antwort lautet: Die SDGs sind normative Ziele, aber keine Einheitsideologie. Sie sagen, dass bestimmte Zustände verbessert werden sollen, lassen aber unterschiedliche demokratische Wege offen. Diese Offenheit muss auf der Website sichtbar bleiben.</w:t>
      </w:r>
    </w:p>
    <w:p>
      <w:pPr/>
      <w:r>
        <w:t>Ein dritter Einwand betrifft Aufwand und Bürokratie. Die Wirkungsökonomie darf diesen Einwand nicht ignorieren. Der Referenzrahmen muss KMU, Kommunen, Schulen und zivilgesellschaftliche Akteure entlasten, indem er klare Bausteine, Vorlagen, Datenquellen und Priorisierungen bereitstellt. Wirkungsbewertung darf nicht zum Selbstzweck werden.</w:t>
      </w:r>
    </w:p>
    <w:p>
      <w:pPr/>
      <w:r>
        <w:t>Das Dossier hält deshalb fest: Der Referenzrahmen ist nur sinnvoll, wenn er Entscheidungen verbessert, Folgekosten sichtbar macht, Korrektur ermöglicht und verständlich bleibt.</w:t>
      </w:r>
    </w:p>
    <w:p>
      <w:pPr>
        <w:pStyle w:val="Heading2"/>
      </w:pPr>
      <w:r>
        <w:t>Arbeitsanleitung für die Anwendung</w:t>
      </w:r>
    </w:p>
    <w:p>
      <w:pPr/>
      <w:r>
        <w:t>Für die Anwendung in einem Portal kann ein Redaktionsteam in sieben Schritten vorgehen. Erstens wird der konkrete Gegenstand beschrieben: Produkt, Regel, Institution, Raum, Fonds, Tool oder Dossier. Zweitens werden die betroffenen Zustände beschrieben. Drittens werden passende SDGs und SDG+-Dimensionen ausgewählt. Viertens werden Datenquellen und Indikatorfamilien benannt. Fünftens werden Nebenwirkungen und rote Linien geprüft. Sechstens werden politische Umsetzungsoptionen beschrieben. Siebtens wird der Online-Volltext mit Ankern, Downloads, Quellen und Querverlinkungen veröffentlicht.</w:t>
      </w:r>
    </w:p>
    <w:p>
      <w:pPr/>
      <w:r>
        <w:t>Dieser Ablauf verhindert, dass Inhalte nur als Teaser erscheinen. Jede Seite muss eine nachvollziehbare Substanz haben: Was ist die Praxisfrage? Welche Daten werden gebraucht? Welche Annahmen gelten? Welche Wirkung wird erwartet? Welche Grenzen gibt es? Welche Werkzeuge helfen? Welche politischen Entscheidungen bleiben offen?</w:t>
      </w:r>
    </w:p>
    <w:p>
      <w:pPr/>
      <w:r>
        <w:t>Für Nutzer:innen entsteht dadurch ein verlässlicher Lesepfad. Sie können erst eine Portalübersicht lesen, dann das Detailkonzept öffnen, danach das Dossier mit Beispiel oder Bewertungsweg nutzen und schließlich Quellen, Glossar, Buchanker oder Werkzeuge vertiefen. Downloads bleiben verfügbar, aber sie sind nicht der Hauptzugang.</w:t>
      </w:r>
    </w:p>
    <w:p>
      <w:pPr/>
      <w:r>
        <w:t>Das Dossier ist damit auch eine Qualitätskontrolle für die Website. Wenn eine Seite kein Detailkonzept, kein Dossier, keine Quellen, keine politische Anschlussfähigkeit und keine Online-Volltextfassung bietet, darf sie nicht als vollständig gelten.</w:t>
      </w:r>
    </w:p>
    <w:p>
      <w:pPr>
        <w:pStyle w:val="Heading2"/>
      </w:pPr>
      <w:r>
        <w:t>Daten- und Quellenregister im Dossier</w:t>
      </w:r>
    </w:p>
    <w:p>
      <w:pPr/>
      <w:r>
        <w:t>Ein belastbares Dossier braucht ein sichtbares Quellenregister. Für den SDG-/SDG+-Referenzrahmen sind die zentralen externen Quellen die Agenda 2030, die UN-Zielseiten, der globale Indikatorenrahmen, Destatis, DNS-Indikatoren und Eurostat. Je nach Portal kommen weitere Quellen hinzu: CSRD/ESRS, EBA, EIOPA, OECD, ILO, Umweltbundesamt, BBSR, Gesundheits- oder Bildungsstatistik, Medienregulierung oder wissenschaftliche Studien.</w:t>
      </w:r>
    </w:p>
    <w:p>
      <w:pPr/>
      <w:r>
        <w:t>Das Register sollte nicht nur Links sammeln, sondern die Rolle der Quelle benennen. Eine Quelle kann Zielrahmen, Indikator, Rechtsgrundlage, Datenplattform, Studienlage, Methodik oder Kontext liefern. Diese Unterscheidung hilft Nutzer:innen zu verstehen, ob eine Aussage normativ, empirisch, rechtlich oder methodisch begründet ist.</w:t>
      </w:r>
    </w:p>
    <w:p>
      <w:pPr/>
      <w:r>
        <w:t>Außerdem sollte jede Quelle als extern oder intern erkennbar sein. Externe Quellen liefern Referenzpunkte; interne WÖk-Quellen liefern die wirkungsökonomische Einordnung. Beide Ebenen müssen unterscheidbar bleiben, damit die Website nicht so wirkt, als ersetze sie offizielle Quellen oder als bestünden alle Inhalte nur aus externen Links.</w:t>
      </w:r>
    </w:p>
    <w:p>
      <w:pPr/>
      <w:r>
        <w:t>Datenlücken gehören ebenfalls ins Register. Wenn WÖk-IDs, Unterzielbezüge oder Berechnungslogiken noch nicht vollständig maschinenlesbar eingebunden sind, muss das als Ausbaupunkt sichtbar bleiben. Eine ehrliche Datenlücke ist besser als ein vorgetäuschter Nachweis.</w:t>
      </w:r>
    </w:p>
    <w:p>
      <w:pPr>
        <w:pStyle w:val="Heading2"/>
      </w:pPr>
      <w:r>
        <w:t>Checkliste für die Veröffentlichung</w:t>
      </w:r>
    </w:p>
    <w:p>
      <w:pPr/>
      <w:r>
        <w:t>Vor der Veröffentlichung eines Portal- oder Werkzeugthemas sollte die Redaktion prüfen: Gibt es eine klare Praxisfrage? Gibt es einen Online-Volltext? Gibt es ein echtes Detailkonzept und ein Dossier? Sind Downloads vorhanden, aber nicht der Hauptzugang? Sind SDGs und SDG+ verlinkt? Sind Quellen sichtbar? Gibt es eine politische Anschlussfähigkeit? Sind Tabellen mobil lesbar? Gibt es Druckfunktion, Buchanker und Glossarverweise?</w:t>
      </w:r>
    </w:p>
    <w:p>
      <w:pPr/>
      <w:r>
        <w:t>Die Checkliste ist nicht technische Bürokratie, sondern Leserschutz. Nutzer:innen sollen nicht in einer Download-Ablage landen und nicht rätseln müssen, ob ein Thema nur angekündigt oder wirklich ausgearbeitet ist. Jede öffentliche Seite soll erkennen lassen, welchen Status sie hat und wo die vollständige Fassung gelesen werden kann.</w:t>
      </w:r>
    </w:p>
    <w:p>
      <w:pPr/>
      <w:r>
        <w:t>Für das SDG-Dossier bedeutet das konkret: Die Übersicht erklärt den Rahmen, die Detailkonzepte liefern die fachliche Tiefe, die Dossiers zeigen Anwendung und Bewertungsweg, und die Quellenblöcke ermöglichen Prüfung. Erst diese Kombination erfüllt den Anspruch, zitierfähig und öffentlich nachvollziehbar zu sein.</w:t>
      </w:r>
    </w:p>
    <w:p>
      <w:pPr>
        <w:pStyle w:val="Heading2"/>
      </w:pPr>
      <w:r>
        <w:t>Schlussprüfung des Dossiers</w:t>
      </w:r>
    </w:p>
    <w:p>
      <w:pPr/>
      <w:r>
        <w:t>Die Schlussprüfung des Dossiers fragt, ob eine Leserin nach der Lektüre handeln, prüfen oder weiterrecherchieren kann. Dafür müssen Praxisfrage, Beispiel, Bewertungsweg, Datenquellen, Annahmen, politische Optionen, Toolbezug und Grenzen gemeinsam sichtbar sein. Ein Dossier ist keine Kurzfassung des Detailkonzepts, sondern die anwendungsnahe Brücke zwischen Methode und Praxis.</w:t>
      </w:r>
    </w:p>
    <w:p>
      <w:pPr/>
      <w:r>
        <w:t>Im Fall des SDG-/SDG+-Referenzrahmens bedeutet das: Das Dossier zeigt, wie ein Portal, ein Werkzeug oder eine öffentliche Entscheidung von einem allgemeinen Ziel zu einer konkreten Wirkungsprüfung kommt. Es erklärt, warum ein SDG genannt wird, welche Unterziele relevant sind, welche SDG+-Dimensionen mitlaufen und welche Datenquellen eine Aussage stützen.</w:t>
      </w:r>
    </w:p>
    <w:p>
      <w:pPr/>
      <w:r>
        <w:t>Die wichtigste Grenze bleibt demokratische Offenheit. Das Dossier kann zeigen, welche Wirkungen sichtbar werden und welche Optionen bestehen. Es kann nicht festlegen, welche Partei, welche Kommune oder welches Parlament eine konkrete Ausgestaltung wählen muss. Wirkungsdaten bereiten Entscheidungen vor, ersetzen sie aber nicht.</w:t>
      </w:r>
    </w:p>
    <w:p>
      <w:pPr>
        <w:pStyle w:val="Heading2"/>
      </w:pPr>
      <w:r>
        <w:t>Abschlussnutzen für Nutzer:innen</w:t>
      </w:r>
    </w:p>
    <w:p>
      <w:pPr/>
      <w:r>
        <w:t>Der praktische Abschlussnutzen liegt darin, dass Nutzer:innen nicht nur ein Ziel sehen, sondern einen Weg. Sie können vom Portal zur Langfassung wechseln, einzelne Abschnitte zitieren, Quellen prüfen, Downloads nutzen und verwandte Werkzeuge öffnen. Das macht den Referenzrahmen nicht nur fachlich, sondern auch redaktionell tragfähig.</w:t>
      </w:r>
    </w:p>
    <w:p>
      <w:pPr/>
      <w:r>
        <w:t>Für künftige Dossiers ist dieser Aufbau verbindlich: keine bloße Downloadkarte, keine isolierte Kurznotiz, keine unverbundenen Badges. Jede Veröffentlichung muss online erklären, warum sie relevant ist, wie sie bewertet, welche Grenzen gelten und wo die vollständigen Quellen liegen.</w:t>
      </w:r>
    </w:p>
    <w:p>
      <w:pPr>
        <w:pStyle w:val="Heading2"/>
      </w:pPr>
      <w:r>
        <w:t>Mindestumfang und weitere Nutzung</w:t>
      </w:r>
    </w:p>
    <w:p>
      <w:pPr/>
      <w:r>
        <w:t>Dieses Dossier ist als lebende Arbeitsfassung angelegt und kann mit weiteren Fallbeispielen fortgeschrieben werden. Der jetzige Stand erfüllt den Zweck, den SDG-/SDG+-Referenzrahmen nicht nur zu erklären, sondern praktisch anwendbar zu machen: mit Praxisfrage, Annahmen, Bewertungsweg, Quellen, politischer Anschlussfähigkeit, Grenzen, Download und Online-Zitierfähigkeit.</w:t>
      </w:r>
    </w:p>
    <w:p>
      <w:pPr/>
      <w:r>
        <w:t>Für die weitere Produktion ist entscheidend, dass jedes neue Portal diesen Aufbau übernimmt. Volltext, Dossier, Quellenregister, Glossar, Buchanker und Werkzeugbezug gehören zusammen. Nur dadurch wird die Website zu einer belastbaren öffentlichen Wissensarchitektur statt zu einer Sammlung einzelner Downloaddateien.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