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DETAILKONZEPT-KOMPENDIUM</w:t>
      </w:r>
    </w:p>
    <w:p>
      <w:pPr/>
      <w:r>
        <w:t>Produkte &amp; Konsum / Wirkungsumsatzsteuer</w:t>
      </w:r>
    </w:p>
    <w:p>
      <w:pPr/>
      <w:r>
        <w:t>Umfassende Detailkonzepte zur Produktwirkung, Wirkungsumsatzsteuer und Markttransformation</w:t>
      </w:r>
    </w:p>
    <w:p>
      <w:pPr/>
      <w:r>
        <w:t>Autorin</w:t>
      </w:r>
    </w:p>
    <w:p>
      <w:pPr/>
      <w:r>
        <w:t>Natalie Weber</w:t>
      </w:r>
    </w:p>
    <w:p>
      <w:pPr/>
      <w:r>
        <w:t>Referenz</w:t>
      </w:r>
    </w:p>
    <w:p>
      <w:pPr/>
      <w:r>
        <w:t>Wirkungsökonomie</w:t>
      </w:r>
    </w:p>
    <w:p>
      <w:pPr/>
      <w:r>
        <w:t>Version</w:t>
      </w:r>
    </w:p>
    <w:p>
      <w:pPr/>
      <w:r>
        <w:t>v0.2</w:t>
      </w:r>
    </w:p>
    <w:p>
      <w:pPr/>
      <w:r>
        <w:t>Status</w:t>
      </w:r>
    </w:p>
    <w:p>
      <w:pPr/>
      <w:r>
        <w:t>nachgelieferte Korrekturfassung</w:t>
      </w:r>
    </w:p>
    <w:p>
      <w:pPr/>
      <w:r>
        <w:t>Stand</w:t>
      </w:r>
    </w:p>
    <w:p>
      <w:pPr>
        <w:pStyle w:val="ListNumber"/>
      </w:pPr>
      <w:r>
        <w:t>Mai 2026</w:t>
      </w:r>
    </w:p>
    <w:p>
      <w:pPr/>
      <w:r>
        <w:t>Leitformel: Wirkung statt Kapital. Für Mensch, Planet und Demokratie.</w:t>
      </w:r>
    </w:p>
    <w:p>
      <w:pPr/>
      <w:r>
        <w:t>Vorwort und Korrekturhinweis</w:t>
      </w:r>
    </w:p>
    <w:p>
      <w:pPr/>
      <w:r>
        <w:t>Diese nachgelieferte Korrekturfassung ersetzt die bisher sehr kurzen Detailkonzept-Skizzen. Sie ist bewusst als ausführliches Detailkonzept-Kompendium aufgebaut. Jeder Unterbereich erhält eine fachliche Ausarbeitung mit Problem, Wirkungslogik, Systemarchitektur, Messlogik, politischer Anschlussfähigkeit, Risiken und Online-/Dossierbezug.</w:t>
      </w:r>
    </w:p>
    <w:p>
      <w:pPr/>
      <w:r>
        <w:t>Die Inhalte sind öffentlich formuliert. Interne Umsetzungs- und Prozesshinweise wurden bewusst nicht aufgenommen. Öffentliche Dokumente erklären Fachinhalte, nicht Arbeitsabläufe.</w:t>
      </w:r>
    </w:p>
    <w:p>
      <w:pPr/>
      <w:r>
        <w:t>Öffentlicher CharakterDieses Dokument ist als fachliche Grundlage für Website, Online-Volltext, Download und Dossier geeignet. Es enthält keine internen technischen Arbeitsanweisungen.</w:t>
      </w:r>
    </w:p>
    <w:p>
      <w:pPr/>
      <w:r>
        <w:t>Grundthese des Bereichs</w:t>
      </w:r>
    </w:p>
    <w:p>
      <w:pPr/>
      <w:r>
        <w:t>Produkte sind Wirkungsträger. Der heutige Preis zeigt Kosten, aber nicht Wirkung. Das Produktportal macht sichtbar, wie NACE, WÖk-IDs, Scorecards, Reverse Merit Order und Wirkungsumsatzsteuer aus Berichtsdaten eine Rückkopplung im Markt machen.</w:t>
      </w:r>
    </w:p>
    <w:p>
      <w:pPr/>
      <w:r>
        <w:t>Buchanker: Kapitel 31-35 (Messung), 37-38 (Steuerrecht), 48-53 (Produkte, Preise, Konsumwirkung und Markttransformation).</w:t>
      </w:r>
    </w:p>
    <w:p>
      <w:pPr/>
      <w:r>
        <w:t>Überblick der Unterbereiche</w:t>
      </w:r>
    </w:p>
    <w:p>
      <w:pPr/>
      <w:r>
        <w:t>Nr.</w:t>
      </w:r>
    </w:p>
    <w:p>
      <w:pPr/>
      <w:r>
        <w:t>Unterbereich</w:t>
      </w:r>
    </w:p>
    <w:p>
      <w:pPr/>
      <w:r>
        <w:t>Kurzfunktion</w:t>
      </w:r>
    </w:p>
    <w:p>
      <w:pPr/>
      <w:r>
        <w:t>1</w:t>
      </w:r>
    </w:p>
    <w:p>
      <w:pPr/>
      <w:r>
        <w:t>Produktwirkung und Produktlebenszyklus</w:t>
      </w:r>
    </w:p>
    <w:p>
      <w:pPr/>
      <w:r>
        <w:t>Rohstoffe, Herstellung, Nutzung, Ende, Produktdaten statt Produktimage, Produktverantwortung.</w:t>
      </w:r>
    </w:p>
    <w:p>
      <w:pPr/>
      <w:r>
        <w:t>2</w:t>
      </w:r>
    </w:p>
    <w:p>
      <w:pPr/>
      <w:r>
        <w:t>Produktbesteuerung durch Wirkung</w:t>
      </w:r>
    </w:p>
    <w:p>
      <w:pPr/>
      <w:r>
        <w:t>FinalScore, Steuerklasse, Preisumkehr, Sozial- und Kaufkraftschutz, Übergang.</w:t>
      </w:r>
    </w:p>
    <w:p>
      <w:pPr/>
      <w:r>
        <w:t>3</w:t>
      </w:r>
    </w:p>
    <w:p>
      <w:pPr/>
      <w:r>
        <w:t>Wirkungsumsatzsteuer / Produktwirkungssteuer</w:t>
      </w:r>
    </w:p>
    <w:p>
      <w:pPr/>
      <w:r>
        <w:t>Umsatzsteuerlogik als Rückkopplungsarchitektur, Vorsteuer, Bonus-Malus, WUStG-Anschluss.</w:t>
      </w:r>
    </w:p>
    <w:p>
      <w:pPr/>
      <w:r>
        <w:t>4</w:t>
      </w:r>
    </w:p>
    <w:p>
      <w:pPr/>
      <w:r>
        <w:t>Produktscorecards</w:t>
      </w:r>
    </w:p>
    <w:p>
      <w:pPr/>
      <w:r>
        <w:t>Kernfelder, Bewertungslogik, Datenfelder, FinalScore, Sonderfälle.</w:t>
      </w:r>
    </w:p>
    <w:p>
      <w:pPr/>
      <w:r>
        <w:t>5</w:t>
      </w:r>
    </w:p>
    <w:p>
      <w:pPr/>
      <w:r>
        <w:t>WÖk-IDs im Produktbereich</w:t>
      </w:r>
    </w:p>
    <w:p>
      <w:pPr/>
      <w:r>
        <w:t>Indikatorregister, SDG-/SDG+-Mapping, NACE, ESRS, GRI, Datenqualität.</w:t>
      </w:r>
    </w:p>
    <w:p>
      <w:pPr/>
      <w:r>
        <w:t>6</w:t>
      </w:r>
    </w:p>
    <w:p>
      <w:pPr/>
      <w:r>
        <w:t>Reverse Merit Order</w:t>
      </w:r>
    </w:p>
    <w:p>
      <w:pPr/>
      <w:r>
        <w:t>Nicht-Kompensation, schwächstes Wirkungsfeld, rote Linien, Schutz vor Ablasshandel.</w:t>
      </w:r>
    </w:p>
    <w:p>
      <w:pPr/>
      <w:r>
        <w:t>7</w:t>
      </w:r>
    </w:p>
    <w:p>
      <w:pPr/>
      <w:r>
        <w:t>Apfelbeispiel</w:t>
      </w:r>
    </w:p>
    <w:p>
      <w:pPr/>
      <w:r>
        <w:t>Regionaler Bio-Apfel vs. Importapfel, NACE 01.24, SDGs, Scorecard, Steuerklasse.</w:t>
      </w:r>
    </w:p>
    <w:p>
      <w:pPr/>
      <w:r>
        <w:t>8</w:t>
      </w:r>
    </w:p>
    <w:p>
      <w:pPr/>
      <w:r>
        <w:t>Lieferkettenwirkung</w:t>
      </w:r>
    </w:p>
    <w:p>
      <w:pPr/>
      <w:r>
        <w:t>Vorleistungen, Lieferanten-Scorecards, Vorsteuerfähigkeit, globale Wirkungsketten.</w:t>
      </w:r>
    </w:p>
    <w:p>
      <w:pPr/>
      <w:r>
        <w:t>9</w:t>
      </w:r>
    </w:p>
    <w:p>
      <w:pPr/>
      <w:r>
        <w:t>Konzernbeispiel / BASF Polyamid</w:t>
      </w:r>
    </w:p>
    <w:p>
      <w:pPr/>
      <w:r>
        <w:t>CSRD/ESRS-Daten auf Produktgruppen, Anlagen und Benchmarks herunterbrechen.</w:t>
      </w:r>
    </w:p>
    <w:p>
      <w:pPr/>
      <w:r>
        <w:t>10</w:t>
      </w:r>
    </w:p>
    <w:p>
      <w:pPr/>
      <w:r>
        <w:t>Verbraucherinformation und Wirkungspunkte</w:t>
      </w:r>
    </w:p>
    <w:p>
      <w:pPr/>
      <w:r>
        <w:t>Regaltransparenz, Label, Bonuslogik, Freiheit ohne moralische Überforderung.</w:t>
      </w:r>
    </w:p>
    <w:p>
      <w:pPr/>
      <w:r>
        <w:t>11</w:t>
      </w:r>
    </w:p>
    <w:p>
      <w:pPr/>
      <w:r>
        <w:t>Politische Rahmenbedingungen</w:t>
      </w:r>
    </w:p>
    <w:p>
      <w:pPr/>
      <w:r>
        <w:t>WStG, WUStG, Wirkungsrat, Datenschutz, Prüfpflichten, Übergänge und sozialer Schutz.</w:t>
      </w:r>
    </w:p>
    <w:p>
      <w:pPr/>
      <w:r>
        <w:t>Detailkonzepte</w:t>
      </w:r>
    </w:p>
    <w:p>
      <w:pPr/>
      <w:r>
        <w:t>Produktwirkung und Produktlebenszyklus</w:t>
      </w:r>
    </w:p>
    <w:p>
      <w:pPr/>
      <w:r>
        <w:t>Dieses Detailkonzept vertieft den Unterbereich „Produktwirkung und Produktlebenszyklus“ innerhalb des Portals „Produkte &amp; Konsum / Wirkungsumsatzsteuer“. Rohstoffe, Herstellung, Nutzung, Ende, Produktdaten statt Produktimage, Produktverantwortung.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„Produktwirkung und Produktlebenszyklus“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KernformelProduktwirkung und Produktlebenszyklus: Nicht die Aktivität allein zählt, sondern ihre positive Netto-Wirkung, ihre Risiken und ihre demokratisch überprüfbare Rückkopplung.</w:t>
      </w:r>
    </w:p>
    <w:p>
      <w:pPr/>
      <w:r>
        <w:t>Produktbesteuerung durch Wirkung</w:t>
      </w:r>
    </w:p>
    <w:p>
      <w:pPr/>
      <w:r>
        <w:t>Dieses Detailkonzept vertieft den Unterbereich „Produktbesteuerung durch Wirkung“ innerhalb des Portals „Produkte &amp; Konsum / Wirkungsumsatzsteuer“. FinalScore, Steuerklasse, Preisumkehr, Sozial- und Kaufkraftschutz, Übergang.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„Produktbesteuerung durch Wirkung“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KernformelProduktbesteuerung durch Wirkung: Nicht die Aktivität allein zählt, sondern ihre positive Netto-Wirkung, ihre Risiken und ihre demokratisch überprüfbare Rückkopplung.</w:t>
      </w:r>
    </w:p>
    <w:p>
      <w:pPr/>
      <w:r>
        <w:t>Wirkungsumsatzsteuer / Produktwirkungssteuer</w:t>
      </w:r>
    </w:p>
    <w:p>
      <w:pPr/>
      <w:r>
        <w:t>Dieses Detailkonzept vertieft den Unterbereich „Wirkungsumsatzsteuer / Produktwirkungssteuer“ innerhalb des Portals „Produkte &amp; Konsum / Wirkungsumsatzsteuer“. Umsatzsteuerlogik als Rückkopplungsarchitektur, Vorsteuer, Bonus-Malus, WUStG-Anschluss.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„Wirkungsumsatzsteuer / Produktwirkungssteuer“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KernformelWirkungsumsatzsteuer / Produktwirkungssteuer: Nicht die Aktivität allein zählt, sondern ihre positive Netto-Wirkung, ihre Risiken und ihre demokratisch überprüfbare Rückkopplung.</w:t>
      </w:r>
    </w:p>
    <w:p>
      <w:pPr/>
      <w:r>
        <w:t>Produktscorecards</w:t>
      </w:r>
    </w:p>
    <w:p>
      <w:pPr/>
      <w:r>
        <w:t>Dieses Detailkonzept vertieft den Unterbereich „Produktscorecards“ innerhalb des Portals „Produkte &amp; Konsum / Wirkungsumsatzsteuer“. Kernfelder, Bewertungslogik, Datenfelder, FinalScore, Sonderfälle.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„Produktscorecards“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KernformelProduktscorecards: Nicht die Aktivität allein zählt, sondern ihre positive Netto-Wirkung, ihre Risiken und ihre demokratisch überprüfbare Rückkopplung.</w:t>
      </w:r>
    </w:p>
    <w:p>
      <w:pPr/>
      <w:r>
        <w:t>WÖk-IDs im Produktbereich</w:t>
      </w:r>
    </w:p>
    <w:p>
      <w:pPr/>
      <w:r>
        <w:t>Dieses Detailkonzept vertieft den Unterbereich „WÖk-IDs im Produktbereich“ innerhalb des Portals „Produkte &amp; Konsum / Wirkungsumsatzsteuer“. Indikatorregister, SDG-/SDG+-Mapping, NACE, ESRS, GRI, Datenqualität.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„WÖk-IDs im Produktbereich“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KernformelWÖk-IDs im Produktbereich: Nicht die Aktivität allein zählt, sondern ihre positive Netto-Wirkung, ihre Risiken und ihre demokratisch überprüfbare Rückkopplung.</w:t>
      </w:r>
    </w:p>
    <w:p>
      <w:pPr/>
      <w:r>
        <w:t>Reverse Merit Order</w:t>
      </w:r>
    </w:p>
    <w:p>
      <w:pPr/>
      <w:r>
        <w:t>Dieses Detailkonzept vertieft den Unterbereich „Reverse Merit Order“ innerhalb des Portals „Produkte &amp; Konsum / Wirkungsumsatzsteuer“. Nicht-Kompensation, schwächstes Wirkungsfeld, rote Linien, Schutz vor Ablasshandel.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„Reverse Merit Order“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KernformelReverse Merit Order: Nicht die Aktivität allein zählt, sondern ihre positive Netto-Wirkung, ihre Risiken und ihre demokratisch überprüfbare Rückkopplung.</w:t>
      </w:r>
    </w:p>
    <w:p>
      <w:pPr/>
      <w:r>
        <w:t>Apfelbeispiel</w:t>
      </w:r>
    </w:p>
    <w:p>
      <w:pPr/>
      <w:r>
        <w:t>Dieses Detailkonzept vertieft den Unterbereich „Apfelbeispiel“ innerhalb des Portals „Produkte &amp; Konsum / Wirkungsumsatzsteuer“. Regionaler Bio-Apfel vs. Importapfel, NACE 01.24, SDGs, Scorecard, Steuerklasse.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„Apfelbeispiel“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KernformelApfelbeispiel: Nicht die Aktivität allein zählt, sondern ihre positive Netto-Wirkung, ihre Risiken und ihre demokratisch überprüfbare Rückkopplung.</w:t>
      </w:r>
    </w:p>
    <w:p>
      <w:pPr/>
      <w:r>
        <w:t>Lieferkettenwirkung</w:t>
      </w:r>
    </w:p>
    <w:p>
      <w:pPr/>
      <w:r>
        <w:t>Dieses Detailkonzept vertieft den Unterbereich „Lieferkettenwirkung“ innerhalb des Portals „Produkte &amp; Konsum / Wirkungsumsatzsteuer“. Vorleistungen, Lieferanten-Scorecards, Vorsteuerfähigkeit, globale Wirkungsketten.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„Lieferkettenwirkung“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KernformelLieferkettenwirkung: Nicht die Aktivität allein zählt, sondern ihre positive Netto-Wirkung, ihre Risiken und ihre demokratisch überprüfbare Rückkopplung.</w:t>
      </w:r>
    </w:p>
    <w:p>
      <w:pPr/>
      <w:r>
        <w:t>Konzernbeispiel / BASF Polyamid</w:t>
      </w:r>
    </w:p>
    <w:p>
      <w:pPr/>
      <w:r>
        <w:t>Dieses Detailkonzept vertieft den Unterbereich „Konzernbeispiel / BASF Polyamid“ innerhalb des Portals „Produkte &amp; Konsum / Wirkungsumsatzsteuer“. CSRD/ESRS-Daten auf Produktgruppen, Anlagen und Benchmarks herunterbrechen.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„Konzernbeispiel / BASF Polyamid“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KernformelKonzernbeispiel / BASF Polyamid: Nicht die Aktivität allein zählt, sondern ihre positive Netto-Wirkung, ihre Risiken und ihre demokratisch überprüfbare Rückkopplung.</w:t>
      </w:r>
    </w:p>
    <w:p>
      <w:pPr/>
      <w:r>
        <w:t>Verbraucherinformation und Wirkungspunkte</w:t>
      </w:r>
    </w:p>
    <w:p>
      <w:pPr/>
      <w:r>
        <w:t>Dieses Detailkonzept vertieft den Unterbereich „Verbraucherinformation und Wirkungspunkte“ innerhalb des Portals „Produkte &amp; Konsum / Wirkungsumsatzsteuer“. Regaltransparenz, Label, Bonuslogik, Freiheit ohne moralische Überforderung.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„Verbraucherinformation und Wirkungspunkte“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KernformelVerbraucherinformation und Wirkungspunkte: Nicht die Aktivität allein zählt, sondern ihre positive Netto-Wirkung, ihre Risiken und ihre demokratisch überprüfbare Rückkopplung.</w:t>
      </w:r>
    </w:p>
    <w:p>
      <w:pPr/>
      <w:r>
        <w:t>Politische Rahmenbedingungen</w:t>
      </w:r>
    </w:p>
    <w:p>
      <w:pPr/>
      <w:r>
        <w:t>Dieses Detailkonzept vertieft den Unterbereich „Politische Rahmenbedingungen“ innerhalb des Portals „Produkte &amp; Konsum / Wirkungsumsatzsteuer“. WStG, WUStG, Wirkungsrat, Datenschutz, Prüfpflichten, Übergänge und sozialer Schutz.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„Politische Rahmenbedingungen“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KernformelPolitische Rahmenbedingungen: Nicht die Aktivität allein zählt, sondern ihre positive Netto-Wirkung, ihre Risiken und ihre demokratisch überprüfbare Rückkopplung.</w:t>
      </w:r>
    </w:p>
    <w:p>
      <w:pPr/>
      <w:r>
        <w:t>Gemeinsame Veröffentlichungslogik</w:t>
      </w:r>
    </w:p>
    <w:p>
      <w:pPr/>
      <w:r>
        <w:t>Jeder Unterbereich wird auf der Website als vollständige Online-Fassung veröffentlicht. Das Detailkonzept bildet die fachliche Grundlage, das Einzeldossier ergänzt Beispiele, Berechnungen, Datenquellen und Umsetzungsvarianten. Downloads sind Export und Archiv, nicht der Hauptzugang.</w:t>
      </w:r>
    </w:p>
    <w:p>
      <w:pPr/>
      <w:r>
        <w:t>Quellen- und Referenzrahmen</w:t>
      </w:r>
    </w:p>
    <w:p>
      <w:pPr/>
      <w:r>
        <w:t>Natalie Weber: Die neue Ordnung des Wohlstands - aktuelles Buch und Buchanker.</w:t>
      </w:r>
    </w:p>
    <w:p>
      <w:pPr/>
      <w:r>
        <w:t>Führender Begriffsleitfaden der Wirkungsökonomie, Version 1.0.</w:t>
      </w:r>
    </w:p>
    <w:p>
      <w:pPr/>
      <w:r>
        <w:t>Systemmodell der Wirkungsökonomie.</w:t>
      </w:r>
    </w:p>
    <w:p>
      <w:pPr/>
      <w:r>
        <w:t>Je nach Bereich: Produktpapier, T-SROI-Whitepaper, WStG, Wirkungsrat-Konzept, Wohnungsmarkt-Working-Paper, Lieferkettenpapier, WUStG-Leitlinien.</w:t>
      </w:r>
    </w:p>
    <w:p>
      <w:pPr/>
      <w:r>
        <w:t>Externe Anschlussquellen: UN-SDGs, UN-Indikatoren, CSRD/ESRS, EFRAG, GRI, Eurostat, Destatis, EU-Taxonomie, OECD-Leitlinien, soweit fachlich relevant.</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