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16 - Wirkungsumsatzsteuer / Produktwirkungssteuer</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Preise, Steuern und Produktwirkung als Rückkopplungsarchitektur</w:t>
      </w:r>
    </w:p>
    <w:p>
      <w:pPr/>
      <w:r>
        <w:t>Autorin: Natalie Weber</w:t>
      </w:r>
    </w:p>
    <w:p>
      <w:pPr/>
      <w:r>
        <w:t>Referenz: Wirkungsökonomie</w:t>
      </w:r>
    </w:p>
    <w:p>
      <w:pPr/>
      <w:r>
        <w:t>Version: v1.0</w:t>
      </w:r>
    </w:p>
    <w:p>
      <w:pPr/>
      <w:r>
        <w:t>Stand: 24. Mai 2026</w:t>
      </w:r>
    </w:p>
    <w:p>
      <w:pPr>
        <w:pStyle w:val="Quote"/>
      </w:pPr>
      <w:r>
        <w:t>Die Wirkungsumsatzsteuer verbietet nicht. Sie macht sichtbar, was der alte Preis verschweigt.</w:t>
      </w:r>
    </w:p>
    <w:p>
      <w:pPr>
        <w:pStyle w:val="Heading2"/>
      </w:pPr>
      <w:r>
        <w:t>Kurzprofil</w:t>
      </w:r>
    </w:p>
    <w:p>
      <w:pPr>
        <w:pStyle w:val="ListBullet"/>
      </w:pPr>
      <w:r>
        <w:t>Portal: Produkte &amp; Konsum / Wirkungsumsatzsteuer</w:t>
      </w:r>
    </w:p>
    <w:p>
      <w:pPr>
        <w:pStyle w:val="ListBullet"/>
      </w:pPr>
      <w:r>
        <w:t>Unterbereich: Wirkungsumsatzsteuer, Produktwirkungssteuer, Preisrückkopplung und Vorsteuerlogik</w:t>
      </w:r>
    </w:p>
    <w:p>
      <w:pPr>
        <w:pStyle w:val="ListBullet"/>
      </w:pPr>
      <w:r>
        <w:t>Hinweis: Konzeptionelle Ausarbeitung; keine Rechts-, Steuer-, Anlage- oder Produktberatung.</w:t>
      </w:r>
    </w:p>
    <w:p>
      <w:pPr>
        <w:pStyle w:val="Heading2"/>
      </w:pPr>
      <w:r>
        <w:t>Inhaltsübersicht</w:t>
      </w:r>
    </w:p>
    <w:p>
      <w:pPr>
        <w:pStyle w:val="ListNumber"/>
      </w:pPr>
      <w:r>
        <w:t>Executive Summary</w:t>
      </w:r>
    </w:p>
    <w:p>
      <w:pPr>
        <w:pStyle w:val="ListNumber"/>
      </w:pPr>
      <w:r>
        <w:t>Ausgangsdiagnose: Warum die heutige Umsatzsteuer wirkungsblind ist</w:t>
      </w:r>
    </w:p>
    <w:p>
      <w:pPr>
        <w:pStyle w:val="ListNumber"/>
      </w:pPr>
      <w:r>
        <w:t>Vom Mehrwert zum Wirkungswert</w:t>
      </w:r>
    </w:p>
    <w:p>
      <w:pPr>
        <w:pStyle w:val="ListNumber"/>
      </w:pPr>
      <w:r>
        <w:t>Steuerklassen und FinalScore</w:t>
      </w:r>
    </w:p>
    <w:p>
      <w:pPr>
        <w:pStyle w:val="ListNumber"/>
      </w:pPr>
      <w:r>
        <w:t>Reverse Merit Order und Nichtkompensation</w:t>
      </w:r>
    </w:p>
    <w:p>
      <w:pPr>
        <w:pStyle w:val="ListNumber"/>
      </w:pPr>
      <w:r>
        <w:t>Vorsteuerlogik und Lieferkettenwirkung</w:t>
      </w:r>
    </w:p>
    <w:p>
      <w:pPr>
        <w:pStyle w:val="ListNumber"/>
      </w:pPr>
      <w:r>
        <w:t>Importe, Grenzausgleich und internationale Anschlussfähigkeit</w:t>
      </w:r>
    </w:p>
    <w:p>
      <w:pPr>
        <w:pStyle w:val="ListNumber"/>
      </w:pPr>
      <w:r>
        <w:t>Kaufkraftschutz und soziale Abfederung</w:t>
      </w:r>
    </w:p>
    <w:p>
      <w:pPr>
        <w:pStyle w:val="ListNumber"/>
      </w:pPr>
      <w:r>
        <w:t>KMU, Übergang und Verwaltungspraktikabilität</w:t>
      </w:r>
    </w:p>
    <w:p>
      <w:pPr>
        <w:pStyle w:val="ListNumber"/>
      </w:pPr>
      <w:r>
        <w:t>Wirkungsrat, Audit und Missbrauchsschutz</w:t>
      </w:r>
    </w:p>
    <w:p>
      <w:pPr>
        <w:pStyle w:val="ListNumber"/>
      </w:pPr>
      <w:r>
        <w:t>Politische Anschlussfähigkeit</w:t>
      </w:r>
    </w:p>
    <w:p>
      <w:pPr>
        <w:pStyle w:val="ListNumber"/>
      </w:pPr>
      <w:r>
        <w:t>Tool- und Website-Integration</w:t>
      </w:r>
    </w:p>
    <w:p>
      <w:pPr>
        <w:pStyle w:val="ListNumber"/>
      </w:pPr>
      <w:r>
        <w:t>SDG-/SDG+-Bezug</w:t>
      </w:r>
    </w:p>
    <w:p>
      <w:pPr>
        <w:pStyle w:val="ListNumber"/>
      </w:pPr>
      <w:r>
        <w:t>Quellen und Fazit</w:t>
      </w:r>
    </w:p>
    <w:p>
      <w:pPr>
        <w:pStyle w:val="Heading2"/>
      </w:pPr>
      <w:r>
        <w:t>Executive Summary</w:t>
      </w:r>
    </w:p>
    <w:p>
      <w:pPr>
        <w:pStyle w:val="Quote"/>
      </w:pPr>
      <w:r>
        <w:t>Leitsatz: Steuerpolitik wird vom Flickenteppich zur Wirkungsrückkopplung.</w:t>
      </w:r>
    </w:p>
    <w:p>
      <w:pPr/>
      <w:r>
        <w:t>Dieses Detailkonzept beschreibt die Wirkungsumsatzsteuer als zentrale Preisrückkopplung der Wirkungsökonomie. Die heutige Umsatzsteuer behandelt Produkte weitgehend nach Kategorien und Steuersätzen, aber nicht nach ihrer Wirkung. Ein Produkt kann gesund, regional, fair und kreislauffähig sein oder klimaschädlich, wasserintensiv, gesundheitsriskant und ausbeuterisch hergestellt werden - steuerlich bleibt der Unterschied oft unsichtbar.</w:t>
      </w:r>
    </w:p>
    <w:p>
      <w:pPr/>
      <w:r>
        <w:t>Die Wirkungsumsatzsteuer verändert diesen Kernmechanismus. Sie koppelt die Steuerklasse eines Produkts an den messbaren FinalScore seiner Wirkung. Positive Wirkung wird entlastet, negative Wirkung belastet. Dadurch wird die Steuer nicht mehr nur Einnahmeinstrument, sondern Rückkopplungsinstrument: Preise tragen mehr Wirklichkeitsinformation.</w:t>
      </w:r>
    </w:p>
    <w:p>
      <w:pPr/>
      <w:r>
        <w:t>Die WUSt ist kein Verbotssystem und keine Planwirtschaft. Markt, Wettbewerb, Wahlfreiheit und Innovation bleiben erhalten. Aber die Marktpreise werden wahrheitsfähiger, weil externalisierte Kosten nicht länger vollständig unsichtbar bleiben.</w:t>
      </w:r>
    </w:p>
    <w:p>
      <w:pPr>
        <w:pStyle w:val="Heading2"/>
      </w:pPr>
      <w:r>
        <w:t>Ausgangsdiagnose: Warum die heutige Umsatzsteuer wirkungsblind ist</w:t>
      </w:r>
    </w:p>
    <w:p>
      <w:pPr/>
      <w:r>
        <w:t>Die Umsatzsteuer ist eine der wichtigsten Konsumsteuern. Sie ist administrativ etabliert, technisch eingespielt und für Staatshaushalte zentral. Gleichzeitig ist sie wirkungsblind: Sie fragt nicht, ob ein Produkt Klima, Gesundheit, Arbeit, Ressourcen oder Demokratie stärkt oder schwächt.</w:t>
      </w:r>
    </w:p>
    <w:p>
      <w:pPr/>
      <w:r>
        <w:t>Diese Blindheit führt zu falschen Signalen. Ein regionaler Bio-Apfel und ein importierter Apfel aus wasserarmen Regionen können steuerlich gleich erscheinen. Ein langlebiges, reparierbares Produkt kann denselben Steuersatz tragen wie ein kurzlebiges Wegwerfprodukt. Ein fair produziertes Textil konkurriert mit Fast Fashion, obwohl die Wirkungen entlang der Lieferkette grundverschieden sind.</w:t>
      </w:r>
    </w:p>
    <w:p>
      <w:pPr/>
      <w:r>
        <w:t>Die Folge ist kein individuelles Fehlverhalten, sondern Marktverzerrung. Wer Kosten externalisiert, kann günstiger erscheinen. Wer Verantwortung übernimmt, trägt mehr Aufwand. Die Wirkungsumsatzsteuer setzt genau dort an: Sie verknüpft Preis und Steuer mit nachweisbarer Wirkung.</w:t>
      </w:r>
    </w:p>
    <w:p>
      <w:pPr>
        <w:pStyle w:val="Heading2"/>
      </w:pPr>
      <w:r>
        <w:t>Vom Mehrwert zum Wirkungswert</w:t>
      </w:r>
    </w:p>
    <w:p>
      <w:pPr/>
      <w:r>
        <w:t>Die klassische Umsatzsteuer besteuert den Mehrwert. Die Wirkungsumsatzsteuer fragt zusätzlich nach dem Wirkungswert. Der Mehrwert beschreibt monetäre Wertschöpfung. Der Wirkungswert beschreibt, ob diese Wertschöpfung Zustände positiv, neutral oder negativ verändert.</w:t>
      </w:r>
    </w:p>
    <w:p>
      <w:pPr/>
      <w:r>
        <w:t>Damit entsteht eine doppelte Lesart eines Produkts: Es bleibt wirtschaftlich handelbar, aber seine Wirkung wird zum Steuerfaktor. Die Steuerklasse wird nicht willkürlich festgelegt, sondern aus Scorecards, WÖk-IDs, Benchmarks und Produktdaten abgeleitet.</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Alte Logik</w:t>
            </w:r>
          </w:p>
        </w:tc>
        <w:tc>
          <w:tcPr>
            <w:tcW w:type="dxa" w:w="4762"/>
            <w:shd w:fill="F6F1E8"/>
          </w:tcPr>
          <w:p>
            <w:pPr>
              <w:pStyle w:val="TableText"/>
            </w:pPr>
            <w:r>
              <w:rPr>
                <w:rFonts w:ascii="Source Sans 3" w:hAnsi="Source Sans 3" w:eastAsia="Source Sans 3"/>
                <w:b/>
                <w:color w:val="0B1020"/>
                <w:sz w:val="18"/>
              </w:rPr>
              <w:t>Wirkungsökonomische Logik</w:t>
            </w:r>
          </w:p>
        </w:tc>
      </w:tr>
      <w:tr>
        <w:tc>
          <w:tcPr>
            <w:tcW w:type="dxa" w:w="4762"/>
          </w:tcPr>
          <w:p>
            <w:pPr>
              <w:pStyle w:val="TableText"/>
            </w:pPr>
            <w:r>
              <w:t>Kategorie bestimmt Steuersatz</w:t>
            </w:r>
          </w:p>
        </w:tc>
        <w:tc>
          <w:tcPr>
            <w:tcW w:type="dxa" w:w="4762"/>
          </w:tcPr>
          <w:p>
            <w:pPr>
              <w:pStyle w:val="TableText"/>
            </w:pPr>
            <w:r>
              <w:t>Wirkung bestimmt Steuerklasse</w:t>
            </w:r>
          </w:p>
        </w:tc>
      </w:tr>
      <w:tr>
        <w:tc>
          <w:tcPr>
            <w:tcW w:type="dxa" w:w="4762"/>
          </w:tcPr>
          <w:p>
            <w:pPr>
              <w:pStyle w:val="TableText"/>
            </w:pPr>
            <w:r>
              <w:t>Preis zeigt Zahlungsbereitschaft</w:t>
            </w:r>
          </w:p>
        </w:tc>
        <w:tc>
          <w:tcPr>
            <w:tcW w:type="dxa" w:w="4762"/>
          </w:tcPr>
          <w:p>
            <w:pPr>
              <w:pStyle w:val="TableText"/>
            </w:pPr>
            <w:r>
              <w:t>Preis trägt Wirkungsinformation</w:t>
            </w:r>
          </w:p>
        </w:tc>
      </w:tr>
      <w:tr>
        <w:tc>
          <w:tcPr>
            <w:tcW w:type="dxa" w:w="4762"/>
          </w:tcPr>
          <w:p>
            <w:pPr>
              <w:pStyle w:val="TableText"/>
            </w:pPr>
            <w:r>
              <w:t>Vorsteuer als Durchlaufposten</w:t>
            </w:r>
          </w:p>
        </w:tc>
        <w:tc>
          <w:tcPr>
            <w:tcW w:type="dxa" w:w="4762"/>
          </w:tcPr>
          <w:p>
            <w:pPr>
              <w:pStyle w:val="TableText"/>
            </w:pPr>
            <w:r>
              <w:t>Vorsteuer als Lieferkettenanreiz</w:t>
            </w:r>
          </w:p>
        </w:tc>
      </w:tr>
      <w:tr>
        <w:tc>
          <w:tcPr>
            <w:tcW w:type="dxa" w:w="4762"/>
          </w:tcPr>
          <w:p>
            <w:pPr>
              <w:pStyle w:val="TableText"/>
            </w:pPr>
            <w:r>
              <w:t>Nachhaltigkeit als Bericht</w:t>
            </w:r>
          </w:p>
        </w:tc>
        <w:tc>
          <w:tcPr>
            <w:tcW w:type="dxa" w:w="4762"/>
          </w:tcPr>
          <w:p>
            <w:pPr>
              <w:pStyle w:val="TableText"/>
            </w:pPr>
            <w:r>
              <w:t>Nachhaltigkeit als Steuerdatenbasis</w:t>
            </w:r>
          </w:p>
        </w:tc>
      </w:tr>
      <w:tr>
        <w:tc>
          <w:tcPr>
            <w:tcW w:type="dxa" w:w="4762"/>
          </w:tcPr>
          <w:p>
            <w:pPr>
              <w:pStyle w:val="TableText"/>
            </w:pPr>
            <w:r>
              <w:t>Subventionen reparieren Fehlanreize</w:t>
            </w:r>
          </w:p>
        </w:tc>
        <w:tc>
          <w:tcPr>
            <w:tcW w:type="dxa" w:w="4762"/>
          </w:tcPr>
          <w:p>
            <w:pPr>
              <w:pStyle w:val="TableText"/>
            </w:pPr>
            <w:r>
              <w:t>Steuerlogik verändert den Grundanreiz</w:t>
            </w:r>
          </w:p>
        </w:tc>
      </w:tr>
    </w:tbl>
    <w:p>
      <w:pPr>
        <w:pStyle w:val="Heading2"/>
      </w:pPr>
      <w:r>
        <w:t>Steuerklassen und FinalScore</w:t>
      </w:r>
    </w:p>
    <w:p>
      <w:pPr/>
      <w:r>
        <w:t>Die Wirkungsumsatzsteuer nutzt eine Wirkungsskala von -3 bis +3. Der FinalScore entsteht aus den relevanten Scorecard-Feldern. Je positiver die Wirkung, desto niedriger die Steuerklasse. Je schädlicher die Wirkung, desto höher die Steuerklasse.</w:t>
      </w:r>
    </w:p>
    <w:p>
      <w:pPr/>
      <w:r>
        <w:t>Die konkrete Ausgestaltung bleibt politisch zu entscheiden und revisionsfähig. Für die konzeptionelle Ausarbeitung gilt die bereits entwickelte Skala von transformativ bis hoch schädlich. Entscheidend ist nicht die einzelne Zahl, sondern die Logik: Wirkung beeinflusst den Preis.</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F6F1E8"/>
          </w:tcPr>
          <w:p>
            <w:pPr>
              <w:pStyle w:val="TableText"/>
            </w:pPr>
            <w:r>
              <w:rPr>
                <w:rFonts w:ascii="Source Sans 3" w:hAnsi="Source Sans 3" w:eastAsia="Source Sans 3"/>
                <w:b/>
                <w:color w:val="0B1020"/>
                <w:sz w:val="18"/>
              </w:rPr>
              <w:t>FinalScore</w:t>
            </w:r>
          </w:p>
        </w:tc>
        <w:tc>
          <w:tcPr>
            <w:tcW w:type="dxa" w:w="2381"/>
            <w:shd w:fill="F6F1E8"/>
          </w:tcPr>
          <w:p>
            <w:pPr>
              <w:pStyle w:val="TableText"/>
            </w:pPr>
            <w:r>
              <w:rPr>
                <w:rFonts w:ascii="Source Sans 3" w:hAnsi="Source Sans 3" w:eastAsia="Source Sans 3"/>
                <w:b/>
                <w:color w:val="0B1020"/>
                <w:sz w:val="18"/>
              </w:rPr>
              <w:t>Wirkungsklasse</w:t>
            </w:r>
          </w:p>
        </w:tc>
        <w:tc>
          <w:tcPr>
            <w:tcW w:type="dxa" w:w="2381"/>
            <w:shd w:fill="F6F1E8"/>
          </w:tcPr>
          <w:p>
            <w:pPr>
              <w:pStyle w:val="TableText"/>
            </w:pPr>
            <w:r>
              <w:rPr>
                <w:rFonts w:ascii="Source Sans 3" w:hAnsi="Source Sans 3" w:eastAsia="Source Sans 3"/>
                <w:b/>
                <w:color w:val="0B1020"/>
                <w:sz w:val="18"/>
              </w:rPr>
              <w:t>Beispielhafte WUSt-Logik</w:t>
            </w:r>
          </w:p>
        </w:tc>
        <w:tc>
          <w:tcPr>
            <w:tcW w:type="dxa" w:w="2381"/>
            <w:shd w:fill="F6F1E8"/>
          </w:tcPr>
          <w:p>
            <w:pPr>
              <w:pStyle w:val="TableText"/>
            </w:pPr>
            <w:r>
              <w:rPr>
                <w:rFonts w:ascii="Source Sans 3" w:hAnsi="Source Sans 3" w:eastAsia="Source Sans 3"/>
                <w:b/>
                <w:color w:val="0B1020"/>
                <w:sz w:val="18"/>
              </w:rPr>
              <w:t>Bedeutung</w:t>
            </w:r>
          </w:p>
        </w:tc>
      </w:tr>
      <w:tr>
        <w:tc>
          <w:tcPr>
            <w:tcW w:type="dxa" w:w="2381"/>
          </w:tcPr>
          <w:p>
            <w:pPr>
              <w:pStyle w:val="TableText"/>
            </w:pPr>
            <w:r>
              <w:t>+3</w:t>
            </w:r>
          </w:p>
        </w:tc>
        <w:tc>
          <w:tcPr>
            <w:tcW w:type="dxa" w:w="2381"/>
          </w:tcPr>
          <w:p>
            <w:pPr>
              <w:pStyle w:val="TableText"/>
            </w:pPr>
            <w:r>
              <w:t>transformativ</w:t>
            </w:r>
          </w:p>
        </w:tc>
        <w:tc>
          <w:tcPr>
            <w:tcW w:type="dxa" w:w="2381"/>
          </w:tcPr>
          <w:p>
            <w:pPr>
              <w:pStyle w:val="TableText"/>
            </w:pPr>
            <w:r>
              <w:t>0 %</w:t>
            </w:r>
          </w:p>
        </w:tc>
        <w:tc>
          <w:tcPr>
            <w:tcW w:type="dxa" w:w="2381"/>
          </w:tcPr>
          <w:p>
            <w:pPr>
              <w:pStyle w:val="TableText"/>
            </w:pPr>
            <w:r>
              <w:t>ersetzt schädliche Alternativen und stärkt MPD deutlich</w:t>
            </w:r>
          </w:p>
        </w:tc>
      </w:tr>
      <w:tr>
        <w:tc>
          <w:tcPr>
            <w:tcW w:type="dxa" w:w="2381"/>
          </w:tcPr>
          <w:p>
            <w:pPr>
              <w:pStyle w:val="TableText"/>
            </w:pPr>
            <w:r>
              <w:t>+2</w:t>
            </w:r>
          </w:p>
        </w:tc>
        <w:tc>
          <w:tcPr>
            <w:tcW w:type="dxa" w:w="2381"/>
          </w:tcPr>
          <w:p>
            <w:pPr>
              <w:pStyle w:val="TableText"/>
            </w:pPr>
            <w:r>
              <w:t>sehr gut</w:t>
            </w:r>
          </w:p>
        </w:tc>
        <w:tc>
          <w:tcPr>
            <w:tcW w:type="dxa" w:w="2381"/>
          </w:tcPr>
          <w:p>
            <w:pPr>
              <w:pStyle w:val="TableText"/>
            </w:pPr>
            <w:r>
              <w:t>0 %</w:t>
            </w:r>
          </w:p>
        </w:tc>
        <w:tc>
          <w:tcPr>
            <w:tcW w:type="dxa" w:w="2381"/>
          </w:tcPr>
          <w:p>
            <w:pPr>
              <w:pStyle w:val="TableText"/>
            </w:pPr>
            <w:r>
              <w:t>positive Netto-Wirkung mit hoher Datenqualität</w:t>
            </w:r>
          </w:p>
        </w:tc>
      </w:tr>
      <w:tr>
        <w:tc>
          <w:tcPr>
            <w:tcW w:type="dxa" w:w="2381"/>
          </w:tcPr>
          <w:p>
            <w:pPr>
              <w:pStyle w:val="TableText"/>
            </w:pPr>
            <w:r>
              <w:t>+1</w:t>
            </w:r>
          </w:p>
        </w:tc>
        <w:tc>
          <w:tcPr>
            <w:tcW w:type="dxa" w:w="2381"/>
          </w:tcPr>
          <w:p>
            <w:pPr>
              <w:pStyle w:val="TableText"/>
            </w:pPr>
            <w:r>
              <w:t>gut</w:t>
            </w:r>
          </w:p>
        </w:tc>
        <w:tc>
          <w:tcPr>
            <w:tcW w:type="dxa" w:w="2381"/>
          </w:tcPr>
          <w:p>
            <w:pPr>
              <w:pStyle w:val="TableText"/>
            </w:pPr>
            <w:r>
              <w:t>5 %</w:t>
            </w:r>
          </w:p>
        </w:tc>
        <w:tc>
          <w:tcPr>
            <w:tcW w:type="dxa" w:w="2381"/>
          </w:tcPr>
          <w:p>
            <w:pPr>
              <w:pStyle w:val="TableText"/>
            </w:pPr>
            <w:r>
              <w:t>positive Wirkung, förderfähige Vorleistung</w:t>
            </w:r>
          </w:p>
        </w:tc>
      </w:tr>
      <w:tr>
        <w:tc>
          <w:tcPr>
            <w:tcW w:type="dxa" w:w="2381"/>
          </w:tcPr>
          <w:p>
            <w:pPr>
              <w:pStyle w:val="TableText"/>
            </w:pPr>
            <w:r>
              <w:t>0</w:t>
            </w:r>
          </w:p>
        </w:tc>
        <w:tc>
          <w:tcPr>
            <w:tcW w:type="dxa" w:w="2381"/>
          </w:tcPr>
          <w:p>
            <w:pPr>
              <w:pStyle w:val="TableText"/>
            </w:pPr>
            <w:r>
              <w:t>neutral</w:t>
            </w:r>
          </w:p>
        </w:tc>
        <w:tc>
          <w:tcPr>
            <w:tcW w:type="dxa" w:w="2381"/>
          </w:tcPr>
          <w:p>
            <w:pPr>
              <w:pStyle w:val="TableText"/>
            </w:pPr>
            <w:r>
              <w:t>10 %</w:t>
            </w:r>
          </w:p>
        </w:tc>
        <w:tc>
          <w:tcPr>
            <w:tcW w:type="dxa" w:w="2381"/>
          </w:tcPr>
          <w:p>
            <w:pPr>
              <w:pStyle w:val="TableText"/>
            </w:pPr>
            <w:r>
              <w:t>keine relevante positive oder negative Wirkung nachweisbar</w:t>
            </w:r>
          </w:p>
        </w:tc>
      </w:tr>
      <w:tr>
        <w:tc>
          <w:tcPr>
            <w:tcW w:type="dxa" w:w="2381"/>
          </w:tcPr>
          <w:p>
            <w:pPr>
              <w:pStyle w:val="TableText"/>
            </w:pPr>
            <w:r>
              <w:t>-1</w:t>
            </w:r>
          </w:p>
        </w:tc>
        <w:tc>
          <w:tcPr>
            <w:tcW w:type="dxa" w:w="2381"/>
          </w:tcPr>
          <w:p>
            <w:pPr>
              <w:pStyle w:val="TableText"/>
            </w:pPr>
            <w:r>
              <w:t>schwach</w:t>
            </w:r>
          </w:p>
        </w:tc>
        <w:tc>
          <w:tcPr>
            <w:tcW w:type="dxa" w:w="2381"/>
          </w:tcPr>
          <w:p>
            <w:pPr>
              <w:pStyle w:val="TableText"/>
            </w:pPr>
            <w:r>
              <w:t>15 %</w:t>
            </w:r>
          </w:p>
        </w:tc>
        <w:tc>
          <w:tcPr>
            <w:tcW w:type="dxa" w:w="2381"/>
          </w:tcPr>
          <w:p>
            <w:pPr>
              <w:pStyle w:val="TableText"/>
            </w:pPr>
            <w:r>
              <w:t>mindestens ein relevantes Feld unter Zielniveau</w:t>
            </w:r>
          </w:p>
        </w:tc>
      </w:tr>
      <w:tr>
        <w:tc>
          <w:tcPr>
            <w:tcW w:type="dxa" w:w="2381"/>
          </w:tcPr>
          <w:p>
            <w:pPr>
              <w:pStyle w:val="TableText"/>
            </w:pPr>
            <w:r>
              <w:t>-2</w:t>
            </w:r>
          </w:p>
        </w:tc>
        <w:tc>
          <w:tcPr>
            <w:tcW w:type="dxa" w:w="2381"/>
          </w:tcPr>
          <w:p>
            <w:pPr>
              <w:pStyle w:val="TableText"/>
            </w:pPr>
            <w:r>
              <w:t>schädlich</w:t>
            </w:r>
          </w:p>
        </w:tc>
        <w:tc>
          <w:tcPr>
            <w:tcW w:type="dxa" w:w="2381"/>
          </w:tcPr>
          <w:p>
            <w:pPr>
              <w:pStyle w:val="TableText"/>
            </w:pPr>
            <w:r>
              <w:t>20 %</w:t>
            </w:r>
          </w:p>
        </w:tc>
        <w:tc>
          <w:tcPr>
            <w:tcW w:type="dxa" w:w="2381"/>
          </w:tcPr>
          <w:p>
            <w:pPr>
              <w:pStyle w:val="TableText"/>
            </w:pPr>
            <w:r>
              <w:t>deutliche negative Wirkung / Engpass</w:t>
            </w:r>
          </w:p>
        </w:tc>
      </w:tr>
      <w:tr>
        <w:tc>
          <w:tcPr>
            <w:tcW w:type="dxa" w:w="2381"/>
          </w:tcPr>
          <w:p>
            <w:pPr>
              <w:pStyle w:val="TableText"/>
            </w:pPr>
            <w:r>
              <w:t>-3</w:t>
            </w:r>
          </w:p>
        </w:tc>
        <w:tc>
          <w:tcPr>
            <w:tcW w:type="dxa" w:w="2381"/>
          </w:tcPr>
          <w:p>
            <w:pPr>
              <w:pStyle w:val="TableText"/>
            </w:pPr>
            <w:r>
              <w:t>hoch schädlich</w:t>
            </w:r>
          </w:p>
        </w:tc>
        <w:tc>
          <w:tcPr>
            <w:tcW w:type="dxa" w:w="2381"/>
          </w:tcPr>
          <w:p>
            <w:pPr>
              <w:pStyle w:val="TableText"/>
            </w:pPr>
            <w:r>
              <w:t>25 %</w:t>
            </w:r>
          </w:p>
        </w:tc>
        <w:tc>
          <w:tcPr>
            <w:tcW w:type="dxa" w:w="2381"/>
          </w:tcPr>
          <w:p>
            <w:pPr>
              <w:pStyle w:val="TableText"/>
            </w:pPr>
            <w:r>
              <w:t>rote Linie oder starke negative Wirkung</w:t>
            </w:r>
          </w:p>
        </w:tc>
      </w:tr>
    </w:tbl>
    <w:p>
      <w:pPr>
        <w:pStyle w:val="Heading2"/>
      </w:pPr>
      <w:r>
        <w:t>Reverse Merit Order und Nichtkompensation</w:t>
      </w:r>
    </w:p>
    <w:p>
      <w:pPr>
        <w:pStyle w:val="Quote"/>
      </w:pPr>
      <w:r>
        <w:t>Leitsatz: Das schwächste zentrale Wirkungsfeld setzt die Grenze der Produktbewertung.</w:t>
      </w:r>
    </w:p>
    <w:p>
      <w:pPr/>
      <w:r>
        <w:t>Die Reverse Merit Order ist der Kern des Missbrauchsschutzes. Nicht der Durchschnitt entscheidet, sondern das schwächste zentrale Wirkungsfeld. Dadurch kann ein Produkt schwere negative Wirkungen nicht durch positive Teilwerte überdecken.</w:t>
      </w:r>
    </w:p>
    <w:p>
      <w:pPr/>
      <w:r>
        <w:t>Das schützt gegen Greenwashing, SDG-Washing und Impact-Simulation. Ein Produkt mit guter Klimabilanz, aber Kinderarbeit, bleibt negativ. Ein Produkt mit hohem Recyclinganteil, aber toxischen Stoffen, bleibt kritisch. Ein Produkt mit Diversity-Kommunikation, aber massiver Umweltzerstörung, kann sich nicht gesundrechnen.</w:t>
      </w:r>
    </w:p>
    <w:p>
      <w:pPr/>
      <w:r>
        <w:t>Die Nichtkompensation bedeutet nicht, dass alle Abwägungen verboten sind. Sie bedeutet, dass bestimmte Wirkungsgrenzen nicht beliebig verrechnet werden dürfen. In demokratischer Politik bleiben Grenzfälle diskutierbar, aber die Datengrundlage macht den Konflikt sichtbar.</w:t>
      </w:r>
    </w:p>
    <w:p>
      <w:pPr>
        <w:pStyle w:val="Heading2"/>
      </w:pPr>
      <w:r>
        <w:t>Vorsteuerlogik und Lieferkettenwirkung</w:t>
      </w:r>
    </w:p>
    <w:p>
      <w:pPr/>
      <w:r>
        <w:t>Die Vorsteuerlogik ist der entscheidende Hebel in der Lieferkette. Im heutigen System kann Umsatzsteuer in der Kette weitgehend durchgereicht werden. Wirkungen schlechter Vorleistungen bleiben ökonomisch oft unsichtbar. In der Wirkungsökonomie wird die Vorsteuerfähigkeit an positive oder mindestens tragfähige Wirkung gekoppelt.</w:t>
      </w:r>
    </w:p>
    <w:p>
      <w:pPr/>
      <w:r>
        <w:t>Lieferanten mit positiven Scores werden attraktiver, weil ihre Vorleistungen steuerlich besser wirken. Lieferanten mit negativen Scores werden zum realen Kostenrisiko. Dadurch entsteht ein Wettbewerb um bessere Wirkung nicht erst am Endprodukt, sondern bereits bei Rohstoffen, Vorprodukten und Dienstleistungen.</w:t>
      </w:r>
    </w:p>
    <w:p>
      <w:pPr/>
      <w:r>
        <w:t>Diese Logik ist besonders wichtig für globale Lieferketten. Sie verhindert, dass Wirkung durch Auslagerung verschwindet. Wer schlechte Vorprodukte importiert oder verarbeitet, trägt die Wirkungskosten in der Kette.</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F6F1E8"/>
          </w:tcPr>
          <w:p>
            <w:pPr>
              <w:pStyle w:val="TableText"/>
            </w:pPr>
            <w:r>
              <w:rPr>
                <w:rFonts w:ascii="Source Sans 3" w:hAnsi="Source Sans 3" w:eastAsia="Source Sans 3"/>
                <w:b/>
                <w:color w:val="0B1020"/>
                <w:sz w:val="18"/>
              </w:rPr>
              <w:t>Vorleistung</w:t>
            </w:r>
          </w:p>
        </w:tc>
        <w:tc>
          <w:tcPr>
            <w:tcW w:type="dxa" w:w="2381"/>
            <w:shd w:fill="F6F1E8"/>
          </w:tcPr>
          <w:p>
            <w:pPr>
              <w:pStyle w:val="TableText"/>
            </w:pPr>
            <w:r>
              <w:rPr>
                <w:rFonts w:ascii="Source Sans 3" w:hAnsi="Source Sans 3" w:eastAsia="Source Sans 3"/>
                <w:b/>
                <w:color w:val="0B1020"/>
                <w:sz w:val="18"/>
              </w:rPr>
              <w:t>Wirkungsscore</w:t>
            </w:r>
          </w:p>
        </w:tc>
        <w:tc>
          <w:tcPr>
            <w:tcW w:type="dxa" w:w="2381"/>
            <w:shd w:fill="F6F1E8"/>
          </w:tcPr>
          <w:p>
            <w:pPr>
              <w:pStyle w:val="TableText"/>
            </w:pPr>
            <w:r>
              <w:rPr>
                <w:rFonts w:ascii="Source Sans 3" w:hAnsi="Source Sans 3" w:eastAsia="Source Sans 3"/>
                <w:b/>
                <w:color w:val="0B1020"/>
                <w:sz w:val="18"/>
              </w:rPr>
              <w:t>Steuerliche Wirkung</w:t>
            </w:r>
          </w:p>
        </w:tc>
        <w:tc>
          <w:tcPr>
            <w:tcW w:type="dxa" w:w="2381"/>
            <w:shd w:fill="F6F1E8"/>
          </w:tcPr>
          <w:p>
            <w:pPr>
              <w:pStyle w:val="TableText"/>
            </w:pPr>
            <w:r>
              <w:rPr>
                <w:rFonts w:ascii="Source Sans 3" w:hAnsi="Source Sans 3" w:eastAsia="Source Sans 3"/>
                <w:b/>
                <w:color w:val="0B1020"/>
                <w:sz w:val="18"/>
              </w:rPr>
              <w:t>Anreiz</w:t>
            </w:r>
          </w:p>
        </w:tc>
      </w:tr>
      <w:tr>
        <w:tc>
          <w:tcPr>
            <w:tcW w:type="dxa" w:w="2381"/>
          </w:tcPr>
          <w:p>
            <w:pPr>
              <w:pStyle w:val="TableText"/>
            </w:pPr>
            <w:r>
              <w:t>positive Vorleistung</w:t>
            </w:r>
          </w:p>
        </w:tc>
        <w:tc>
          <w:tcPr>
            <w:tcW w:type="dxa" w:w="2381"/>
          </w:tcPr>
          <w:p>
            <w:pPr>
              <w:pStyle w:val="TableText"/>
            </w:pPr>
            <w:r>
              <w:t>+1 bis +3</w:t>
            </w:r>
          </w:p>
        </w:tc>
        <w:tc>
          <w:tcPr>
            <w:tcW w:type="dxa" w:w="2381"/>
          </w:tcPr>
          <w:p>
            <w:pPr>
              <w:pStyle w:val="TableText"/>
            </w:pPr>
            <w:r>
              <w:t>vorsteuerfähig / Bonus möglich</w:t>
            </w:r>
          </w:p>
        </w:tc>
        <w:tc>
          <w:tcPr>
            <w:tcW w:type="dxa" w:w="2381"/>
          </w:tcPr>
          <w:p>
            <w:pPr>
              <w:pStyle w:val="TableText"/>
            </w:pPr>
            <w:r>
              <w:t>Lieferant wird attraktiver</w:t>
            </w:r>
          </w:p>
        </w:tc>
      </w:tr>
      <w:tr>
        <w:tc>
          <w:tcPr>
            <w:tcW w:type="dxa" w:w="2381"/>
          </w:tcPr>
          <w:p>
            <w:pPr>
              <w:pStyle w:val="TableText"/>
            </w:pPr>
            <w:r>
              <w:t>neutrale Vorleistung</w:t>
            </w:r>
          </w:p>
        </w:tc>
        <w:tc>
          <w:tcPr>
            <w:tcW w:type="dxa" w:w="2381"/>
          </w:tcPr>
          <w:p>
            <w:pPr>
              <w:pStyle w:val="TableText"/>
            </w:pPr>
            <w:r>
              <w:t>0</w:t>
            </w:r>
          </w:p>
        </w:tc>
        <w:tc>
          <w:tcPr>
            <w:tcW w:type="dxa" w:w="2381"/>
          </w:tcPr>
          <w:p>
            <w:pPr>
              <w:pStyle w:val="TableText"/>
            </w:pPr>
            <w:r>
              <w:t>Übergangs- oder Standardbehandlung</w:t>
            </w:r>
          </w:p>
        </w:tc>
        <w:tc>
          <w:tcPr>
            <w:tcW w:type="dxa" w:w="2381"/>
          </w:tcPr>
          <w:p>
            <w:pPr>
              <w:pStyle w:val="TableText"/>
            </w:pPr>
            <w:r>
              <w:t>Verbesserungsanreiz</w:t>
            </w:r>
          </w:p>
        </w:tc>
      </w:tr>
      <w:tr>
        <w:tc>
          <w:tcPr>
            <w:tcW w:type="dxa" w:w="2381"/>
          </w:tcPr>
          <w:p>
            <w:pPr>
              <w:pStyle w:val="TableText"/>
            </w:pPr>
            <w:r>
              <w:t>negative Vorleistung</w:t>
            </w:r>
          </w:p>
        </w:tc>
        <w:tc>
          <w:tcPr>
            <w:tcW w:type="dxa" w:w="2381"/>
          </w:tcPr>
          <w:p>
            <w:pPr>
              <w:pStyle w:val="TableText"/>
            </w:pPr>
            <w:r>
              <w:t>-1 bis -3</w:t>
            </w:r>
          </w:p>
        </w:tc>
        <w:tc>
          <w:tcPr>
            <w:tcW w:type="dxa" w:w="2381"/>
          </w:tcPr>
          <w:p>
            <w:pPr>
              <w:pStyle w:val="TableText"/>
            </w:pPr>
            <w:r>
              <w:t>nicht oder vermindert vorsteuerfähig</w:t>
            </w:r>
          </w:p>
        </w:tc>
        <w:tc>
          <w:tcPr>
            <w:tcW w:type="dxa" w:w="2381"/>
          </w:tcPr>
          <w:p>
            <w:pPr>
              <w:pStyle w:val="TableText"/>
            </w:pPr>
            <w:r>
              <w:t>Kosten bleiben in der Kette hängen</w:t>
            </w:r>
          </w:p>
        </w:tc>
      </w:tr>
      <w:tr>
        <w:tc>
          <w:tcPr>
            <w:tcW w:type="dxa" w:w="2381"/>
          </w:tcPr>
          <w:p>
            <w:pPr>
              <w:pStyle w:val="TableText"/>
            </w:pPr>
            <w:r>
              <w:t>fehlende Daten</w:t>
            </w:r>
          </w:p>
        </w:tc>
        <w:tc>
          <w:tcPr>
            <w:tcW w:type="dxa" w:w="2381"/>
          </w:tcPr>
          <w:p>
            <w:pPr>
              <w:pStyle w:val="TableText"/>
            </w:pPr>
            <w:r>
              <w:t>unbekannt</w:t>
            </w:r>
          </w:p>
        </w:tc>
        <w:tc>
          <w:tcPr>
            <w:tcW w:type="dxa" w:w="2381"/>
          </w:tcPr>
          <w:p>
            <w:pPr>
              <w:pStyle w:val="TableText"/>
            </w:pPr>
            <w:r>
              <w:t>konservative Einstufung / Nachweispflicht</w:t>
            </w:r>
          </w:p>
        </w:tc>
        <w:tc>
          <w:tcPr>
            <w:tcW w:type="dxa" w:w="2381"/>
          </w:tcPr>
          <w:p>
            <w:pPr>
              <w:pStyle w:val="TableText"/>
            </w:pPr>
            <w:r>
              <w:t>keine Vorteile durch Nichtwissen</w:t>
            </w:r>
          </w:p>
        </w:tc>
      </w:tr>
    </w:tbl>
    <w:p>
      <w:pPr>
        <w:pStyle w:val="Heading2"/>
      </w:pPr>
      <w:r>
        <w:t>Importe, Grenzausgleich und internationale Anschlussfähigkeit</w:t>
      </w:r>
    </w:p>
    <w:p>
      <w:pPr/>
      <w:r>
        <w:t>Die Wirkungsumsatzsteuer muss internationale Lieferketten berücksichtigen. Importe dürfen nicht zur Umgehung der Wirkungsmessung führen. Dafür braucht es eine Anschlusslogik an Zollwerte, Produktpässe, Lieferkettendaten, CBAM-ähnliche Grenzausgleichsmechanismen und international anschlussfähige Standards.</w:t>
      </w:r>
    </w:p>
    <w:p>
      <w:pPr/>
      <w:r>
        <w:t>Der EU-CBAM zeigt bereits, dass eingebettete Emissionen importierter Güter politisch und administrativ relevant gemacht werden können. Die WUSt geht konzeptionell weiter: Sie betrachtet nicht nur CO2, sondern die relevanten Wirkungsfelder eines Produkts. Damit ist sie anspruchsvoller, aber auch systemisch vollständiger.</w:t>
      </w:r>
    </w:p>
    <w:p>
      <w:pPr/>
      <w:r>
        <w:t>Internationale Anschlussfähigkeit entsteht durch SDGs, CSRD/ESRS, GRI, Taxonomie, NACE/Produktklassen, DPP und prüfbare Datenräume. Die WUSt darf nicht als nationaler Sonderweg ohne Standards gebaut werden. Sie muss als europäisch und global anschlussfähige Wirkungsarchitektur gedacht werden.</w:t>
      </w:r>
    </w:p>
    <w:p>
      <w:pPr>
        <w:pStyle w:val="Heading2"/>
      </w:pPr>
      <w:r>
        <w:t>Kaufkraftschutz und soziale Abfederung</w:t>
      </w:r>
    </w:p>
    <w:p>
      <w:pPr/>
      <w:r>
        <w:t>Eine wirkungsorientierte Steuer darf nicht soziale Härten verschärfen. Wenn schädliche Produkte teurer werden, müssen Grundbedarf, einkommensschwache Haushalte und Übergangsphasen geschützt werden. Die Wirkungsökonomie ist nur anschlussfähig, wenn sie Preiswahrheit mit sozialem Ausgleich verbindet.</w:t>
      </w:r>
    </w:p>
    <w:p>
      <w:pPr/>
      <w:r>
        <w:t>Kaufkraftschutz kann über Grundbedarfskörbe, Wirkungsdividenden, zielgerichtete Entlastung, Übergangsfristen, Investitionshilfen und transparente Preisumstellung erfolgen. Ziel ist nicht, Menschen zu bestrafen, sondern destruktive Geschäftsmodelle schrittweise unattraktiver zu machen und gute Alternativen günstiger.</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Risiko</w:t>
            </w:r>
          </w:p>
        </w:tc>
        <w:tc>
          <w:tcPr>
            <w:tcW w:type="dxa" w:w="3175"/>
            <w:shd w:fill="F6F1E8"/>
          </w:tcPr>
          <w:p>
            <w:pPr>
              <w:pStyle w:val="TableText"/>
            </w:pPr>
            <w:r>
              <w:rPr>
                <w:rFonts w:ascii="Source Sans 3" w:hAnsi="Source Sans 3" w:eastAsia="Source Sans 3"/>
                <w:b/>
                <w:color w:val="0B1020"/>
                <w:sz w:val="18"/>
              </w:rPr>
              <w:t>Schutzmechanismus</w:t>
            </w:r>
          </w:p>
        </w:tc>
        <w:tc>
          <w:tcPr>
            <w:tcW w:type="dxa" w:w="3175"/>
            <w:shd w:fill="F6F1E8"/>
          </w:tcPr>
          <w:p>
            <w:pPr>
              <w:pStyle w:val="TableText"/>
            </w:pPr>
            <w:r>
              <w:rPr>
                <w:rFonts w:ascii="Source Sans 3" w:hAnsi="Source Sans 3" w:eastAsia="Source Sans 3"/>
                <w:b/>
                <w:color w:val="0B1020"/>
                <w:sz w:val="18"/>
              </w:rPr>
              <w:t>Wirkungsökonomische Logik</w:t>
            </w:r>
          </w:p>
        </w:tc>
      </w:tr>
      <w:tr>
        <w:tc>
          <w:tcPr>
            <w:tcW w:type="dxa" w:w="3175"/>
          </w:tcPr>
          <w:p>
            <w:pPr>
              <w:pStyle w:val="TableText"/>
            </w:pPr>
            <w:r>
              <w:t>höhere Preise bei Grundbedarf</w:t>
            </w:r>
          </w:p>
        </w:tc>
        <w:tc>
          <w:tcPr>
            <w:tcW w:type="dxa" w:w="3175"/>
          </w:tcPr>
          <w:p>
            <w:pPr>
              <w:pStyle w:val="TableText"/>
            </w:pPr>
            <w:r>
              <w:t>Sozialausgleich, Grundbedarfskorridor, Wirkungsdividende</w:t>
            </w:r>
          </w:p>
        </w:tc>
        <w:tc>
          <w:tcPr>
            <w:tcW w:type="dxa" w:w="3175"/>
          </w:tcPr>
          <w:p>
            <w:pPr>
              <w:pStyle w:val="TableText"/>
            </w:pPr>
            <w:r>
              <w:t>Preiswahrheit darf nicht Armut verstärken</w:t>
            </w:r>
          </w:p>
        </w:tc>
      </w:tr>
      <w:tr>
        <w:tc>
          <w:tcPr>
            <w:tcW w:type="dxa" w:w="3175"/>
          </w:tcPr>
          <w:p>
            <w:pPr>
              <w:pStyle w:val="TableText"/>
            </w:pPr>
            <w:r>
              <w:t>KMU-Überforderung</w:t>
            </w:r>
          </w:p>
        </w:tc>
        <w:tc>
          <w:tcPr>
            <w:tcW w:type="dxa" w:w="3175"/>
          </w:tcPr>
          <w:p>
            <w:pPr>
              <w:pStyle w:val="TableText"/>
            </w:pPr>
            <w:r>
              <w:t>vereinfachte Scorecards, Branchenprofile, Beratung</w:t>
            </w:r>
          </w:p>
        </w:tc>
        <w:tc>
          <w:tcPr>
            <w:tcW w:type="dxa" w:w="3175"/>
          </w:tcPr>
          <w:p>
            <w:pPr>
              <w:pStyle w:val="TableText"/>
            </w:pPr>
            <w:r>
              <w:t>Datenlast proportional halten</w:t>
            </w:r>
          </w:p>
        </w:tc>
      </w:tr>
      <w:tr>
        <w:tc>
          <w:tcPr>
            <w:tcW w:type="dxa" w:w="3175"/>
          </w:tcPr>
          <w:p>
            <w:pPr>
              <w:pStyle w:val="TableText"/>
            </w:pPr>
            <w:r>
              <w:t>Transformationsschock</w:t>
            </w:r>
          </w:p>
        </w:tc>
        <w:tc>
          <w:tcPr>
            <w:tcW w:type="dxa" w:w="3175"/>
          </w:tcPr>
          <w:p>
            <w:pPr>
              <w:pStyle w:val="TableText"/>
            </w:pPr>
            <w:r>
              <w:t>Pilotsektoren, Fristen, Förderkredite</w:t>
            </w:r>
          </w:p>
        </w:tc>
        <w:tc>
          <w:tcPr>
            <w:tcW w:type="dxa" w:w="3175"/>
          </w:tcPr>
          <w:p>
            <w:pPr>
              <w:pStyle w:val="TableText"/>
            </w:pPr>
            <w:r>
              <w:t>Lernen statt Strafen</w:t>
            </w:r>
          </w:p>
        </w:tc>
      </w:tr>
      <w:tr>
        <w:tc>
          <w:tcPr>
            <w:tcW w:type="dxa" w:w="3175"/>
          </w:tcPr>
          <w:p>
            <w:pPr>
              <w:pStyle w:val="TableText"/>
            </w:pPr>
            <w:r>
              <w:t>Importverlagerung</w:t>
            </w:r>
          </w:p>
        </w:tc>
        <w:tc>
          <w:tcPr>
            <w:tcW w:type="dxa" w:w="3175"/>
          </w:tcPr>
          <w:p>
            <w:pPr>
              <w:pStyle w:val="TableText"/>
            </w:pPr>
            <w:r>
              <w:t>DPP, Grenzausgleich, Lieferkettennachweise</w:t>
            </w:r>
          </w:p>
        </w:tc>
        <w:tc>
          <w:tcPr>
            <w:tcW w:type="dxa" w:w="3175"/>
          </w:tcPr>
          <w:p>
            <w:pPr>
              <w:pStyle w:val="TableText"/>
            </w:pPr>
            <w:r>
              <w:t>Wirkung darf nicht ausgelagert werden</w:t>
            </w:r>
          </w:p>
        </w:tc>
      </w:tr>
    </w:tbl>
    <w:p>
      <w:pPr>
        <w:pStyle w:val="Heading2"/>
      </w:pPr>
      <w:r>
        <w:t>KMU, Übergang und Verwaltungspraktikabilität</w:t>
      </w:r>
    </w:p>
    <w:p>
      <w:pPr/>
      <w:r>
        <w:t>Die WUSt muss für kleine und mittlere Unternehmen machbar sein. Nicht jedes Unternehmen kann sofort produktscharfe Lieferkettendaten in Konzernqualität liefern. Deshalb braucht es Stufenmodelle: zunächst datenreiche Branchen, freiwillige Piloten, Standardprofile, Branchenbenchmarks und einfache Toolunterstützung.</w:t>
      </w:r>
    </w:p>
    <w:p>
      <w:pPr/>
      <w:r>
        <w:t>Verwaltungspraktikabilität entsteht durch digitale Register, WÖk-IDs, Standardarchetypen, Schnittstellen zu Buchhaltung und Produktpässen, klare Prüfregeln und pragmatische Übergänge. Die Wirkungsökonomie darf nicht zu einer Bürokratiemaximierung werden. Ihr Ziel ist mittelfristig Bürokratieabbau durch bessere Grundsignale.</w:t>
      </w:r>
    </w:p>
    <w:p>
      <w:pPr>
        <w:pStyle w:val="Heading2"/>
      </w:pPr>
      <w:r>
        <w:t>Wirkungsrat, Audit und Missbrauchsschutz</w:t>
      </w:r>
    </w:p>
    <w:p>
      <w:pPr/>
      <w:r>
        <w:t>Der Wirkungsrat sichert die methodische Entwicklung der WUSt. Er aktualisiert WÖk-IDs, Benchmarks, rote Linien und Prüfstandards. Er schützt vor Lobbyismus, Greenwashing, Datenmanipulation und politischer Vereinnahmung. Audit und Assurance sind nötig, weil jede Kennzahl manipulierbar wird, sobald sie relevant ist.</w:t>
      </w:r>
    </w:p>
    <w:p>
      <w:pPr/>
      <w:r>
        <w:t>Missbrauchsschutz bedeutet: Datenqualität ausweisen, Unsicherheit markieren, Stichproben prüfen, Beschwerden ermöglichen, Versionierung offenlegen und Korrekturen vornehmen. Die WUSt ist eine lernende Architektur, keine perfekte Maschine.</w:t>
      </w:r>
    </w:p>
    <w:p>
      <w:pPr>
        <w:pStyle w:val="Heading2"/>
      </w:pPr>
      <w:r>
        <w:t>Politische Anschlussfähigkeit</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Preise, Steuern, Produktdaten und Verbraucherinformation so rahmen, dass reale Wirkung sichtbar und rückkoppelbar wird.</w:t>
            </w:r>
          </w:p>
        </w:tc>
      </w:tr>
      <w:tr>
        <w:tc>
          <w:tcPr>
            <w:tcW w:type="dxa" w:w="4762"/>
          </w:tcPr>
          <w:p>
            <w:pPr>
              <w:pStyle w:val="TableText"/>
            </w:pPr>
            <w:r>
              <w:t>Politische Rahmenbedingungen</w:t>
            </w:r>
          </w:p>
        </w:tc>
        <w:tc>
          <w:tcPr>
            <w:tcW w:type="dxa" w:w="4762"/>
          </w:tcPr>
          <w:p>
            <w:pPr>
              <w:pStyle w:val="TableText"/>
            </w:pPr>
            <w:r>
              <w:t>Wirkungsregister, WÖk-IDs, DPP-Anschluss, Auditstandards, KMU-Erleichterungen, Übergangsfristen und Rechtsschutz.</w:t>
            </w:r>
          </w:p>
        </w:tc>
      </w:tr>
      <w:tr>
        <w:tc>
          <w:tcPr>
            <w:tcW w:type="dxa" w:w="4762"/>
          </w:tcPr>
          <w:p>
            <w:pPr>
              <w:pStyle w:val="TableText"/>
            </w:pPr>
            <w:r>
              <w:t>Ausgestaltungsspielraum</w:t>
            </w:r>
          </w:p>
        </w:tc>
        <w:tc>
          <w:tcPr>
            <w:tcW w:type="dxa" w:w="4762"/>
          </w:tcPr>
          <w:p>
            <w:pPr>
              <w:pStyle w:val="TableText"/>
            </w:pPr>
            <w:r>
              <w:t>Parteien können Tempo, Steuerklassen, Pilotsektoren, Sozialausgleich, Förderung, Sanktionen und Grenzfälle unterschiedlich gewichten.</w:t>
            </w:r>
          </w:p>
        </w:tc>
      </w:tr>
      <w:tr>
        <w:tc>
          <w:tcPr>
            <w:tcW w:type="dxa" w:w="4762"/>
          </w:tcPr>
          <w:p>
            <w:pPr>
              <w:pStyle w:val="TableText"/>
            </w:pPr>
            <w:r>
              <w:t>Zielkonflikte</w:t>
            </w:r>
          </w:p>
        </w:tc>
        <w:tc>
          <w:tcPr>
            <w:tcW w:type="dxa" w:w="4762"/>
          </w:tcPr>
          <w:p>
            <w:pPr>
              <w:pStyle w:val="TableText"/>
            </w:pPr>
            <w:r>
              <w:t>Kaufkraftschutz, Wettbewerbsfähigkeit, Datenlast, Innovation, Datenschutz, EU-Recht und internationale Lieferketten müssen austariert werden.</w:t>
            </w:r>
          </w:p>
        </w:tc>
      </w:tr>
      <w:tr>
        <w:tc>
          <w:tcPr>
            <w:tcW w:type="dxa" w:w="4762"/>
          </w:tcPr>
          <w:p>
            <w:pPr>
              <w:pStyle w:val="TableText"/>
            </w:pPr>
            <w:r>
              <w:t>Rollenverteilung</w:t>
            </w:r>
          </w:p>
        </w:tc>
        <w:tc>
          <w:tcPr>
            <w:tcW w:type="dxa" w:w="4762"/>
          </w:tcPr>
          <w:p>
            <w:pPr>
              <w:pStyle w:val="TableText"/>
            </w:pPr>
            <w:r>
              <w:t>EU, Bund, Länder, Kommunen, Unternehmen, Handel, Prüfer:innen, Wissenschaft, Verbraucher:innen und Wirkungsrat tragen unterschiedliche Aufgaben.</w:t>
            </w:r>
          </w:p>
        </w:tc>
      </w:tr>
      <w:tr>
        <w:tc>
          <w:tcPr>
            <w:tcW w:type="dxa" w:w="4762"/>
          </w:tcPr>
          <w:p>
            <w:pPr>
              <w:pStyle w:val="TableText"/>
            </w:pPr>
            <w:r>
              <w:t>Übergang und Schutz</w:t>
            </w:r>
          </w:p>
        </w:tc>
        <w:tc>
          <w:tcPr>
            <w:tcW w:type="dxa" w:w="4762"/>
          </w:tcPr>
          <w:p>
            <w:pPr>
              <w:pStyle w:val="TableText"/>
            </w:pPr>
            <w:r>
              <w:t>Kleine Unternehmen, Grundbedarf, vulnerable Haushalte und Transformationsbranchen brauchen Übergang, Beratung und soziale Abfederung.</w:t>
            </w:r>
          </w:p>
        </w:tc>
      </w:tr>
      <w:tr>
        <w:tc>
          <w:tcPr>
            <w:tcW w:type="dxa" w:w="4762"/>
          </w:tcPr>
          <w:p>
            <w:pPr>
              <w:pStyle w:val="TableText"/>
            </w:pPr>
            <w:r>
              <w:t>Evaluation und Korrektur</w:t>
            </w:r>
          </w:p>
        </w:tc>
        <w:tc>
          <w:tcPr>
            <w:tcW w:type="dxa" w:w="4762"/>
          </w:tcPr>
          <w:p>
            <w:pPr>
              <w:pStyle w:val="TableText"/>
            </w:pPr>
            <w:r>
              <w:t>Wirkungsberichte, Revisionszyklen, öffentliche Konsultation und unabhängige Assurance halten das System lernfähig.</w:t>
            </w:r>
          </w:p>
        </w:tc>
      </w:tr>
      <w:tr>
        <w:tc>
          <w:tcPr>
            <w:tcW w:type="dxa" w:w="4762"/>
          </w:tcPr>
          <w:p>
            <w:pPr>
              <w:pStyle w:val="TableText"/>
            </w:pPr>
            <w:r>
              <w:t>Schutz vor Technokratie</w:t>
            </w:r>
          </w:p>
        </w:tc>
        <w:tc>
          <w:tcPr>
            <w:tcW w:type="dxa" w:w="4762"/>
          </w:tcPr>
          <w:p>
            <w:pPr>
              <w:pStyle w:val="TableText"/>
            </w:pPr>
            <w:r>
              <w:t>Wirkungsdaten bereiten Entscheidungen vor, ersetzen sie aber nicht. Normative Entscheidungen bleiben demokratisch legitimiert.</w:t>
            </w:r>
          </w:p>
        </w:tc>
      </w:tr>
    </w:tbl>
    <w:p>
      <w:pPr>
        <w:pStyle w:val="Heading2"/>
      </w:pPr>
      <w:r>
        <w:t>Tool- und Website-Integration</w:t>
      </w:r>
    </w:p>
    <w:p>
      <w:pPr/>
      <w:r>
        <w:t>Dieses Detailkonzept gehört unter die Portalvertiefung „Wirkungsumsatzsteuer / Produktwirkungssteuer“. Der bestehende Portaltext bleibt als verständlicher Einstieg bestehen. Das Detailkonzept wird als Online-Volltext und Download ergänzt.</w:t>
      </w:r>
    </w:p>
    <w:p>
      <w:pPr>
        <w:pStyle w:val="ListBullet"/>
      </w:pPr>
      <w:r>
        <w:t>Wirkungssteuer-Simulator: zeigt Steuerklasse nach Scorefeldern.</w:t>
      </w:r>
    </w:p>
    <w:p>
      <w:pPr>
        <w:pStyle w:val="ListBullet"/>
      </w:pPr>
      <w:r>
        <w:t>Vorsteuerketten-Rechner: zeigt, wie Lieferantenscores in der Kette wirken.</w:t>
      </w:r>
    </w:p>
    <w:p>
      <w:pPr>
        <w:pStyle w:val="ListBullet"/>
      </w:pPr>
      <w:r>
        <w:t>Apfel-Rechner: veranschaulicht NACE, SDG-Zuordnung, Daten und Steuerklasse.</w:t>
      </w:r>
    </w:p>
    <w:p>
      <w:pPr>
        <w:pStyle w:val="ListBullet"/>
      </w:pPr>
      <w:r>
        <w:t>T-Shirt-Lieferkettenrechner: demonstriert Import, Vorsteuer und Score-Engpässe.</w:t>
      </w:r>
    </w:p>
    <w:p>
      <w:pPr>
        <w:pStyle w:val="ListBullet"/>
      </w:pPr>
      <w:r>
        <w:t>Kaufkraftschutz-Modul: zeigt soziale Abfederungsvarianten.</w:t>
      </w:r>
    </w:p>
    <w:p>
      <w:pPr>
        <w:pStyle w:val="Heading2"/>
      </w:pPr>
      <w:r>
        <w:t>SDG-/SDG+-Bezug</w:t>
      </w:r>
    </w:p>
    <w:p>
      <w:pPr/>
      <w:r>
        <w:t>Relevante SDGs sind SDG 1, 2, 3, 6, 8, 9, 10, 12, 13, 14, 15, 16 und 17. Die Wirkungsumsatzsteuer übersetzt diese Ziele in Preis- und Steuerlogik. SDG+ ist relevant, weil demokratische Legitimation, Rechtsstaatlichkeit, Medienqualität und institutionelles Vertrauen über die Akzeptanz des Systems entscheiden.</w:t>
      </w:r>
    </w:p>
    <w:p>
      <w:pPr>
        <w:pStyle w:val="Heading2"/>
      </w:pPr>
      <w:r>
        <w:t>Quellen und Fazit</w:t>
      </w:r>
    </w:p>
    <w:p>
      <w:pPr/>
      <w:r>
        <w:t>Die Wirkungsumsatzsteuer ist der praktische Kern der Produkt- und Konsumlogik der Wirkungsökonomie. Sie ersetzt nicht Markt und Wettbewerb, sondern gibt ihnen eine bessere Informationsgrundlage. Wenn Preise Wirkung tragen, wird nachhaltiges Handeln nicht länger nur moralisch wünschenswert, sondern ökonomisch rational.</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Quelle / Anschlussstelle</w:t>
            </w:r>
          </w:p>
        </w:tc>
        <w:tc>
          <w:tcPr>
            <w:tcW w:type="dxa" w:w="3175"/>
            <w:shd w:fill="F6F1E8"/>
          </w:tcPr>
          <w:p>
            <w:pPr>
              <w:pStyle w:val="TableText"/>
            </w:pPr>
            <w:r>
              <w:rPr>
                <w:rFonts w:ascii="Source Sans 3" w:hAnsi="Source Sans 3" w:eastAsia="Source Sans 3"/>
                <w:b/>
                <w:color w:val="0B1020"/>
                <w:sz w:val="18"/>
              </w:rPr>
              <w:t>Bedeutung</w:t>
            </w:r>
          </w:p>
        </w:tc>
        <w:tc>
          <w:tcPr>
            <w:tcW w:type="dxa" w:w="3175"/>
            <w:shd w:fill="F6F1E8"/>
          </w:tcPr>
          <w:p>
            <w:pPr>
              <w:pStyle w:val="TableText"/>
            </w:pPr>
            <w:r>
              <w:rPr>
                <w:rFonts w:ascii="Source Sans 3" w:hAnsi="Source Sans 3" w:eastAsia="Source Sans 3"/>
                <w:b/>
                <w:color w:val="0B1020"/>
                <w:sz w:val="18"/>
              </w:rPr>
              <w:t>Referenz</w:t>
            </w:r>
          </w:p>
        </w:tc>
      </w:tr>
      <w:tr>
        <w:tc>
          <w:tcPr>
            <w:tcW w:type="dxa" w:w="3175"/>
          </w:tcPr>
          <w:p>
            <w:pPr>
              <w:pStyle w:val="TableText"/>
            </w:pPr>
            <w:r>
              <w:t>WP Produkte</w:t>
            </w:r>
          </w:p>
        </w:tc>
        <w:tc>
          <w:tcPr>
            <w:tcW w:type="dxa" w:w="3175"/>
          </w:tcPr>
          <w:p>
            <w:pPr>
              <w:pStyle w:val="TableText"/>
            </w:pPr>
            <w:r>
              <w:t>Grundlage für Produktbesteuerung, ehrliche Preise, Wirkungssteuer und Marktlogik.</w:t>
            </w:r>
          </w:p>
        </w:tc>
        <w:tc>
          <w:tcPr>
            <w:tcW w:type="dxa" w:w="3175"/>
          </w:tcPr>
          <w:p>
            <w:pPr>
              <w:pStyle w:val="TableText"/>
            </w:pPr>
            <w:r>
              <w:t>Interne Arbeitsbibliothek / Wirkungsökonomie</w:t>
            </w:r>
          </w:p>
        </w:tc>
      </w:tr>
      <w:tr>
        <w:tc>
          <w:tcPr>
            <w:tcW w:type="dxa" w:w="3175"/>
          </w:tcPr>
          <w:p>
            <w:pPr>
              <w:pStyle w:val="TableText"/>
            </w:pPr>
            <w:r>
              <w:t>Beispiel Apfel</w:t>
            </w:r>
          </w:p>
        </w:tc>
        <w:tc>
          <w:tcPr>
            <w:tcW w:type="dxa" w:w="3175"/>
          </w:tcPr>
          <w:p>
            <w:pPr>
              <w:pStyle w:val="TableText"/>
            </w:pPr>
            <w:r>
              <w:t>NACE-Zuordnung, CSRD/ESRS/GRI-Daten, Reverse Merit Order und Steuerklassen am Produktbeispiel.</w:t>
            </w:r>
          </w:p>
        </w:tc>
        <w:tc>
          <w:tcPr>
            <w:tcW w:type="dxa" w:w="3175"/>
          </w:tcPr>
          <w:p>
            <w:pPr>
              <w:pStyle w:val="TableText"/>
            </w:pPr>
            <w:r>
              <w:t>Interne Arbeitsbibliothek / Wirkungsökonomie</w:t>
            </w:r>
          </w:p>
        </w:tc>
      </w:tr>
      <w:tr>
        <w:tc>
          <w:tcPr>
            <w:tcW w:type="dxa" w:w="3175"/>
          </w:tcPr>
          <w:p>
            <w:pPr>
              <w:pStyle w:val="TableText"/>
            </w:pPr>
            <w:r>
              <w:t>Technische Leitlinien WUStG</w:t>
            </w:r>
          </w:p>
        </w:tc>
        <w:tc>
          <w:tcPr>
            <w:tcW w:type="dxa" w:w="3175"/>
          </w:tcPr>
          <w:p>
            <w:pPr>
              <w:pStyle w:val="TableText"/>
            </w:pPr>
            <w:r>
              <w:t>WÖk-IDs, Scorecards, Archetypen, Benchmarks, Datenqualität und Assurance.</w:t>
            </w:r>
          </w:p>
        </w:tc>
        <w:tc>
          <w:tcPr>
            <w:tcW w:type="dxa" w:w="3175"/>
          </w:tcPr>
          <w:p>
            <w:pPr>
              <w:pStyle w:val="TableText"/>
            </w:pPr>
            <w:r>
              <w:t>Interne Arbeitsbibliothek / Wirkungsökonomie</w:t>
            </w:r>
          </w:p>
        </w:tc>
      </w:tr>
      <w:tr>
        <w:tc>
          <w:tcPr>
            <w:tcW w:type="dxa" w:w="3175"/>
          </w:tcPr>
          <w:p>
            <w:pPr>
              <w:pStyle w:val="TableText"/>
            </w:pPr>
            <w:r>
              <w:t>Wirkungsökonomie in der Lieferkette</w:t>
            </w:r>
          </w:p>
        </w:tc>
        <w:tc>
          <w:tcPr>
            <w:tcW w:type="dxa" w:w="3175"/>
          </w:tcPr>
          <w:p>
            <w:pPr>
              <w:pStyle w:val="TableText"/>
            </w:pPr>
            <w:r>
              <w:t>Vorsteuerlogik, Lieferkettenscores, Reverse Merit Order und globale Anschlussfähigkeit.</w:t>
            </w:r>
          </w:p>
        </w:tc>
        <w:tc>
          <w:tcPr>
            <w:tcW w:type="dxa" w:w="3175"/>
          </w:tcPr>
          <w:p>
            <w:pPr>
              <w:pStyle w:val="TableText"/>
            </w:pPr>
            <w:r>
              <w:t>Interne Arbeitsbibliothek / Wirkungsökonomie</w:t>
            </w:r>
          </w:p>
        </w:tc>
      </w:tr>
      <w:tr>
        <w:tc>
          <w:tcPr>
            <w:tcW w:type="dxa" w:w="3175"/>
          </w:tcPr>
          <w:p>
            <w:pPr>
              <w:pStyle w:val="TableText"/>
            </w:pPr>
            <w:r>
              <w:t>Die neue Ordnung des Wohlstands</w:t>
            </w:r>
          </w:p>
        </w:tc>
        <w:tc>
          <w:tcPr>
            <w:tcW w:type="dxa" w:w="3175"/>
          </w:tcPr>
          <w:p>
            <w:pPr>
              <w:pStyle w:val="TableText"/>
            </w:pPr>
            <w:r>
              <w:t>Buchanker: Produkte, Märkte, Preise, Produktscorecards, Apfelbeispiel, DPP und WUStG.</w:t>
            </w:r>
          </w:p>
        </w:tc>
        <w:tc>
          <w:tcPr>
            <w:tcW w:type="dxa" w:w="3175"/>
          </w:tcPr>
          <w:p>
            <w:pPr>
              <w:pStyle w:val="TableText"/>
            </w:pPr>
            <w:r>
              <w:t>Natalie Weber, 2026</w:t>
            </w:r>
          </w:p>
        </w:tc>
      </w:tr>
      <w:tr>
        <w:tc>
          <w:tcPr>
            <w:tcW w:type="dxa" w:w="3175"/>
          </w:tcPr>
          <w:p>
            <w:pPr>
              <w:pStyle w:val="TableText"/>
            </w:pPr>
            <w:r>
              <w:t>EU CSRD/ESRS</w:t>
            </w:r>
          </w:p>
        </w:tc>
        <w:tc>
          <w:tcPr>
            <w:tcW w:type="dxa" w:w="3175"/>
          </w:tcPr>
          <w:p>
            <w:pPr>
              <w:pStyle w:val="TableText"/>
            </w:pPr>
            <w:r>
              <w:t>Nachhaltigkeitsberichterstattung zu Risiken und Wirkungen; erste CSRD-Berichte für Geschäftsjahr 2024 in 2025.</w:t>
            </w:r>
          </w:p>
        </w:tc>
        <w:tc>
          <w:tcPr>
            <w:tcW w:type="dxa" w:w="3175"/>
          </w:tcPr>
          <w:p>
            <w:pPr>
              <w:pStyle w:val="TableText"/>
            </w:pPr>
            <w:r>
              <w:t>https://finance.ec.europa.eu/financial-markets/company-reporting-and-auditing/company-reporting/corporate-sustainability-reporting_en</w:t>
            </w:r>
          </w:p>
        </w:tc>
      </w:tr>
      <w:tr>
        <w:tc>
          <w:tcPr>
            <w:tcW w:type="dxa" w:w="3175"/>
          </w:tcPr>
          <w:p>
            <w:pPr>
              <w:pStyle w:val="TableText"/>
            </w:pPr>
            <w:r>
              <w:t>EU ESPR / DPP</w:t>
            </w:r>
          </w:p>
        </w:tc>
        <w:tc>
          <w:tcPr>
            <w:tcW w:type="dxa" w:w="3175"/>
          </w:tcPr>
          <w:p>
            <w:pPr>
              <w:pStyle w:val="TableText"/>
            </w:pPr>
            <w:r>
              <w:t>Digital Product Passport als digitale Identitätskarte für Produkte, Komponenten und Materialien.</w:t>
            </w:r>
          </w:p>
        </w:tc>
        <w:tc>
          <w:tcPr>
            <w:tcW w:type="dxa" w:w="3175"/>
          </w:tcPr>
          <w:p>
            <w:pPr>
              <w:pStyle w:val="TableText"/>
            </w:pPr>
            <w:r>
              <w:t>https://environment.ec.europa.eu/strategy/circular-economy/ecodesign-sustainable-products-regulation_en</w:t>
            </w:r>
          </w:p>
        </w:tc>
      </w:tr>
      <w:tr>
        <w:tc>
          <w:tcPr>
            <w:tcW w:type="dxa" w:w="3175"/>
          </w:tcPr>
          <w:p>
            <w:pPr>
              <w:pStyle w:val="TableText"/>
            </w:pPr>
            <w:r>
              <w:t>EU-Taxonomie</w:t>
            </w:r>
          </w:p>
        </w:tc>
        <w:tc>
          <w:tcPr>
            <w:tcW w:type="dxa" w:w="3175"/>
          </w:tcPr>
          <w:p>
            <w:pPr>
              <w:pStyle w:val="TableText"/>
            </w:pPr>
            <w:r>
              <w:t>Klassifikationssystem für ökologisch nachhaltige wirtschaftliche Aktivitäten.</w:t>
            </w:r>
          </w:p>
        </w:tc>
        <w:tc>
          <w:tcPr>
            <w:tcW w:type="dxa" w:w="3175"/>
          </w:tcPr>
          <w:p>
            <w:pPr>
              <w:pStyle w:val="TableText"/>
            </w:pPr>
            <w:r>
              <w:t>https://finance.ec.europa.eu/sustainable-finance/tools-and-standards/eu-taxonomy-sustainable-activities_en</w:t>
            </w:r>
          </w:p>
        </w:tc>
      </w:tr>
      <w:tr>
        <w:tc>
          <w:tcPr>
            <w:tcW w:type="dxa" w:w="3175"/>
          </w:tcPr>
          <w:p>
            <w:pPr>
              <w:pStyle w:val="TableText"/>
            </w:pPr>
            <w:r>
              <w:t>CBAM</w:t>
            </w:r>
          </w:p>
        </w:tc>
        <w:tc>
          <w:tcPr>
            <w:tcW w:type="dxa" w:w="3175"/>
          </w:tcPr>
          <w:p>
            <w:pPr>
              <w:pStyle w:val="TableText"/>
            </w:pPr>
            <w:r>
              <w:t>CO2-Grenzausgleich als Anschlusslogik für Importe und eingebettete Emissionen.</w:t>
            </w:r>
          </w:p>
        </w:tc>
        <w:tc>
          <w:tcPr>
            <w:tcW w:type="dxa" w:w="3175"/>
          </w:tcPr>
          <w:p>
            <w:pPr>
              <w:pStyle w:val="TableText"/>
            </w:pPr>
            <w:r>
              <w:t>https://taxation-customs.ec.europa.eu/carbon-border-adjustment-mechanism_en</w:t>
            </w:r>
          </w:p>
        </w:tc>
      </w:tr>
    </w:tbl>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