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Konzern- und Produktgruppenbeispiel: Von CSRD zur Produktscorecard</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Wie Nachhaltigkeitsberichte in produktbezogene Wirkungs- und Steuerungsdaten übersetzt werden können</w:t>
      </w:r>
    </w:p>
    <w:p>
      <w:pPr/>
      <w:r>
        <w:t>Autorin: Natalie Weber</w:t>
      </w:r>
    </w:p>
    <w:p>
      <w:pPr/>
      <w:r>
        <w:t>Referenz: Wirkungsökonomie</w:t>
      </w:r>
    </w:p>
    <w:p>
      <w:pPr/>
      <w:r>
        <w:t>Version: v1.0</w:t>
      </w:r>
    </w:p>
    <w:p>
      <w:pPr/>
      <w:r>
        <w:t>Stand: 24. Mai 2026</w:t>
      </w:r>
    </w:p>
    <w:p>
      <w:pPr>
        <w:pStyle w:val="Quote"/>
      </w:pPr>
      <w:r>
        <w:t>Wirkung darf nicht im Konzernmittelwert verschwinden.</w:t>
      </w:r>
    </w:p>
    <w:p>
      <w:pPr>
        <w:pStyle w:val="Heading2"/>
      </w:pPr>
      <w:r>
        <w:t>Kurzprofil</w:t>
      </w:r>
    </w:p>
    <w:p>
      <w:pPr>
        <w:pStyle w:val="ListBullet"/>
      </w:pPr>
      <w:r>
        <w:t>Unterbereich: Konzernbeispiel, Produktgruppen, CSRD-zu-Scorecard, BASF/Polyamid-Modell</w:t>
      </w:r>
    </w:p>
    <w:p>
      <w:pPr>
        <w:pStyle w:val="ListBullet"/>
      </w:pPr>
      <w:r>
        <w:t>Ziel: Die Brücke von CSRD/ESRS-Berichtsdaten zu Produktgruppen-Scorecards ausarbeiten.</w:t>
      </w:r>
    </w:p>
    <w:p>
      <w:pPr>
        <w:pStyle w:val="ListBullet"/>
      </w:pPr>
      <w:r>
        <w:t>Abgrenzung: Keine reale BASF-Bewertung; methodischer Modellfall.</w:t>
      </w:r>
    </w:p>
    <w:p>
      <w:pPr>
        <w:pStyle w:val="ListBullet"/>
      </w:pPr>
      <w:r>
        <w:t>Toolbezug: CSRD-zu-Produktscorecard-Demo, Produktpass-Mapping, WÖk-ID-Browser</w:t>
      </w:r>
    </w:p>
    <w:p>
      <w:pPr>
        <w:pStyle w:val="ListBullet"/>
      </w:pPr>
      <w:r>
        <w:t>Hauptverknüpfung: Wirtschaft &amp; Unternehmen, Wirkungscontrolling, Produkte, DPP, Scorecards</w:t>
      </w:r>
    </w:p>
    <w:p>
      <w:pPr>
        <w:pStyle w:val="Heading2"/>
      </w:pPr>
      <w:r>
        <w:t>Inhaltsübersicht</w:t>
      </w:r>
    </w:p>
    <w:p>
      <w:pPr>
        <w:pStyle w:val="ListNumber"/>
      </w:pPr>
      <w:r>
        <w:t>Executive Summary</w:t>
      </w:r>
    </w:p>
    <w:p>
      <w:pPr>
        <w:pStyle w:val="ListNumber"/>
      </w:pPr>
      <w:r>
        <w:t>Ausgangsdiagnose: Warum Konzernmittelwerte Wirkung verdecken</w:t>
      </w:r>
    </w:p>
    <w:p>
      <w:pPr>
        <w:pStyle w:val="ListNumber"/>
      </w:pPr>
      <w:r>
        <w:t>Vom CSRD-Bericht zur Produktscorecard</w:t>
      </w:r>
    </w:p>
    <w:p>
      <w:pPr>
        <w:pStyle w:val="ListNumber"/>
      </w:pPr>
      <w:r>
        <w:t>BASF Polyamid als Modellfall</w:t>
      </w:r>
    </w:p>
    <w:p>
      <w:pPr>
        <w:pStyle w:val="ListNumber"/>
      </w:pPr>
      <w:r>
        <w:t>NACE, Produktgruppen und Systemgrenzen</w:t>
      </w:r>
    </w:p>
    <w:p>
      <w:pPr>
        <w:pStyle w:val="ListNumber"/>
      </w:pPr>
      <w:r>
        <w:t>Scorecard-Aufbau für Produktgruppen</w:t>
      </w:r>
    </w:p>
    <w:p>
      <w:pPr>
        <w:pStyle w:val="ListNumber"/>
      </w:pPr>
      <w:r>
        <w:t>Datenqualität und Allokation in Verbundsystemen</w:t>
      </w:r>
    </w:p>
    <w:p>
      <w:pPr>
        <w:pStyle w:val="ListNumber"/>
      </w:pPr>
      <w:r>
        <w:t>Vom Konzernrisiko zur Produktwirkung</w:t>
      </w:r>
    </w:p>
    <w:p>
      <w:pPr>
        <w:pStyle w:val="ListNumber"/>
      </w:pPr>
      <w:r>
        <w:t>Politische Anschlussfähigkeit und Umsetzungsoptionen</w:t>
      </w:r>
    </w:p>
    <w:p>
      <w:pPr>
        <w:pStyle w:val="ListNumber"/>
      </w:pPr>
      <w:r>
        <w:t>Website- und Tool-Integration</w:t>
      </w:r>
    </w:p>
    <w:p>
      <w:pPr>
        <w:pStyle w:val="ListNumber"/>
      </w:pPr>
      <w:r>
        <w:t>Fazit</w:t>
      </w:r>
    </w:p>
    <w:p>
      <w:pPr>
        <w:pStyle w:val="ListNumber"/>
      </w:pPr>
      <w:r>
        <w:t>Allokationsmethoden im Detail</w:t>
      </w:r>
    </w:p>
    <w:p>
      <w:pPr>
        <w:pStyle w:val="ListNumber"/>
      </w:pPr>
      <w:r>
        <w:t>Produktwirkung und Anwendungskontext</w:t>
      </w:r>
    </w:p>
    <w:p>
      <w:pPr>
        <w:pStyle w:val="ListNumber"/>
      </w:pPr>
      <w:r>
        <w:t>Betriebswirtschaftliche Konsequenzen für Unternehmen</w:t>
      </w:r>
    </w:p>
    <w:p>
      <w:pPr>
        <w:pStyle w:val="ListNumber"/>
      </w:pPr>
      <w:r>
        <w:t>Roadmap für Konzern-zu-Produktgruppen-Mapping</w:t>
      </w:r>
    </w:p>
    <w:p>
      <w:pPr>
        <w:pStyle w:val="Heading2"/>
      </w:pPr>
      <w:r>
        <w:t>Executive Summary</w:t>
      </w:r>
    </w:p>
    <w:p>
      <w:pPr/>
      <w:r>
        <w:t>Dieses Detailkonzept zeigt, wie Konzern- und Produktgruppendaten aus CSRD/ESRS in Produktscorecards übersetzt werden können. Es nutzt das BASF-Polyamid-Beispiel als Modellfall für komplexe Unternehmen mit vielen Produkten, Verbundstandorten, Datenebenen und Lieferketten.</w:t>
      </w:r>
    </w:p>
    <w:p>
      <w:pPr/>
      <w:r>
        <w:t>Der Kern: Nachhaltigkeitsdaten auf Konzernebene reichen für Produktbesteuerung nicht aus. Sie müssen auf Produktgruppen, Anlagen, Materialflüsse und Lebenszyklusdaten heruntergebrochen werden. Erst dann werden Produktwirkungen steuerungsfähig.</w:t>
      </w:r>
    </w:p>
    <w:p>
      <w:pPr/>
      <w:r>
        <w:t>Das Konzept verbindet Unternehmensreporting, WÖk-IDs, NACE, Benchmarks, EPDs, DPP und Reverse Merit Order zu einer operationalisierbaren Brücke zwischen CSRD und Wirkungsumsatzsteuer.</w:t>
      </w:r>
    </w:p>
    <w:p>
      <w:pPr>
        <w:pStyle w:val="Heading2"/>
      </w:pPr>
      <w:r>
        <w:t>Ausgangsdiagnose: Warum Konzernmittelwerte Wirkung verdecken</w:t>
      </w:r>
    </w:p>
    <w:p>
      <w:pPr/>
      <w:r>
        <w:t>Große Unternehmen berichten zunehmend umfassend über Nachhaltigkeit. Diese Berichte sind wichtig, aber für Produktsteuerung oft zu aggregiert. Konzernweite Emissionen, Wasserentnahmen oder Sozialdaten sagen wenig darüber aus, ob ein bestimmtes Produkt, eine Produktgruppe oder eine Anlage positiv oder kritisch wirkt.</w:t>
      </w:r>
    </w:p>
    <w:p>
      <w:pPr/>
      <w:r>
        <w:t>In einem Verbundsystem können Nebenprodukte einer Anlage Vorprodukte einer anderen sein. Durchschnittswerte verdecken dann Engpässe. Ein Konzern kann insgesamt Fortschritte zeigen, während einzelne Produktgruppen weiterhin hohe Wasser-, Chemie- oder Klimarisiken verursachen.</w:t>
      </w:r>
    </w:p>
    <w:p>
      <w:pPr/>
      <w:r>
        <w:t>Die WÖk braucht daher eine Produktgruppenlogik. Nicht der Konzernname entscheidet über die Steuerklasse, sondern das Wirkungsprofil des Produkts oder der Produktgruppe.</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Aggregierte Berichtswelt</w:t>
            </w:r>
          </w:p>
        </w:tc>
        <w:tc>
          <w:tcPr>
            <w:tcW w:type="dxa" w:w="4762"/>
            <w:shd w:fill="F6F1E8"/>
          </w:tcPr>
          <w:p>
            <w:pPr>
              <w:pStyle w:val="TableText"/>
            </w:pPr>
            <w:r>
              <w:rPr>
                <w:rFonts w:ascii="Source Sans 3" w:hAnsi="Source Sans 3" w:eastAsia="Source Sans 3"/>
                <w:b/>
                <w:color w:val="0B1020"/>
                <w:sz w:val="18"/>
              </w:rPr>
              <w:t>Produktwirkungswelt</w:t>
            </w:r>
          </w:p>
        </w:tc>
      </w:tr>
      <w:tr>
        <w:tc>
          <w:tcPr>
            <w:tcW w:type="dxa" w:w="4762"/>
          </w:tcPr>
          <w:p>
            <w:pPr>
              <w:pStyle w:val="TableText"/>
            </w:pPr>
            <w:r>
              <w:t>Konzernemissionen</w:t>
            </w:r>
          </w:p>
        </w:tc>
        <w:tc>
          <w:tcPr>
            <w:tcW w:type="dxa" w:w="4762"/>
          </w:tcPr>
          <w:p>
            <w:pPr>
              <w:pStyle w:val="TableText"/>
            </w:pPr>
            <w:r>
              <w:t>Emissionen je Produktgruppe / Einheit</w:t>
            </w:r>
          </w:p>
        </w:tc>
      </w:tr>
      <w:tr>
        <w:tc>
          <w:tcPr>
            <w:tcW w:type="dxa" w:w="4762"/>
          </w:tcPr>
          <w:p>
            <w:pPr>
              <w:pStyle w:val="TableText"/>
            </w:pPr>
            <w:r>
              <w:t>Standortdaten</w:t>
            </w:r>
          </w:p>
        </w:tc>
        <w:tc>
          <w:tcPr>
            <w:tcW w:type="dxa" w:w="4762"/>
          </w:tcPr>
          <w:p>
            <w:pPr>
              <w:pStyle w:val="TableText"/>
            </w:pPr>
            <w:r>
              <w:t>Anlagen- und Prozesszuordnung</w:t>
            </w:r>
          </w:p>
        </w:tc>
      </w:tr>
      <w:tr>
        <w:tc>
          <w:tcPr>
            <w:tcW w:type="dxa" w:w="4762"/>
          </w:tcPr>
          <w:p>
            <w:pPr>
              <w:pStyle w:val="TableText"/>
            </w:pPr>
            <w:r>
              <w:t>Gesamtabfall</w:t>
            </w:r>
          </w:p>
        </w:tc>
        <w:tc>
          <w:tcPr>
            <w:tcW w:type="dxa" w:w="4762"/>
          </w:tcPr>
          <w:p>
            <w:pPr>
              <w:pStyle w:val="TableText"/>
            </w:pPr>
            <w:r>
              <w:t>produktspezifische Kreislauf- und Recyclingfähigkeit</w:t>
            </w:r>
          </w:p>
        </w:tc>
      </w:tr>
      <w:tr>
        <w:tc>
          <w:tcPr>
            <w:tcW w:type="dxa" w:w="4762"/>
          </w:tcPr>
          <w:p>
            <w:pPr>
              <w:pStyle w:val="TableText"/>
            </w:pPr>
            <w:r>
              <w:t>allgemeine Arbeitsdaten</w:t>
            </w:r>
          </w:p>
        </w:tc>
        <w:tc>
          <w:tcPr>
            <w:tcW w:type="dxa" w:w="4762"/>
          </w:tcPr>
          <w:p>
            <w:pPr>
              <w:pStyle w:val="TableText"/>
            </w:pPr>
            <w:r>
              <w:t>lieferketten- und produktbezogene Sozialindikatoren</w:t>
            </w:r>
          </w:p>
        </w:tc>
      </w:tr>
      <w:tr>
        <w:tc>
          <w:tcPr>
            <w:tcW w:type="dxa" w:w="4762"/>
          </w:tcPr>
          <w:p>
            <w:pPr>
              <w:pStyle w:val="TableText"/>
            </w:pPr>
            <w:r>
              <w:t>Nachhaltigkeitsstrategie</w:t>
            </w:r>
          </w:p>
        </w:tc>
        <w:tc>
          <w:tcPr>
            <w:tcW w:type="dxa" w:w="4762"/>
          </w:tcPr>
          <w:p>
            <w:pPr>
              <w:pStyle w:val="TableText"/>
            </w:pPr>
            <w:r>
              <w:t>steuerungsrelevante Produktscorecard</w:t>
            </w:r>
          </w:p>
        </w:tc>
      </w:tr>
    </w:tbl>
    <w:p>
      <w:pPr>
        <w:pStyle w:val="Heading2"/>
      </w:pPr>
      <w:r>
        <w:t>Vom CSRD-Bericht zur Produktscorecard</w:t>
      </w:r>
    </w:p>
    <w:p>
      <w:pPr/>
      <w:r>
        <w:t>Der Übergang vom Bericht zur Scorecard braucht eine Datenkette. CSRD/ESRS liefern strukturierte Nachhaltigkeitsinformationen. Diese werden über NACE, interne Kostenstellen, Prozessdaten, Produktgruppen, EPDs und Benchmarks den relevanten Produkten zugeordnet.</w:t>
      </w:r>
    </w:p>
    <w:p>
      <w:pPr/>
      <w:r>
        <w:t>Die WÖk ergänzt diese Daten um WÖk-IDs und Scorefunktionen. Jeder Indikator erhält eine Bewertungslogik: higher is better, lower is better, Grenzwertlogik, Verbesserungsrate oder harte Obergrenze. Daraus entstehen Feldscores und ein FinalScore.</w:t>
      </w:r>
    </w:p>
    <w:p>
      <w:pPr/>
      <w:r>
        <w:t>Der digitale Produktpass macht diese Zuordnung für Markt, Steuer, Beschaffung und Verbraucherinformation anschlussfähig.</w:t>
      </w:r>
    </w:p>
    <w:p>
      <w:pPr>
        <w:pStyle w:val="ListBullet"/>
      </w:pPr>
      <w:r>
        <w:t>CSRD/ESRS-Daten erfassen und maschinenlesbar machen.</w:t>
      </w:r>
    </w:p>
    <w:p>
      <w:pPr>
        <w:pStyle w:val="ListBullet"/>
      </w:pPr>
      <w:r>
        <w:t>Produktgruppe über NACE und interne Material-/Prozesslogik bestimmen.</w:t>
      </w:r>
    </w:p>
    <w:p>
      <w:pPr>
        <w:pStyle w:val="ListBullet"/>
      </w:pPr>
      <w:r>
        <w:t>Anlagen-, Standort- und Lieferantendaten zuordnen.</w:t>
      </w:r>
    </w:p>
    <w:p>
      <w:pPr>
        <w:pStyle w:val="ListBullet"/>
      </w:pPr>
      <w:r>
        <w:t>EPDs oder LCA-Daten ergänzen, wo produktspezifische Werte vorliegen.</w:t>
      </w:r>
    </w:p>
    <w:p>
      <w:pPr>
        <w:pStyle w:val="ListBullet"/>
      </w:pPr>
      <w:r>
        <w:t>WÖk-ID-Familien aktivieren und Scorecard berechnen.</w:t>
      </w:r>
    </w:p>
    <w:p>
      <w:pPr>
        <w:pStyle w:val="ListBullet"/>
      </w:pPr>
      <w:r>
        <w:t>Reverse Merit Order anwenden und Steuerklasse ableiten.</w:t>
      </w:r>
    </w:p>
    <w:p>
      <w:pPr>
        <w:pStyle w:val="Heading2"/>
      </w:pPr>
      <w:r>
        <w:t>BASF Polyamid als Modellfall</w:t>
      </w:r>
    </w:p>
    <w:p>
      <w:pPr/>
      <w:r>
        <w:t>Das Polyamid-Beispiel zeigt, warum Chemieprodukte nicht pauschal nach Konzern oder Branche bewertet werden können. Polyamid kann in sicherheitsrelevanten, langlebigen oder kreislauffähigen Anwendungen positive Nutzen entfalten, zugleich aber hohe Prozessenergie, Wasser- oder Chemikalienrisiken enthalten.</w:t>
      </w:r>
    </w:p>
    <w:p>
      <w:pPr/>
      <w:r>
        <w:t>Die Wirkungsökonomie bewertet deshalb Produktgruppe und Anwendungskontext. Ein Rohstoff kann je nach Herstellung, Rezyklatanteil, Energiequelle, Wasserstress, Additiven, Nutzungsdauer und Recyclingfähigkeit unterschiedlich wirken.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Wirkungsfeld</w:t>
            </w:r>
          </w:p>
        </w:tc>
        <w:tc>
          <w:tcPr>
            <w:tcW w:type="dxa" w:w="3175"/>
            <w:shd w:fill="F6F1E8"/>
          </w:tcPr>
          <w:p>
            <w:pPr>
              <w:pStyle w:val="TableText"/>
            </w:pPr>
            <w:r>
              <w:rPr>
                <w:rFonts w:ascii="Source Sans 3" w:hAnsi="Source Sans 3" w:eastAsia="Source Sans 3"/>
                <w:b/>
                <w:color w:val="0B1020"/>
                <w:sz w:val="18"/>
              </w:rPr>
              <w:t>Mögliche Messgröße</w:t>
            </w:r>
          </w:p>
        </w:tc>
        <w:tc>
          <w:tcPr>
            <w:tcW w:type="dxa" w:w="3175"/>
            <w:shd w:fill="F6F1E8"/>
          </w:tcPr>
          <w:p>
            <w:pPr>
              <w:pStyle w:val="TableText"/>
            </w:pPr>
            <w:r>
              <w:rPr>
                <w:rFonts w:ascii="Source Sans 3" w:hAnsi="Source Sans 3" w:eastAsia="Source Sans 3"/>
                <w:b/>
                <w:color w:val="0B1020"/>
                <w:sz w:val="18"/>
              </w:rPr>
              <w:t>Beispielhafte Frage</w:t>
            </w:r>
          </w:p>
        </w:tc>
      </w:tr>
      <w:tr>
        <w:tc>
          <w:tcPr>
            <w:tcW w:type="dxa" w:w="3175"/>
          </w:tcPr>
          <w:p>
            <w:pPr>
              <w:pStyle w:val="TableText"/>
            </w:pPr>
            <w:r>
              <w:t>Klima</w:t>
            </w:r>
          </w:p>
        </w:tc>
        <w:tc>
          <w:tcPr>
            <w:tcW w:type="dxa" w:w="3175"/>
          </w:tcPr>
          <w:p>
            <w:pPr>
              <w:pStyle w:val="TableText"/>
            </w:pPr>
            <w:r>
              <w:t>t CO2e je t Polyamid</w:t>
            </w:r>
          </w:p>
        </w:tc>
        <w:tc>
          <w:tcPr>
            <w:tcW w:type="dxa" w:w="3175"/>
          </w:tcPr>
          <w:p>
            <w:pPr>
              <w:pStyle w:val="TableText"/>
            </w:pPr>
            <w:r>
              <w:t>Wie emissionsintensiv ist der Prozess?</w:t>
            </w:r>
          </w:p>
        </w:tc>
      </w:tr>
      <w:tr>
        <w:tc>
          <w:tcPr>
            <w:tcW w:type="dxa" w:w="3175"/>
          </w:tcPr>
          <w:p>
            <w:pPr>
              <w:pStyle w:val="TableText"/>
            </w:pPr>
            <w:r>
              <w:t>Wasser</w:t>
            </w:r>
          </w:p>
        </w:tc>
        <w:tc>
          <w:tcPr>
            <w:tcW w:type="dxa" w:w="3175"/>
          </w:tcPr>
          <w:p>
            <w:pPr>
              <w:pStyle w:val="TableText"/>
            </w:pPr>
            <w:r>
              <w:t>m3 je t × Wasserstress</w:t>
            </w:r>
          </w:p>
        </w:tc>
        <w:tc>
          <w:tcPr>
            <w:tcW w:type="dxa" w:w="3175"/>
          </w:tcPr>
          <w:p>
            <w:pPr>
              <w:pStyle w:val="TableText"/>
            </w:pPr>
            <w:r>
              <w:t>Entsteht Belastung in Stressregionen?</w:t>
            </w:r>
          </w:p>
        </w:tc>
      </w:tr>
      <w:tr>
        <w:tc>
          <w:tcPr>
            <w:tcW w:type="dxa" w:w="3175"/>
          </w:tcPr>
          <w:p>
            <w:pPr>
              <w:pStyle w:val="TableText"/>
            </w:pPr>
            <w:r>
              <w:t>Ressourcen</w:t>
            </w:r>
          </w:p>
        </w:tc>
        <w:tc>
          <w:tcPr>
            <w:tcW w:type="dxa" w:w="3175"/>
          </w:tcPr>
          <w:p>
            <w:pPr>
              <w:pStyle w:val="TableText"/>
            </w:pPr>
            <w:r>
              <w:t>Rezyklatanteil, Materialeffizienz</w:t>
            </w:r>
          </w:p>
        </w:tc>
        <w:tc>
          <w:tcPr>
            <w:tcW w:type="dxa" w:w="3175"/>
          </w:tcPr>
          <w:p>
            <w:pPr>
              <w:pStyle w:val="TableText"/>
            </w:pPr>
            <w:r>
              <w:t>Wird Kreislauffähigkeit verbessert?</w:t>
            </w:r>
          </w:p>
        </w:tc>
      </w:tr>
      <w:tr>
        <w:tc>
          <w:tcPr>
            <w:tcW w:type="dxa" w:w="3175"/>
          </w:tcPr>
          <w:p>
            <w:pPr>
              <w:pStyle w:val="TableText"/>
            </w:pPr>
            <w:r>
              <w:t>Gesundheit/Chemie</w:t>
            </w:r>
          </w:p>
        </w:tc>
        <w:tc>
          <w:tcPr>
            <w:tcW w:type="dxa" w:w="3175"/>
          </w:tcPr>
          <w:p>
            <w:pPr>
              <w:pStyle w:val="TableText"/>
            </w:pPr>
            <w:r>
              <w:t>REACH-Konformität, toxische Additive</w:t>
            </w:r>
          </w:p>
        </w:tc>
        <w:tc>
          <w:tcPr>
            <w:tcW w:type="dxa" w:w="3175"/>
          </w:tcPr>
          <w:p>
            <w:pPr>
              <w:pStyle w:val="TableText"/>
            </w:pPr>
            <w:r>
              <w:t>Entstehen Risiken für Mensch oder Umwelt?</w:t>
            </w:r>
          </w:p>
        </w:tc>
      </w:tr>
      <w:tr>
        <w:tc>
          <w:tcPr>
            <w:tcW w:type="dxa" w:w="3175"/>
          </w:tcPr>
          <w:p>
            <w:pPr>
              <w:pStyle w:val="TableText"/>
            </w:pPr>
            <w:r>
              <w:t>Arbeit/Lieferkette</w:t>
            </w:r>
          </w:p>
        </w:tc>
        <w:tc>
          <w:tcPr>
            <w:tcW w:type="dxa" w:w="3175"/>
          </w:tcPr>
          <w:p>
            <w:pPr>
              <w:pStyle w:val="TableText"/>
            </w:pPr>
            <w:r>
              <w:t>Living Wage, Sicherheit, Beschwerdemechanismen</w:t>
            </w:r>
          </w:p>
        </w:tc>
        <w:tc>
          <w:tcPr>
            <w:tcW w:type="dxa" w:w="3175"/>
          </w:tcPr>
          <w:p>
            <w:pPr>
              <w:pStyle w:val="TableText"/>
            </w:pPr>
            <w:r>
              <w:t>Sind Vorleistungen sozial tragfähig?</w:t>
            </w:r>
          </w:p>
        </w:tc>
      </w:tr>
      <w:tr>
        <w:tc>
          <w:tcPr>
            <w:tcW w:type="dxa" w:w="3175"/>
          </w:tcPr>
          <w:p>
            <w:pPr>
              <w:pStyle w:val="TableText"/>
            </w:pPr>
            <w:r>
              <w:t>Nutzung</w:t>
            </w:r>
          </w:p>
        </w:tc>
        <w:tc>
          <w:tcPr>
            <w:tcW w:type="dxa" w:w="3175"/>
          </w:tcPr>
          <w:p>
            <w:pPr>
              <w:pStyle w:val="TableText"/>
            </w:pPr>
            <w:r>
              <w:t>Langlebigkeit, Substitution, Reparierbarkeit</w:t>
            </w:r>
          </w:p>
        </w:tc>
        <w:tc>
          <w:tcPr>
            <w:tcW w:type="dxa" w:w="3175"/>
          </w:tcPr>
          <w:p>
            <w:pPr>
              <w:pStyle w:val="TableText"/>
            </w:pPr>
            <w:r>
              <w:t>Ersetzt das Produkt schädlichere Alternativen?</w:t>
            </w:r>
          </w:p>
        </w:tc>
      </w:tr>
    </w:tbl>
    <w:p>
      <w:pPr>
        <w:pStyle w:val="Heading2"/>
      </w:pPr>
      <w:r>
        <w:t>NACE, Produktgruppen und Systemgrenzen</w:t>
      </w:r>
    </w:p>
    <w:p>
      <w:pPr/>
      <w:r>
        <w:t>NACE hilft, wirtschaftliche Aktivitäten zu strukturieren. Für Produktbesteuerung reicht NACE allein aber nicht aus. Es braucht zusätzlich Produktgruppen, Anwendungskontext und Lebenszyklusgrenzen. Ein chemischer Grundstoff kann in verschiedenen Endprodukten unterschiedliche Wirkungen entfalten.</w:t>
      </w:r>
    </w:p>
    <w:p>
      <w:pPr/>
      <w:r>
        <w:t>Die Systemgrenze muss transparent sein. Bewertet wird zunächst die Produktgruppe und ihre Herstellung. In einem zweiten Schritt kann die Nutzungsphase einbezogen werden, wenn sie wesentlich ist. In einem dritten Schritt werden End-of-Life, Kreislauf und Substitution bewertet.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Systemgrenze</w:t>
            </w:r>
          </w:p>
        </w:tc>
        <w:tc>
          <w:tcPr>
            <w:tcW w:type="dxa" w:w="3175"/>
            <w:shd w:fill="F6F1E8"/>
          </w:tcPr>
          <w:p>
            <w:pPr>
              <w:pStyle w:val="TableText"/>
            </w:pPr>
            <w:r>
              <w:rPr>
                <w:rFonts w:ascii="Source Sans 3" w:hAnsi="Source Sans 3" w:eastAsia="Source Sans 3"/>
                <w:b/>
                <w:color w:val="0B1020"/>
                <w:sz w:val="18"/>
              </w:rPr>
              <w:t>Beispiel</w:t>
            </w:r>
          </w:p>
        </w:tc>
        <w:tc>
          <w:tcPr>
            <w:tcW w:type="dxa" w:w="3175"/>
            <w:shd w:fill="F6F1E8"/>
          </w:tcPr>
          <w:p>
            <w:pPr>
              <w:pStyle w:val="TableText"/>
            </w:pPr>
            <w:r>
              <w:rPr>
                <w:rFonts w:ascii="Source Sans 3" w:hAnsi="Source Sans 3" w:eastAsia="Source Sans 3"/>
                <w:b/>
                <w:color w:val="0B1020"/>
                <w:sz w:val="18"/>
              </w:rPr>
              <w:t>Nutzen</w:t>
            </w:r>
          </w:p>
        </w:tc>
      </w:tr>
      <w:tr>
        <w:tc>
          <w:tcPr>
            <w:tcW w:type="dxa" w:w="3175"/>
          </w:tcPr>
          <w:p>
            <w:pPr>
              <w:pStyle w:val="TableText"/>
            </w:pPr>
            <w:r>
              <w:t>Herstellung</w:t>
            </w:r>
          </w:p>
        </w:tc>
        <w:tc>
          <w:tcPr>
            <w:tcW w:type="dxa" w:w="3175"/>
          </w:tcPr>
          <w:p>
            <w:pPr>
              <w:pStyle w:val="TableText"/>
            </w:pPr>
            <w:r>
              <w:t>Energie, Wasser, Chemie, Arbeit</w:t>
            </w:r>
          </w:p>
        </w:tc>
        <w:tc>
          <w:tcPr>
            <w:tcW w:type="dxa" w:w="3175"/>
          </w:tcPr>
          <w:p>
            <w:pPr>
              <w:pStyle w:val="TableText"/>
            </w:pPr>
            <w:r>
              <w:t>Produktionswirkung sichtbar machen</w:t>
            </w:r>
          </w:p>
        </w:tc>
      </w:tr>
      <w:tr>
        <w:tc>
          <w:tcPr>
            <w:tcW w:type="dxa" w:w="3175"/>
          </w:tcPr>
          <w:p>
            <w:pPr>
              <w:pStyle w:val="TableText"/>
            </w:pPr>
            <w:r>
              <w:t>Lieferkette</w:t>
            </w:r>
          </w:p>
        </w:tc>
        <w:tc>
          <w:tcPr>
            <w:tcW w:type="dxa" w:w="3175"/>
          </w:tcPr>
          <w:p>
            <w:pPr>
              <w:pStyle w:val="TableText"/>
            </w:pPr>
            <w:r>
              <w:t>Rohstoffe, Vorprodukte, Transport</w:t>
            </w:r>
          </w:p>
        </w:tc>
        <w:tc>
          <w:tcPr>
            <w:tcW w:type="dxa" w:w="3175"/>
          </w:tcPr>
          <w:p>
            <w:pPr>
              <w:pStyle w:val="TableText"/>
            </w:pPr>
            <w:r>
              <w:t>verdeckte Vorwirkungen integrieren</w:t>
            </w:r>
          </w:p>
        </w:tc>
      </w:tr>
      <w:tr>
        <w:tc>
          <w:tcPr>
            <w:tcW w:type="dxa" w:w="3175"/>
          </w:tcPr>
          <w:p>
            <w:pPr>
              <w:pStyle w:val="TableText"/>
            </w:pPr>
            <w:r>
              <w:t>Nutzung</w:t>
            </w:r>
          </w:p>
        </w:tc>
        <w:tc>
          <w:tcPr>
            <w:tcW w:type="dxa" w:w="3175"/>
          </w:tcPr>
          <w:p>
            <w:pPr>
              <w:pStyle w:val="TableText"/>
            </w:pPr>
            <w:r>
              <w:t>Langlebigkeit, Sicherheit, Energiebedarf</w:t>
            </w:r>
          </w:p>
        </w:tc>
        <w:tc>
          <w:tcPr>
            <w:tcW w:type="dxa" w:w="3175"/>
          </w:tcPr>
          <w:p>
            <w:pPr>
              <w:pStyle w:val="TableText"/>
            </w:pPr>
            <w:r>
              <w:t>tatsächlichen Produktnutzen bewerten</w:t>
            </w:r>
          </w:p>
        </w:tc>
      </w:tr>
      <w:tr>
        <w:tc>
          <w:tcPr>
            <w:tcW w:type="dxa" w:w="3175"/>
          </w:tcPr>
          <w:p>
            <w:pPr>
              <w:pStyle w:val="TableText"/>
            </w:pPr>
            <w:r>
              <w:t>End-of-Life</w:t>
            </w:r>
          </w:p>
        </w:tc>
        <w:tc>
          <w:tcPr>
            <w:tcW w:type="dxa" w:w="3175"/>
          </w:tcPr>
          <w:p>
            <w:pPr>
              <w:pStyle w:val="TableText"/>
            </w:pPr>
            <w:r>
              <w:t>Recycling, Rücknahme, Schadstoffe</w:t>
            </w:r>
          </w:p>
        </w:tc>
        <w:tc>
          <w:tcPr>
            <w:tcW w:type="dxa" w:w="3175"/>
          </w:tcPr>
          <w:p>
            <w:pPr>
              <w:pStyle w:val="TableText"/>
            </w:pPr>
            <w:r>
              <w:t>Kreislaufwirkung berücksichtigen</w:t>
            </w:r>
          </w:p>
        </w:tc>
      </w:tr>
      <w:tr>
        <w:tc>
          <w:tcPr>
            <w:tcW w:type="dxa" w:w="3175"/>
          </w:tcPr>
          <w:p>
            <w:pPr>
              <w:pStyle w:val="TableText"/>
            </w:pPr>
            <w:r>
              <w:t>Substitution</w:t>
            </w:r>
          </w:p>
        </w:tc>
        <w:tc>
          <w:tcPr>
            <w:tcW w:type="dxa" w:w="3175"/>
          </w:tcPr>
          <w:p>
            <w:pPr>
              <w:pStyle w:val="TableText"/>
            </w:pPr>
            <w:r>
              <w:t>ersetzt schädlichere Alternative?</w:t>
            </w:r>
          </w:p>
        </w:tc>
        <w:tc>
          <w:tcPr>
            <w:tcW w:type="dxa" w:w="3175"/>
          </w:tcPr>
          <w:p>
            <w:pPr>
              <w:pStyle w:val="TableText"/>
            </w:pPr>
            <w:r>
              <w:t>Transformationswirkung sichtbar machen</w:t>
            </w:r>
          </w:p>
        </w:tc>
      </w:tr>
    </w:tbl>
    <w:p>
      <w:pPr>
        <w:pStyle w:val="Heading2"/>
      </w:pPr>
      <w:r>
        <w:t>Scorecard-Aufbau für Produktgruppen</w:t>
      </w:r>
    </w:p>
    <w:p>
      <w:pPr/>
      <w:r>
        <w:t>Eine Produktscorecard enthält nicht alle denkbaren Daten, sondern die wesentlichen Indikatoren der Produktgruppe. Für Polyamid wären beispielsweise Klima, Wasser, Ressourcen, Chemie/Gesundheit, Arbeit/Lieferkette und Kreislauffähigkeit relevant.</w:t>
      </w:r>
    </w:p>
    <w:p>
      <w:pPr/>
      <w:r>
        <w:t>Jeder Indikator wird mit Benchmarks verglichen. Benchmarks können aus EU-Taxonomie, Industriestandards, wissenschaftlichen Schwellen, technischen Leitlinien oder sektorspezifischen Vergleichswerten kommen. Der FinalScore wird nicht als Durchschnitt berechnet, sondern durch Engpässe begrenzt.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Baustein</w:t>
            </w:r>
          </w:p>
        </w:tc>
        <w:tc>
          <w:tcPr>
            <w:tcW w:type="dxa" w:w="3175"/>
            <w:shd w:fill="F6F1E8"/>
          </w:tcPr>
          <w:p>
            <w:pPr>
              <w:pStyle w:val="TableText"/>
            </w:pPr>
            <w:r>
              <w:rPr>
                <w:rFonts w:ascii="Source Sans 3" w:hAnsi="Source Sans 3" w:eastAsia="Source Sans 3"/>
                <w:b/>
                <w:color w:val="0B1020"/>
                <w:sz w:val="18"/>
              </w:rPr>
              <w:t>Inhalt</w:t>
            </w:r>
          </w:p>
        </w:tc>
        <w:tc>
          <w:tcPr>
            <w:tcW w:type="dxa" w:w="3175"/>
            <w:shd w:fill="F6F1E8"/>
          </w:tcPr>
          <w:p>
            <w:pPr>
              <w:pStyle w:val="TableText"/>
            </w:pPr>
            <w:r>
              <w:rPr>
                <w:rFonts w:ascii="Source Sans 3" w:hAnsi="Source Sans 3" w:eastAsia="Source Sans 3"/>
                <w:b/>
                <w:color w:val="0B1020"/>
                <w:sz w:val="18"/>
              </w:rPr>
              <w:t>WÖk-Funktion</w:t>
            </w:r>
          </w:p>
        </w:tc>
      </w:tr>
      <w:tr>
        <w:tc>
          <w:tcPr>
            <w:tcW w:type="dxa" w:w="3175"/>
          </w:tcPr>
          <w:p>
            <w:pPr>
              <w:pStyle w:val="TableText"/>
            </w:pPr>
            <w:r>
              <w:t>Indikator</w:t>
            </w:r>
          </w:p>
        </w:tc>
        <w:tc>
          <w:tcPr>
            <w:tcW w:type="dxa" w:w="3175"/>
          </w:tcPr>
          <w:p>
            <w:pPr>
              <w:pStyle w:val="TableText"/>
            </w:pPr>
            <w:r>
              <w:t>konkrete Messgröße</w:t>
            </w:r>
          </w:p>
        </w:tc>
        <w:tc>
          <w:tcPr>
            <w:tcW w:type="dxa" w:w="3175"/>
          </w:tcPr>
          <w:p>
            <w:pPr>
              <w:pStyle w:val="TableText"/>
            </w:pPr>
            <w:r>
              <w:t>macht Wirkung messbar</w:t>
            </w:r>
          </w:p>
        </w:tc>
      </w:tr>
      <w:tr>
        <w:tc>
          <w:tcPr>
            <w:tcW w:type="dxa" w:w="3175"/>
          </w:tcPr>
          <w:p>
            <w:pPr>
              <w:pStyle w:val="TableText"/>
            </w:pPr>
            <w:r>
              <w:t>Benchmark</w:t>
            </w:r>
          </w:p>
        </w:tc>
        <w:tc>
          <w:tcPr>
            <w:tcW w:type="dxa" w:w="3175"/>
          </w:tcPr>
          <w:p>
            <w:pPr>
              <w:pStyle w:val="TableText"/>
            </w:pPr>
            <w:r>
              <w:t>Ziel- oder Referenzwert</w:t>
            </w:r>
          </w:p>
        </w:tc>
        <w:tc>
          <w:tcPr>
            <w:tcW w:type="dxa" w:w="3175"/>
          </w:tcPr>
          <w:p>
            <w:pPr>
              <w:pStyle w:val="TableText"/>
            </w:pPr>
            <w:r>
              <w:t>macht Bewertung vergleichbar</w:t>
            </w:r>
          </w:p>
        </w:tc>
      </w:tr>
      <w:tr>
        <w:tc>
          <w:tcPr>
            <w:tcW w:type="dxa" w:w="3175"/>
          </w:tcPr>
          <w:p>
            <w:pPr>
              <w:pStyle w:val="TableText"/>
            </w:pPr>
            <w:r>
              <w:t>Datenqualität</w:t>
            </w:r>
          </w:p>
        </w:tc>
        <w:tc>
          <w:tcPr>
            <w:tcW w:type="dxa" w:w="3175"/>
          </w:tcPr>
          <w:p>
            <w:pPr>
              <w:pStyle w:val="TableText"/>
            </w:pPr>
            <w:r>
              <w:t>Quelle, Audit, Aktualität</w:t>
            </w:r>
          </w:p>
        </w:tc>
        <w:tc>
          <w:tcPr>
            <w:tcW w:type="dxa" w:w="3175"/>
          </w:tcPr>
          <w:p>
            <w:pPr>
              <w:pStyle w:val="TableText"/>
            </w:pPr>
            <w:r>
              <w:t>macht Vertrauen sichtbar</w:t>
            </w:r>
          </w:p>
        </w:tc>
      </w:tr>
      <w:tr>
        <w:tc>
          <w:tcPr>
            <w:tcW w:type="dxa" w:w="3175"/>
          </w:tcPr>
          <w:p>
            <w:pPr>
              <w:pStyle w:val="TableText"/>
            </w:pPr>
            <w:r>
              <w:t>Feldscore</w:t>
            </w:r>
          </w:p>
        </w:tc>
        <w:tc>
          <w:tcPr>
            <w:tcW w:type="dxa" w:w="3175"/>
          </w:tcPr>
          <w:p>
            <w:pPr>
              <w:pStyle w:val="TableText"/>
            </w:pPr>
            <w:r>
              <w:t>-3 bis +3</w:t>
            </w:r>
          </w:p>
        </w:tc>
        <w:tc>
          <w:tcPr>
            <w:tcW w:type="dxa" w:w="3175"/>
          </w:tcPr>
          <w:p>
            <w:pPr>
              <w:pStyle w:val="TableText"/>
            </w:pPr>
            <w:r>
              <w:t>übersetzt Messung in Wirkung</w:t>
            </w:r>
          </w:p>
        </w:tc>
      </w:tr>
      <w:tr>
        <w:tc>
          <w:tcPr>
            <w:tcW w:type="dxa" w:w="3175"/>
          </w:tcPr>
          <w:p>
            <w:pPr>
              <w:pStyle w:val="TableText"/>
            </w:pPr>
            <w:r>
              <w:t>FinalScore</w:t>
            </w:r>
          </w:p>
        </w:tc>
        <w:tc>
          <w:tcPr>
            <w:tcW w:type="dxa" w:w="3175"/>
          </w:tcPr>
          <w:p>
            <w:pPr>
              <w:pStyle w:val="TableText"/>
            </w:pPr>
            <w:r>
              <w:t>Reverse Merit Order</w:t>
            </w:r>
          </w:p>
        </w:tc>
        <w:tc>
          <w:tcPr>
            <w:tcW w:type="dxa" w:w="3175"/>
          </w:tcPr>
          <w:p>
            <w:pPr>
              <w:pStyle w:val="TableText"/>
            </w:pPr>
            <w:r>
              <w:t>verhindert Kompensation</w:t>
            </w:r>
          </w:p>
        </w:tc>
      </w:tr>
      <w:tr>
        <w:tc>
          <w:tcPr>
            <w:tcW w:type="dxa" w:w="3175"/>
          </w:tcPr>
          <w:p>
            <w:pPr>
              <w:pStyle w:val="TableText"/>
            </w:pPr>
            <w:r>
              <w:t>Steuerklasse</w:t>
            </w:r>
          </w:p>
        </w:tc>
        <w:tc>
          <w:tcPr>
            <w:tcW w:type="dxa" w:w="3175"/>
          </w:tcPr>
          <w:p>
            <w:pPr>
              <w:pStyle w:val="TableText"/>
            </w:pPr>
            <w:r>
              <w:t>Satz / Vorsteuerstatus</w:t>
            </w:r>
          </w:p>
        </w:tc>
        <w:tc>
          <w:tcPr>
            <w:tcW w:type="dxa" w:w="3175"/>
          </w:tcPr>
          <w:p>
            <w:pPr>
              <w:pStyle w:val="TableText"/>
            </w:pPr>
            <w:r>
              <w:t>rückkoppelt Wirkung in Preis</w:t>
            </w:r>
          </w:p>
        </w:tc>
      </w:tr>
    </w:tbl>
    <w:p>
      <w:pPr>
        <w:pStyle w:val="Heading2"/>
      </w:pPr>
      <w:r>
        <w:t>Datenqualität und Allokation in Verbundsystemen</w:t>
      </w:r>
    </w:p>
    <w:p>
      <w:pPr/>
      <w:r>
        <w:t>Verbundstandorte stellen eine besondere Herausforderung dar. Energie, Wasser, Dampf, Nebenprodukte und Abfallströme können zwischen Anlagen geteilt werden. Eine naive Verteilung nach Umsatz oder Masse wäre oft falsch.</w:t>
      </w:r>
    </w:p>
    <w:p>
      <w:pPr/>
      <w:r>
        <w:t>Die WÖk braucht daher transparente Allokationsregeln: physikalisch, prozessbezogen, massenbasiert, energiebasiert oder wirtschaftlich - je nachdem, welche Regel die Wirkung am besten abbildet. Jede Allokationsregel muss dokumentiert und prüfbar sein.</w:t>
      </w:r>
    </w:p>
    <w:p>
      <w:pPr/>
      <w:r>
        <w:t>Wenn eine Allokation unsicher bleibt, wird die Unsicherheit ausgewiesen und konservativ behandelt. Das verhindert Datenoptimierung.</w:t>
      </w:r>
    </w:p>
    <w:p>
      <w:pPr>
        <w:pStyle w:val="ListBullet"/>
      </w:pPr>
      <w:r>
        <w:t>Allokationsregel je Prozess offenlegen.</w:t>
      </w:r>
    </w:p>
    <w:p>
      <w:pPr>
        <w:pStyle w:val="ListBullet"/>
      </w:pPr>
      <w:r>
        <w:t>Nebenprodukte und Koppelprodukte gesondert behandeln.</w:t>
      </w:r>
    </w:p>
    <w:p>
      <w:pPr>
        <w:pStyle w:val="ListBullet"/>
      </w:pPr>
      <w:r>
        <w:t>Unsicherheiten nicht verstecken, sondern im Datenqualitätsstatus anzeigen.</w:t>
      </w:r>
    </w:p>
    <w:p>
      <w:pPr>
        <w:pStyle w:val="ListBullet"/>
      </w:pPr>
      <w:r>
        <w:t>Bei steuerlichem Vorteil erhöhte Prüftiefe verlangen.</w:t>
      </w:r>
    </w:p>
    <w:p>
      <w:pPr>
        <w:pStyle w:val="ListBullet"/>
      </w:pPr>
      <w:r>
        <w:t>Benchmarking nur mit vergleichbaren Technologien und Regionen.</w:t>
      </w:r>
    </w:p>
    <w:p>
      <w:pPr>
        <w:pStyle w:val="Heading2"/>
      </w:pPr>
      <w:r>
        <w:t>Vom Konzernrisiko zur Produktwirkung</w:t>
      </w:r>
    </w:p>
    <w:p>
      <w:pPr/>
      <w:r>
        <w:t>Finanzmarkt, Banken und Versicherungen bewerten zunehmend ESG- und Nachhaltigkeitsrisiken auf Unternehmensebene. Die WÖk ergänzt diese Ebene durch Produktwirkung. Ein Unternehmen mit gutem Gesamtbild kann kritische Produktgruppen haben; ein Unternehmen in einer schwierigen Branche kann einzelne transformative Produktlinien entwickeln.</w:t>
      </w:r>
    </w:p>
    <w:p>
      <w:pPr/>
      <w:r>
        <w:t>Das ist wichtig für faire Transformation. Die WÖk darf keine pauschale Branchenverurteilung sein. Sie muss zeigen, wo konkrete Verbesserungen, Substitutionen, Kreisläufe und Transformationspfade entstehen.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Ebene</w:t>
            </w:r>
          </w:p>
        </w:tc>
        <w:tc>
          <w:tcPr>
            <w:tcW w:type="dxa" w:w="3175"/>
            <w:shd w:fill="F6F1E8"/>
          </w:tcPr>
          <w:p>
            <w:pPr>
              <w:pStyle w:val="TableText"/>
            </w:pPr>
            <w:r>
              <w:rPr>
                <w:rFonts w:ascii="Source Sans 3" w:hAnsi="Source Sans 3" w:eastAsia="Source Sans 3"/>
                <w:b/>
                <w:color w:val="0B1020"/>
                <w:sz w:val="18"/>
              </w:rPr>
              <w:t>Frage</w:t>
            </w:r>
          </w:p>
        </w:tc>
        <w:tc>
          <w:tcPr>
            <w:tcW w:type="dxa" w:w="3175"/>
            <w:shd w:fill="F6F1E8"/>
          </w:tcPr>
          <w:p>
            <w:pPr>
              <w:pStyle w:val="TableText"/>
            </w:pPr>
            <w:r>
              <w:rPr>
                <w:rFonts w:ascii="Source Sans 3" w:hAnsi="Source Sans 3" w:eastAsia="Source Sans 3"/>
                <w:b/>
                <w:color w:val="0B1020"/>
                <w:sz w:val="18"/>
              </w:rPr>
              <w:t>WÖk-Relevanz</w:t>
            </w:r>
          </w:p>
        </w:tc>
      </w:tr>
      <w:tr>
        <w:tc>
          <w:tcPr>
            <w:tcW w:type="dxa" w:w="3175"/>
          </w:tcPr>
          <w:p>
            <w:pPr>
              <w:pStyle w:val="TableText"/>
            </w:pPr>
            <w:r>
              <w:t>Unternehmen</w:t>
            </w:r>
          </w:p>
        </w:tc>
        <w:tc>
          <w:tcPr>
            <w:tcW w:type="dxa" w:w="3175"/>
          </w:tcPr>
          <w:p>
            <w:pPr>
              <w:pStyle w:val="TableText"/>
            </w:pPr>
            <w:r>
              <w:t>Wie wirkt das Gesamtportfolio?</w:t>
            </w:r>
          </w:p>
        </w:tc>
        <w:tc>
          <w:tcPr>
            <w:tcW w:type="dxa" w:w="3175"/>
          </w:tcPr>
          <w:p>
            <w:pPr>
              <w:pStyle w:val="TableText"/>
            </w:pPr>
            <w:r>
              <w:t>Kapitalzugang, Risiko, Governance</w:t>
            </w:r>
          </w:p>
        </w:tc>
      </w:tr>
      <w:tr>
        <w:tc>
          <w:tcPr>
            <w:tcW w:type="dxa" w:w="3175"/>
          </w:tcPr>
          <w:p>
            <w:pPr>
              <w:pStyle w:val="TableText"/>
            </w:pPr>
            <w:r>
              <w:t>Produktgruppe</w:t>
            </w:r>
          </w:p>
        </w:tc>
        <w:tc>
          <w:tcPr>
            <w:tcW w:type="dxa" w:w="3175"/>
          </w:tcPr>
          <w:p>
            <w:pPr>
              <w:pStyle w:val="TableText"/>
            </w:pPr>
            <w:r>
              <w:t>Wie wirkt diese Produktfamilie?</w:t>
            </w:r>
          </w:p>
        </w:tc>
        <w:tc>
          <w:tcPr>
            <w:tcW w:type="dxa" w:w="3175"/>
          </w:tcPr>
          <w:p>
            <w:pPr>
              <w:pStyle w:val="TableText"/>
            </w:pPr>
            <w:r>
              <w:t>Steuerklasse, Beschaffung, Marktposition</w:t>
            </w:r>
          </w:p>
        </w:tc>
      </w:tr>
      <w:tr>
        <w:tc>
          <w:tcPr>
            <w:tcW w:type="dxa" w:w="3175"/>
          </w:tcPr>
          <w:p>
            <w:pPr>
              <w:pStyle w:val="TableText"/>
            </w:pPr>
            <w:r>
              <w:t>Anlage / Prozess</w:t>
            </w:r>
          </w:p>
        </w:tc>
        <w:tc>
          <w:tcPr>
            <w:tcW w:type="dxa" w:w="3175"/>
          </w:tcPr>
          <w:p>
            <w:pPr>
              <w:pStyle w:val="TableText"/>
            </w:pPr>
            <w:r>
              <w:t>Wo entsteht der Engpass?</w:t>
            </w:r>
          </w:p>
        </w:tc>
        <w:tc>
          <w:tcPr>
            <w:tcW w:type="dxa" w:w="3175"/>
          </w:tcPr>
          <w:p>
            <w:pPr>
              <w:pStyle w:val="TableText"/>
            </w:pPr>
            <w:r>
              <w:t>Investitionspriorität</w:t>
            </w:r>
          </w:p>
        </w:tc>
      </w:tr>
      <w:tr>
        <w:tc>
          <w:tcPr>
            <w:tcW w:type="dxa" w:w="3175"/>
          </w:tcPr>
          <w:p>
            <w:pPr>
              <w:pStyle w:val="TableText"/>
            </w:pPr>
            <w:r>
              <w:t>Lieferant</w:t>
            </w:r>
          </w:p>
        </w:tc>
        <w:tc>
          <w:tcPr>
            <w:tcW w:type="dxa" w:w="3175"/>
          </w:tcPr>
          <w:p>
            <w:pPr>
              <w:pStyle w:val="TableText"/>
            </w:pPr>
            <w:r>
              <w:t>Welche Vorwirkung wird eingekauft?</w:t>
            </w:r>
          </w:p>
        </w:tc>
        <w:tc>
          <w:tcPr>
            <w:tcW w:type="dxa" w:w="3175"/>
          </w:tcPr>
          <w:p>
            <w:pPr>
              <w:pStyle w:val="TableText"/>
            </w:pPr>
            <w:r>
              <w:t>Vorsteuer- und Lieferantenlogik</w:t>
            </w:r>
          </w:p>
        </w:tc>
      </w:tr>
      <w:tr>
        <w:tc>
          <w:tcPr>
            <w:tcW w:type="dxa" w:w="3175"/>
          </w:tcPr>
          <w:p>
            <w:pPr>
              <w:pStyle w:val="TableText"/>
            </w:pPr>
            <w:r>
              <w:t>Anwendung</w:t>
            </w:r>
          </w:p>
        </w:tc>
        <w:tc>
          <w:tcPr>
            <w:tcW w:type="dxa" w:w="3175"/>
          </w:tcPr>
          <w:p>
            <w:pPr>
              <w:pStyle w:val="TableText"/>
            </w:pPr>
            <w:r>
              <w:t>Welchen Nutzen erzeugt das Produkt?</w:t>
            </w:r>
          </w:p>
        </w:tc>
        <w:tc>
          <w:tcPr>
            <w:tcW w:type="dxa" w:w="3175"/>
          </w:tcPr>
          <w:p>
            <w:pPr>
              <w:pStyle w:val="TableText"/>
            </w:pPr>
            <w:r>
              <w:t>Transformationswirkung und Substitution</w:t>
            </w:r>
          </w:p>
        </w:tc>
      </w:tr>
    </w:tbl>
    <w:p>
      <w:pPr>
        <w:pStyle w:val="Heading2"/>
      </w:pPr>
      <w:r>
        <w:t>Politische Anschlussfähigkeit und Umsetzungsoptionen</w:t>
      </w:r>
    </w:p>
    <w:p>
      <w:pPr/>
      <w:r>
        <w:t>Das Konzernbeispiel zeigt, dass Produktwirkungssteuer technisch anspruchsvoll ist. Politik muss deshalb schrittweise vorgehen: zuerst datenreiche Branchen, klare Produktgruppen, öffentliche Methodik, Pilotierung und Konsultation.</w:t>
      </w:r>
    </w:p>
    <w:p>
      <w:pPr/>
      <w:r>
        <w:t>Der politische Gestaltungsspielraum liegt in Schwellenwerten, Übergangsfristen, KMU-Schutz, Datenstandards, Prüfkosten, Forschungsförderung und europäischer Harmonisierung. Der Grundsatz bleibt: Berichtsdaten müssen in Steuerungsdaten übersetzt werden, sonst bleibt Nachhaltigkeit additiv.</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Umsetzungsoption</w:t>
            </w:r>
          </w:p>
        </w:tc>
      </w:tr>
      <w:tr>
        <w:tc>
          <w:tcPr>
            <w:tcW w:type="dxa" w:w="4762"/>
          </w:tcPr>
          <w:p>
            <w:pPr>
              <w:pStyle w:val="TableText"/>
            </w:pPr>
            <w:r>
              <w:t>Pilotbranchen</w:t>
            </w:r>
          </w:p>
        </w:tc>
        <w:tc>
          <w:tcPr>
            <w:tcW w:type="dxa" w:w="4762"/>
          </w:tcPr>
          <w:p>
            <w:pPr>
              <w:pStyle w:val="TableText"/>
            </w:pPr>
            <w:r>
              <w:t>Chemie, Batterien, Textilien, Bauprodukte, Lebensmittel</w:t>
            </w:r>
          </w:p>
        </w:tc>
      </w:tr>
      <w:tr>
        <w:tc>
          <w:tcPr>
            <w:tcW w:type="dxa" w:w="4762"/>
          </w:tcPr>
          <w:p>
            <w:pPr>
              <w:pStyle w:val="TableText"/>
            </w:pPr>
            <w:r>
              <w:t>Datenstandard</w:t>
            </w:r>
          </w:p>
        </w:tc>
        <w:tc>
          <w:tcPr>
            <w:tcW w:type="dxa" w:w="4762"/>
          </w:tcPr>
          <w:p>
            <w:pPr>
              <w:pStyle w:val="TableText"/>
            </w:pPr>
            <w:r>
              <w:t>CSRD/ESRS, DPP, EPD, NACE, WÖk-ID</w:t>
            </w:r>
          </w:p>
        </w:tc>
      </w:tr>
      <w:tr>
        <w:tc>
          <w:tcPr>
            <w:tcW w:type="dxa" w:w="4762"/>
          </w:tcPr>
          <w:p>
            <w:pPr>
              <w:pStyle w:val="TableText"/>
            </w:pPr>
            <w:r>
              <w:t>Governance</w:t>
            </w:r>
          </w:p>
        </w:tc>
        <w:tc>
          <w:tcPr>
            <w:tcW w:type="dxa" w:w="4762"/>
          </w:tcPr>
          <w:p>
            <w:pPr>
              <w:pStyle w:val="TableText"/>
            </w:pPr>
            <w:r>
              <w:t>Wirkungsrat, Branchenarbeitsgruppen, öffentliche Konsultation</w:t>
            </w:r>
          </w:p>
        </w:tc>
      </w:tr>
      <w:tr>
        <w:tc>
          <w:tcPr>
            <w:tcW w:type="dxa" w:w="4762"/>
          </w:tcPr>
          <w:p>
            <w:pPr>
              <w:pStyle w:val="TableText"/>
            </w:pPr>
            <w:r>
              <w:t>KMU-Schutz</w:t>
            </w:r>
          </w:p>
        </w:tc>
        <w:tc>
          <w:tcPr>
            <w:tcW w:type="dxa" w:w="4762"/>
          </w:tcPr>
          <w:p>
            <w:pPr>
              <w:pStyle w:val="TableText"/>
            </w:pPr>
            <w:r>
              <w:t>kleine Akteure über Standardprofile und Datenpools entlasten</w:t>
            </w:r>
          </w:p>
        </w:tc>
      </w:tr>
      <w:tr>
        <w:tc>
          <w:tcPr>
            <w:tcW w:type="dxa" w:w="4762"/>
          </w:tcPr>
          <w:p>
            <w:pPr>
              <w:pStyle w:val="TableText"/>
            </w:pPr>
            <w:r>
              <w:t>Rechtsschutz</w:t>
            </w:r>
          </w:p>
        </w:tc>
        <w:tc>
          <w:tcPr>
            <w:tcW w:type="dxa" w:w="4762"/>
          </w:tcPr>
          <w:p>
            <w:pPr>
              <w:pStyle w:val="TableText"/>
            </w:pPr>
            <w:r>
              <w:t>Einspruch gegen Allokation, Score und Datenstatus ermöglichen</w:t>
            </w:r>
          </w:p>
        </w:tc>
      </w:tr>
    </w:tbl>
    <w:p>
      <w:pPr>
        <w:pStyle w:val="Heading2"/>
      </w:pPr>
      <w:r>
        <w:t>Website- und Tool-Integration</w:t>
      </w:r>
    </w:p>
    <w:p>
      <w:pPr/>
      <w:r>
        <w:t>Die Website sollte das Konzernbeispiel als visuelles Mapping darstellen: Konzernbericht -&gt; Standort -&gt; Anlage -&gt; Produktgruppe -&gt; Scorecard -&gt; Produktpass -&gt; Steuerklasse. Dadurch wird sichtbar, warum Berichtsdaten allein noch keine Steuerung sind.</w:t>
      </w:r>
    </w:p>
    <w:p>
      <w:pPr/>
      <w:r>
        <w:t>Als Tool eignet sich ein CSRD-zu-Produktscorecard-Demonstrator. Er zeigt beispielhaft, welche Datenfelder aus ESRS in welche WÖk-ID-Familien fließen und wo Allokationsentscheidungen nötig sind.</w:t>
      </w:r>
    </w:p>
    <w:p>
      <w:pPr>
        <w:pStyle w:val="ListBullet"/>
      </w:pPr>
      <w:r>
        <w:t>Toolkarte: Konzern-zu-Produktscorecard-Demo.</w:t>
      </w:r>
    </w:p>
    <w:p>
      <w:pPr>
        <w:pStyle w:val="ListBullet"/>
      </w:pPr>
      <w:r>
        <w:t>Verlinkung zu Wirtschaft &amp; Unternehmen, Wirkungscontrolling, Produkte, DPP, WÖk-IDs und Scorecards.</w:t>
      </w:r>
    </w:p>
    <w:p>
      <w:pPr>
        <w:pStyle w:val="ListBullet"/>
      </w:pPr>
      <w:r>
        <w:t>Grundlagendokument Beispiel-Konzern als Download verlinken.</w:t>
      </w:r>
    </w:p>
    <w:p>
      <w:pPr>
        <w:pStyle w:val="ListBullet"/>
      </w:pPr>
      <w:r>
        <w:t>Methodische Warnung: Demo ist keine reale Konzernbewertung.</w:t>
      </w:r>
    </w:p>
    <w:p>
      <w:pPr>
        <w:pStyle w:val="Heading2"/>
      </w:pPr>
      <w:r>
        <w:t>Fazit</w:t>
      </w:r>
    </w:p>
    <w:p>
      <w:pPr/>
      <w:r>
        <w:t>Das Konzern- und Produktgruppenbeispiel ist die Brücke zwischen Nachhaltigkeitsreporting und Wirkungsumsatzsteuer. Es zeigt, wie aus Daten, die bisher in Berichten stehen, konkrete Preis-, Steuer- und Beschaffungsentscheidungen werden können.</w:t>
      </w:r>
    </w:p>
    <w:p>
      <w:pPr/>
      <w:r>
        <w:t>Die zentrale Erkenntnis lautet: Wirkung darf nicht im Konzernmittelwert verschwinden. Sie muss dort sichtbar werden, wo Produkte entstehen, genutzt werden und Kosten oder Nutzen im System erzeugen.</w:t>
      </w:r>
    </w:p>
    <w:p>
      <w:pPr>
        <w:pStyle w:val="Heading2"/>
      </w:pPr>
      <w:r>
        <w:t>Allokationsmethoden im Detail</w:t>
      </w:r>
    </w:p>
    <w:p>
      <w:pPr/>
      <w:r>
        <w:t>Die größte methodische Herausforderung bei Konzernen ist die Allokation gemeinsamer Ressourcen. Strom, Dampf, Wasser, Abwasser, Nebenprodukte und gemeinsame Infrastruktur können nicht beliebig verteilt werden. Die gewählte Allokation entscheidet darüber, ob Produktwirkungen fair oder verzerrt erscheinen.</w:t>
      </w:r>
    </w:p>
    <w:p>
      <w:pPr/>
      <w:r>
        <w:t>Eine physikalische Allokation ist vorzuziehen, wenn Energie- oder Materialflüsse eindeutig messbar sind. Eine massenbasierte Allokation kann sinnvoll sein, wenn Produkte ähnliche Prozesslogiken haben. Eine wirtschaftliche Allokation kann nur ergänzend genutzt werden, weil sie Kapitalwerte zurück in die Wirkungslogik bringen kann.</w:t>
      </w:r>
    </w:p>
    <w:p>
      <w:pPr/>
      <w:r>
        <w:t>Die Methodik muss offenlegen, warum welche Allokation gewählt wurde und wie empfindlich das Ergebnis gegenüber dieser Wahl ist.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Methode</w:t>
            </w:r>
          </w:p>
        </w:tc>
        <w:tc>
          <w:tcPr>
            <w:tcW w:type="dxa" w:w="3175"/>
            <w:shd w:fill="F6F1E8"/>
          </w:tcPr>
          <w:p>
            <w:pPr>
              <w:pStyle w:val="TableText"/>
            </w:pPr>
            <w:r>
              <w:rPr>
                <w:rFonts w:ascii="Source Sans 3" w:hAnsi="Source Sans 3" w:eastAsia="Source Sans 3"/>
                <w:b/>
                <w:color w:val="0B1020"/>
                <w:sz w:val="18"/>
              </w:rPr>
              <w:t>Geeignet für</w:t>
            </w:r>
          </w:p>
        </w:tc>
        <w:tc>
          <w:tcPr>
            <w:tcW w:type="dxa" w:w="3175"/>
            <w:shd w:fill="F6F1E8"/>
          </w:tcPr>
          <w:p>
            <w:pPr>
              <w:pStyle w:val="TableText"/>
            </w:pPr>
            <w:r>
              <w:rPr>
                <w:rFonts w:ascii="Source Sans 3" w:hAnsi="Source Sans 3" w:eastAsia="Source Sans 3"/>
                <w:b/>
                <w:color w:val="0B1020"/>
                <w:sz w:val="18"/>
              </w:rPr>
              <w:t>Risiko</w:t>
            </w:r>
          </w:p>
        </w:tc>
      </w:tr>
      <w:tr>
        <w:tc>
          <w:tcPr>
            <w:tcW w:type="dxa" w:w="3175"/>
          </w:tcPr>
          <w:p>
            <w:pPr>
              <w:pStyle w:val="TableText"/>
            </w:pPr>
            <w:r>
              <w:t>physikalisch</w:t>
            </w:r>
          </w:p>
        </w:tc>
        <w:tc>
          <w:tcPr>
            <w:tcW w:type="dxa" w:w="3175"/>
          </w:tcPr>
          <w:p>
            <w:pPr>
              <w:pStyle w:val="TableText"/>
            </w:pPr>
            <w:r>
              <w:t>Energie, Dampf, Wasser, Stoffströme</w:t>
            </w:r>
          </w:p>
        </w:tc>
        <w:tc>
          <w:tcPr>
            <w:tcW w:type="dxa" w:w="3175"/>
          </w:tcPr>
          <w:p>
            <w:pPr>
              <w:pStyle w:val="TableText"/>
            </w:pPr>
            <w:r>
              <w:t>Messaufwand</w:t>
            </w:r>
          </w:p>
        </w:tc>
      </w:tr>
      <w:tr>
        <w:tc>
          <w:tcPr>
            <w:tcW w:type="dxa" w:w="3175"/>
          </w:tcPr>
          <w:p>
            <w:pPr>
              <w:pStyle w:val="TableText"/>
            </w:pPr>
            <w:r>
              <w:t>massenbasiert</w:t>
            </w:r>
          </w:p>
        </w:tc>
        <w:tc>
          <w:tcPr>
            <w:tcW w:type="dxa" w:w="3175"/>
          </w:tcPr>
          <w:p>
            <w:pPr>
              <w:pStyle w:val="TableText"/>
            </w:pPr>
            <w:r>
              <w:t>ähnliche Produkte / gleiche Anlage</w:t>
            </w:r>
          </w:p>
        </w:tc>
        <w:tc>
          <w:tcPr>
            <w:tcW w:type="dxa" w:w="3175"/>
          </w:tcPr>
          <w:p>
            <w:pPr>
              <w:pStyle w:val="TableText"/>
            </w:pPr>
            <w:r>
              <w:t>verzerrt bei sehr unterschiedlichen Produkten</w:t>
            </w:r>
          </w:p>
        </w:tc>
      </w:tr>
      <w:tr>
        <w:tc>
          <w:tcPr>
            <w:tcW w:type="dxa" w:w="3175"/>
          </w:tcPr>
          <w:p>
            <w:pPr>
              <w:pStyle w:val="TableText"/>
            </w:pPr>
            <w:r>
              <w:t>energetisch</w:t>
            </w:r>
          </w:p>
        </w:tc>
        <w:tc>
          <w:tcPr>
            <w:tcW w:type="dxa" w:w="3175"/>
          </w:tcPr>
          <w:p>
            <w:pPr>
              <w:pStyle w:val="TableText"/>
            </w:pPr>
            <w:r>
              <w:t>energieintensive Prozesse</w:t>
            </w:r>
          </w:p>
        </w:tc>
        <w:tc>
          <w:tcPr>
            <w:tcW w:type="dxa" w:w="3175"/>
          </w:tcPr>
          <w:p>
            <w:pPr>
              <w:pStyle w:val="TableText"/>
            </w:pPr>
            <w:r>
              <w:t>ignoriert soziale/chemische Wirkung</w:t>
            </w:r>
          </w:p>
        </w:tc>
      </w:tr>
      <w:tr>
        <w:tc>
          <w:tcPr>
            <w:tcW w:type="dxa" w:w="3175"/>
          </w:tcPr>
          <w:p>
            <w:pPr>
              <w:pStyle w:val="TableText"/>
            </w:pPr>
            <w:r>
              <w:t>wirtschaftlich</w:t>
            </w:r>
          </w:p>
        </w:tc>
        <w:tc>
          <w:tcPr>
            <w:tcW w:type="dxa" w:w="3175"/>
          </w:tcPr>
          <w:p>
            <w:pPr>
              <w:pStyle w:val="TableText"/>
            </w:pPr>
            <w:r>
              <w:t>Koppelprodukte ohne klare Physik</w:t>
            </w:r>
          </w:p>
        </w:tc>
        <w:tc>
          <w:tcPr>
            <w:tcW w:type="dxa" w:w="3175"/>
          </w:tcPr>
          <w:p>
            <w:pPr>
              <w:pStyle w:val="TableText"/>
            </w:pPr>
            <w:r>
              <w:t>Kapitalmaßstab schleicht zurück</w:t>
            </w:r>
          </w:p>
        </w:tc>
      </w:tr>
      <w:tr>
        <w:tc>
          <w:tcPr>
            <w:tcW w:type="dxa" w:w="3175"/>
          </w:tcPr>
          <w:p>
            <w:pPr>
              <w:pStyle w:val="TableText"/>
            </w:pPr>
            <w:r>
              <w:t>hybrid</w:t>
            </w:r>
          </w:p>
        </w:tc>
        <w:tc>
          <w:tcPr>
            <w:tcW w:type="dxa" w:w="3175"/>
          </w:tcPr>
          <w:p>
            <w:pPr>
              <w:pStyle w:val="TableText"/>
            </w:pPr>
            <w:r>
              <w:t>komplexe Verbundsysteme</w:t>
            </w:r>
          </w:p>
        </w:tc>
        <w:tc>
          <w:tcPr>
            <w:tcW w:type="dxa" w:w="3175"/>
          </w:tcPr>
          <w:p>
            <w:pPr>
              <w:pStyle w:val="TableText"/>
            </w:pPr>
            <w:r>
              <w:t>braucht klare Dokumentation</w:t>
            </w:r>
          </w:p>
        </w:tc>
      </w:tr>
    </w:tbl>
    <w:p>
      <w:pPr>
        <w:pStyle w:val="Heading2"/>
      </w:pPr>
      <w:r>
        <w:t>Produktwirkung und Anwendungskontext</w:t>
      </w:r>
    </w:p>
    <w:p>
      <w:pPr/>
      <w:r>
        <w:t>Ein Produktgruppen-Score darf den Anwendungskontext nicht vollständig ignorieren. Ein Material kann in einer kurzlebigen Wegwerfverwendung problematisch sein und in einer langlebigen, sicherheitsrelevanten oder kreislauffähigen Anwendung eine andere Wirkung entfalten.</w:t>
      </w:r>
    </w:p>
    <w:p>
      <w:pPr/>
      <w:r>
        <w:t>Die WÖk sollte deshalb zwischen Herstellungswirkung, Nutzungswirkung und Transformationswirkung unterscheiden. Herstellungswirkung betrifft Produktion und Lieferkette. Nutzungswirkung betrifft Dauer, Sicherheit, Effizienz und Substitution. Transformationswirkung betrifft die Frage, ob das Produkt Märkte in Richtung positive Netto-Wirkung verschiebt.</w:t>
      </w:r>
    </w:p>
    <w:p>
      <w:pPr/>
      <w:r>
        <w:t>Diese Unterscheidung schützt vor Pauschalurteilen und vor Greenwashing zugleich.</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Ebene</w:t>
            </w:r>
          </w:p>
        </w:tc>
        <w:tc>
          <w:tcPr>
            <w:tcW w:type="dxa" w:w="3175"/>
            <w:shd w:fill="F6F1E8"/>
          </w:tcPr>
          <w:p>
            <w:pPr>
              <w:pStyle w:val="TableText"/>
            </w:pPr>
            <w:r>
              <w:rPr>
                <w:rFonts w:ascii="Source Sans 3" w:hAnsi="Source Sans 3" w:eastAsia="Source Sans 3"/>
                <w:b/>
                <w:color w:val="0B1020"/>
                <w:sz w:val="18"/>
              </w:rPr>
              <w:t>Frage</w:t>
            </w:r>
          </w:p>
        </w:tc>
        <w:tc>
          <w:tcPr>
            <w:tcW w:type="dxa" w:w="3175"/>
            <w:shd w:fill="F6F1E8"/>
          </w:tcPr>
          <w:p>
            <w:pPr>
              <w:pStyle w:val="TableText"/>
            </w:pPr>
            <w:r>
              <w:rPr>
                <w:rFonts w:ascii="Source Sans 3" w:hAnsi="Source Sans 3" w:eastAsia="Source Sans 3"/>
                <w:b/>
                <w:color w:val="0B1020"/>
                <w:sz w:val="18"/>
              </w:rPr>
              <w:t>Beispiel</w:t>
            </w:r>
          </w:p>
        </w:tc>
      </w:tr>
      <w:tr>
        <w:tc>
          <w:tcPr>
            <w:tcW w:type="dxa" w:w="3175"/>
          </w:tcPr>
          <w:p>
            <w:pPr>
              <w:pStyle w:val="TableText"/>
            </w:pPr>
            <w:r>
              <w:t>Herstellung</w:t>
            </w:r>
          </w:p>
        </w:tc>
        <w:tc>
          <w:tcPr>
            <w:tcW w:type="dxa" w:w="3175"/>
          </w:tcPr>
          <w:p>
            <w:pPr>
              <w:pStyle w:val="TableText"/>
            </w:pPr>
            <w:r>
              <w:t>Wie entsteht das Produkt?</w:t>
            </w:r>
          </w:p>
        </w:tc>
        <w:tc>
          <w:tcPr>
            <w:tcW w:type="dxa" w:w="3175"/>
          </w:tcPr>
          <w:p>
            <w:pPr>
              <w:pStyle w:val="TableText"/>
            </w:pPr>
            <w:r>
              <w:t>Emissionen, Wasser, Chemie, Arbeit</w:t>
            </w:r>
          </w:p>
        </w:tc>
      </w:tr>
      <w:tr>
        <w:tc>
          <w:tcPr>
            <w:tcW w:type="dxa" w:w="3175"/>
          </w:tcPr>
          <w:p>
            <w:pPr>
              <w:pStyle w:val="TableText"/>
            </w:pPr>
            <w:r>
              <w:t>Nutzung</w:t>
            </w:r>
          </w:p>
        </w:tc>
        <w:tc>
          <w:tcPr>
            <w:tcW w:type="dxa" w:w="3175"/>
          </w:tcPr>
          <w:p>
            <w:pPr>
              <w:pStyle w:val="TableText"/>
            </w:pPr>
            <w:r>
              <w:t>Was bewirkt das Produkt im Einsatz?</w:t>
            </w:r>
          </w:p>
        </w:tc>
        <w:tc>
          <w:tcPr>
            <w:tcW w:type="dxa" w:w="3175"/>
          </w:tcPr>
          <w:p>
            <w:pPr>
              <w:pStyle w:val="TableText"/>
            </w:pPr>
            <w:r>
              <w:t>Langlebigkeit, Sicherheit, Effizienz</w:t>
            </w:r>
          </w:p>
        </w:tc>
      </w:tr>
      <w:tr>
        <w:tc>
          <w:tcPr>
            <w:tcW w:type="dxa" w:w="3175"/>
          </w:tcPr>
          <w:p>
            <w:pPr>
              <w:pStyle w:val="TableText"/>
            </w:pPr>
            <w:r>
              <w:t>End-of-Life</w:t>
            </w:r>
          </w:p>
        </w:tc>
        <w:tc>
          <w:tcPr>
            <w:tcW w:type="dxa" w:w="3175"/>
          </w:tcPr>
          <w:p>
            <w:pPr>
              <w:pStyle w:val="TableText"/>
            </w:pPr>
            <w:r>
              <w:t>Was passiert danach?</w:t>
            </w:r>
          </w:p>
        </w:tc>
        <w:tc>
          <w:tcPr>
            <w:tcW w:type="dxa" w:w="3175"/>
          </w:tcPr>
          <w:p>
            <w:pPr>
              <w:pStyle w:val="TableText"/>
            </w:pPr>
            <w:r>
              <w:t>Recycling, Rücknahme, Schadstoffe</w:t>
            </w:r>
          </w:p>
        </w:tc>
      </w:tr>
      <w:tr>
        <w:tc>
          <w:tcPr>
            <w:tcW w:type="dxa" w:w="3175"/>
          </w:tcPr>
          <w:p>
            <w:pPr>
              <w:pStyle w:val="TableText"/>
            </w:pPr>
            <w:r>
              <w:t>Substitution</w:t>
            </w:r>
          </w:p>
        </w:tc>
        <w:tc>
          <w:tcPr>
            <w:tcW w:type="dxa" w:w="3175"/>
          </w:tcPr>
          <w:p>
            <w:pPr>
              <w:pStyle w:val="TableText"/>
            </w:pPr>
            <w:r>
              <w:t>Welche Alternative ersetzt es?</w:t>
            </w:r>
          </w:p>
        </w:tc>
        <w:tc>
          <w:tcPr>
            <w:tcW w:type="dxa" w:w="3175"/>
          </w:tcPr>
          <w:p>
            <w:pPr>
              <w:pStyle w:val="TableText"/>
            </w:pPr>
            <w:r>
              <w:t>schädlicheres Material oder Prozess</w:t>
            </w:r>
          </w:p>
        </w:tc>
      </w:tr>
      <w:tr>
        <w:tc>
          <w:tcPr>
            <w:tcW w:type="dxa" w:w="3175"/>
          </w:tcPr>
          <w:p>
            <w:pPr>
              <w:pStyle w:val="TableText"/>
            </w:pPr>
            <w:r>
              <w:t>Transformation</w:t>
            </w:r>
          </w:p>
        </w:tc>
        <w:tc>
          <w:tcPr>
            <w:tcW w:type="dxa" w:w="3175"/>
          </w:tcPr>
          <w:p>
            <w:pPr>
              <w:pStyle w:val="TableText"/>
            </w:pPr>
            <w:r>
              <w:t>Verändert es Standards?</w:t>
            </w:r>
          </w:p>
        </w:tc>
        <w:tc>
          <w:tcPr>
            <w:tcW w:type="dxa" w:w="3175"/>
          </w:tcPr>
          <w:p>
            <w:pPr>
              <w:pStyle w:val="TableText"/>
            </w:pPr>
            <w:r>
              <w:t>neue Kreislaufnorm oder Benchmark</w:t>
            </w:r>
          </w:p>
        </w:tc>
      </w:tr>
    </w:tbl>
    <w:p>
      <w:pPr>
        <w:pStyle w:val="Heading2"/>
      </w:pPr>
      <w:r>
        <w:t>Betriebswirtschaftliche Konsequenzen für Unternehmen</w:t>
      </w:r>
    </w:p>
    <w:p>
      <w:pPr/>
      <w:r>
        <w:t>Die Übersetzung von CSRD zur Produktscorecard verändert Unternehmenssteuerung. Produktgruppen mit schlechten Wirkungsprofilen werden nicht nur reputativ riskant, sondern steuerlich, finanzierungsseitig und absatzseitig relevant. Investitionen in Wasser, Energie, Chemie, Arbeitsschutz und Kreislauf werden zu betriebswirtschaftlichen Verbesserungshebeln.</w:t>
      </w:r>
    </w:p>
    <w:p>
      <w:pPr/>
      <w:r>
        <w:t>Für das Controlling bedeutet das: CapEx und Opex werden nicht nur nach Amortisation, sondern nach Wirkung auf Steuerklasse, Lieferantenfähigkeit, Kapitalzugang, Versicherbarkeit und Marktposition bewertet. Produktportfolios werden nicht nur nach Deckungsbeitrag, sondern nach Wirkungsrisiko und Transformationspotenzial betrachtet.</w:t>
      </w:r>
    </w:p>
    <w:p>
      <w:pPr/>
      <w:r>
        <w:t>Damit verbindet sich das Konzernbeispiel direkt mit den Unternehmensdetailkonzepten zu Wirkungscontrolling, Risikomanagement und Finanzierung nach Wirkung.</w:t>
      </w:r>
    </w:p>
    <w:p>
      <w:pPr>
        <w:pStyle w:val="Heading2"/>
      </w:pPr>
      <w:r>
        <w:t>Roadmap für Konzern-zu-Produktgruppen-Mapping</w:t>
      </w:r>
    </w:p>
    <w:p>
      <w:pPr/>
      <w:r>
        <w:t>Eine realistische Einführung beginnt mit Produktgruppen, nicht mit jedem Einzelprodukt. Unternehmen identifizieren zunächst die umsatz- und wirkungsrelevantesten Produktgruppen. Danach werden Datenlücken, Allokationsregeln und Engpassfelder geklärt.</w:t>
      </w:r>
    </w:p>
    <w:p>
      <w:pPr/>
      <w:r>
        <w:t>In einer zweiten Phase entstehen Schatten-Scorecards, die noch keine Steuerwirkung haben. In einer dritten Phase werden diese Scorecards mit Produktpässen, Kundeninformation und internen Investitionsentscheidungen verbunden. Erst danach sollte eine steuerliche Rückkopplung beginnen.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Phase</w:t>
            </w:r>
          </w:p>
        </w:tc>
        <w:tc>
          <w:tcPr>
            <w:tcW w:type="dxa" w:w="3175"/>
            <w:shd w:fill="F6F1E8"/>
          </w:tcPr>
          <w:p>
            <w:pPr>
              <w:pStyle w:val="TableText"/>
            </w:pPr>
            <w:r>
              <w:rPr>
                <w:rFonts w:ascii="Source Sans 3" w:hAnsi="Source Sans 3" w:eastAsia="Source Sans 3"/>
                <w:b/>
                <w:color w:val="0B1020"/>
                <w:sz w:val="18"/>
              </w:rPr>
              <w:t>Unternehmensaufgabe</w:t>
            </w:r>
          </w:p>
        </w:tc>
        <w:tc>
          <w:tcPr>
            <w:tcW w:type="dxa" w:w="3175"/>
            <w:shd w:fill="F6F1E8"/>
          </w:tcPr>
          <w:p>
            <w:pPr>
              <w:pStyle w:val="TableText"/>
            </w:pPr>
            <w:r>
              <w:rPr>
                <w:rFonts w:ascii="Source Sans 3" w:hAnsi="Source Sans 3" w:eastAsia="Source Sans 3"/>
                <w:b/>
                <w:color w:val="0B1020"/>
                <w:sz w:val="18"/>
              </w:rPr>
              <w:t>Öffentliche Aufgabe</w:t>
            </w:r>
          </w:p>
        </w:tc>
      </w:tr>
      <w:tr>
        <w:tc>
          <w:tcPr>
            <w:tcW w:type="dxa" w:w="3175"/>
          </w:tcPr>
          <w:p>
            <w:pPr>
              <w:pStyle w:val="TableText"/>
            </w:pPr>
            <w:r>
              <w:t>1</w:t>
            </w:r>
          </w:p>
        </w:tc>
        <w:tc>
          <w:tcPr>
            <w:tcW w:type="dxa" w:w="3175"/>
          </w:tcPr>
          <w:p>
            <w:pPr>
              <w:pStyle w:val="TableText"/>
            </w:pPr>
            <w:r>
              <w:t>Produktgruppen priorisieren</w:t>
            </w:r>
          </w:p>
        </w:tc>
        <w:tc>
          <w:tcPr>
            <w:tcW w:type="dxa" w:w="3175"/>
          </w:tcPr>
          <w:p>
            <w:pPr>
              <w:pStyle w:val="TableText"/>
            </w:pPr>
            <w:r>
              <w:t>Pilotbranchen definieren</w:t>
            </w:r>
          </w:p>
        </w:tc>
      </w:tr>
      <w:tr>
        <w:tc>
          <w:tcPr>
            <w:tcW w:type="dxa" w:w="3175"/>
          </w:tcPr>
          <w:p>
            <w:pPr>
              <w:pStyle w:val="TableText"/>
            </w:pPr>
            <w:r>
              <w:t>2</w:t>
            </w:r>
          </w:p>
        </w:tc>
        <w:tc>
          <w:tcPr>
            <w:tcW w:type="dxa" w:w="3175"/>
          </w:tcPr>
          <w:p>
            <w:pPr>
              <w:pStyle w:val="TableText"/>
            </w:pPr>
            <w:r>
              <w:t>Daten- und Allokationslücken erfassen</w:t>
            </w:r>
          </w:p>
        </w:tc>
        <w:tc>
          <w:tcPr>
            <w:tcW w:type="dxa" w:w="3175"/>
          </w:tcPr>
          <w:p>
            <w:pPr>
              <w:pStyle w:val="TableText"/>
            </w:pPr>
            <w:r>
              <w:t>Methodik veröffentlichen</w:t>
            </w:r>
          </w:p>
        </w:tc>
      </w:tr>
      <w:tr>
        <w:tc>
          <w:tcPr>
            <w:tcW w:type="dxa" w:w="3175"/>
          </w:tcPr>
          <w:p>
            <w:pPr>
              <w:pStyle w:val="TableText"/>
            </w:pPr>
            <w:r>
              <w:t>3</w:t>
            </w:r>
          </w:p>
        </w:tc>
        <w:tc>
          <w:tcPr>
            <w:tcW w:type="dxa" w:w="3175"/>
          </w:tcPr>
          <w:p>
            <w:pPr>
              <w:pStyle w:val="TableText"/>
            </w:pPr>
            <w:r>
              <w:t>Schatten-Scorecards erstellen</w:t>
            </w:r>
          </w:p>
        </w:tc>
        <w:tc>
          <w:tcPr>
            <w:tcW w:type="dxa" w:w="3175"/>
          </w:tcPr>
          <w:p>
            <w:pPr>
              <w:pStyle w:val="TableText"/>
            </w:pPr>
            <w:r>
              <w:t>Konsultation und Prüfung</w:t>
            </w:r>
          </w:p>
        </w:tc>
      </w:tr>
      <w:tr>
        <w:tc>
          <w:tcPr>
            <w:tcW w:type="dxa" w:w="3175"/>
          </w:tcPr>
          <w:p>
            <w:pPr>
              <w:pStyle w:val="TableText"/>
            </w:pPr>
            <w:r>
              <w:t>4</w:t>
            </w:r>
          </w:p>
        </w:tc>
        <w:tc>
          <w:tcPr>
            <w:tcW w:type="dxa" w:w="3175"/>
          </w:tcPr>
          <w:p>
            <w:pPr>
              <w:pStyle w:val="TableText"/>
            </w:pPr>
            <w:r>
              <w:t>DPP und Kundendaten anbinden</w:t>
            </w:r>
          </w:p>
        </w:tc>
        <w:tc>
          <w:tcPr>
            <w:tcW w:type="dxa" w:w="3175"/>
          </w:tcPr>
          <w:p>
            <w:pPr>
              <w:pStyle w:val="TableText"/>
            </w:pPr>
            <w:r>
              <w:t>Register und Schnittstellen schaffen</w:t>
            </w:r>
          </w:p>
        </w:tc>
      </w:tr>
      <w:tr>
        <w:tc>
          <w:tcPr>
            <w:tcW w:type="dxa" w:w="3175"/>
          </w:tcPr>
          <w:p>
            <w:pPr>
              <w:pStyle w:val="TableText"/>
            </w:pPr>
            <w:r>
              <w:t>5</w:t>
            </w:r>
          </w:p>
        </w:tc>
        <w:tc>
          <w:tcPr>
            <w:tcW w:type="dxa" w:w="3175"/>
          </w:tcPr>
          <w:p>
            <w:pPr>
              <w:pStyle w:val="TableText"/>
            </w:pPr>
            <w:r>
              <w:t>Steuerliche Rückkopplung testen</w:t>
            </w:r>
          </w:p>
        </w:tc>
        <w:tc>
          <w:tcPr>
            <w:tcW w:type="dxa" w:w="3175"/>
          </w:tcPr>
          <w:p>
            <w:pPr>
              <w:pStyle w:val="TableText"/>
            </w:pPr>
            <w:r>
              <w:t>Evaluation und Korrektur</w:t>
            </w:r>
          </w:p>
        </w:tc>
      </w:tr>
    </w:tbl>
    <w:p>
      <w:pPr>
        <w:pStyle w:val="Heading2"/>
      </w:pPr>
      <w:r>
        <w:t>Quellen und Anschlussdokumente</w:t>
      </w:r>
    </w:p>
    <w:p>
      <w:pPr>
        <w:pStyle w:val="ListBullet"/>
      </w:pPr>
      <w:r>
        <w:t>Natalie Weber: Die neue Ordnung des Wohlstands, Teile V-VIII zu WÖk-IDs, Scorecards, WUStG, DPP, Produkten und Märkten.</w:t>
      </w:r>
    </w:p>
    <w:p>
      <w:pPr>
        <w:pStyle w:val="ListBullet"/>
      </w:pPr>
      <w:r>
        <w:t>Natalie Weber: WP_Produkte - Produktbesteuerung durch Wirkung.</w:t>
      </w:r>
    </w:p>
    <w:p>
      <w:pPr>
        <w:pStyle w:val="ListBullet"/>
      </w:pPr>
      <w:r>
        <w:t>Natalie Weber: Beispiel Apfel Wirkungssteuer Bonusregel.</w:t>
      </w:r>
    </w:p>
    <w:p>
      <w:pPr>
        <w:pStyle w:val="ListBullet"/>
      </w:pPr>
      <w:r>
        <w:t>Natalie Weber: Technische Leitlinien zum Wirkungssteuergesetz (WUStG) - Extended v2.</w:t>
      </w:r>
    </w:p>
    <w:p>
      <w:pPr>
        <w:pStyle w:val="ListBullet"/>
      </w:pPr>
      <w:r>
        <w:t>Natalie Weber: Wirkungsökonomie in der Lieferkette.</w:t>
      </w:r>
    </w:p>
    <w:p>
      <w:pPr>
        <w:pStyle w:val="ListBullet"/>
      </w:pPr>
      <w:r>
        <w:t>Natalie Weber: Beispiel-Konzern - Von der CSRD zur Produktscorecard am Beispiel BASF Polyamid.</w:t>
      </w:r>
    </w:p>
    <w:p>
      <w:pPr>
        <w:pStyle w:val="ListBullet"/>
      </w:pPr>
      <w:r>
        <w:t>Natalie Weber: Führender Begriffsleitfaden der Wirkungsökonomie v1.0.</w:t>
      </w:r>
    </w:p>
    <w:p>
      <w:pPr>
        <w:pStyle w:val="ListBullet"/>
      </w:pPr>
      <w:r>
        <w:t>Europäische Kommission: Corporate Sustainability Reporting / CSRD und ESRS.</w:t>
      </w:r>
    </w:p>
    <w:p>
      <w:pPr>
        <w:pStyle w:val="ListBullet"/>
      </w:pPr>
      <w:r>
        <w:t>Europäische Kommission: Ecodesign for Sustainable Products Regulation (ESPR) und Digital Product Passport.</w:t>
      </w:r>
    </w:p>
    <w:p>
      <w:pPr>
        <w:pStyle w:val="ListBullet"/>
      </w:pPr>
      <w:r>
        <w:t>Europäische Kommission: Corporate Sustainability Due Diligence Directive (CSDDD).</w:t>
      </w:r>
    </w:p>
    <w:p>
      <w:pPr>
        <w:pStyle w:val="ListBullet"/>
      </w:pPr>
      <w:r>
        <w:t>Europäische Kommission: Carbon Border Adjustment Mechanism (CBAM).</w:t>
      </w:r>
    </w:p>
    <w:p>
      <w:pPr>
        <w:pStyle w:val="Heading2"/>
      </w:pPr>
      <w:r>
        <w:t>Vertiefung: Produktgruppen statt Scheinpräzision</w:t>
      </w:r>
    </w:p>
    <w:p>
      <w:pPr/>
      <w:r>
        <w:t>Ein Konzern kann Millionen einzelner Artikelnummern führen. Eine Scorecard auf jeder SKU-Ebene wäre zu Beginn oft nicht praktikabel und könnte Scheinpräzision erzeugen. Gleichzeitig wäre eine reine Konzernbewertung zu grob. Die Lösung liegt in belastbaren Produktgruppen: Sie bündeln Produkte mit ähnlicher Prozesslogik, Materialbasis, Anlagenzuordnung und Wirkungsprofilen.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Ebene</w:t>
            </w:r>
          </w:p>
        </w:tc>
        <w:tc>
          <w:tcPr>
            <w:tcW w:type="dxa" w:w="3175"/>
            <w:shd w:fill="F6F1E8"/>
          </w:tcPr>
          <w:p>
            <w:pPr>
              <w:pStyle w:val="TableText"/>
            </w:pPr>
            <w:r>
              <w:rPr>
                <w:rFonts w:ascii="Source Sans 3" w:hAnsi="Source Sans 3" w:eastAsia="Source Sans 3"/>
                <w:b/>
                <w:color w:val="0B1020"/>
                <w:sz w:val="18"/>
              </w:rPr>
              <w:t>Geeignet für WÖk-Start?</w:t>
            </w:r>
          </w:p>
        </w:tc>
        <w:tc>
          <w:tcPr>
            <w:tcW w:type="dxa" w:w="3175"/>
            <w:shd w:fill="F6F1E8"/>
          </w:tcPr>
          <w:p>
            <w:pPr>
              <w:pStyle w:val="TableText"/>
            </w:pPr>
            <w:r>
              <w:rPr>
                <w:rFonts w:ascii="Source Sans 3" w:hAnsi="Source Sans 3" w:eastAsia="Source Sans 3"/>
                <w:b/>
                <w:color w:val="0B1020"/>
                <w:sz w:val="18"/>
              </w:rPr>
              <w:t>Begründung</w:t>
            </w:r>
          </w:p>
        </w:tc>
      </w:tr>
      <w:tr>
        <w:tc>
          <w:tcPr>
            <w:tcW w:type="dxa" w:w="3175"/>
          </w:tcPr>
          <w:p>
            <w:pPr>
              <w:pStyle w:val="TableText"/>
            </w:pPr>
            <w:r>
              <w:t>Konzern gesamt</w:t>
            </w:r>
          </w:p>
        </w:tc>
        <w:tc>
          <w:tcPr>
            <w:tcW w:type="dxa" w:w="3175"/>
          </w:tcPr>
          <w:p>
            <w:pPr>
              <w:pStyle w:val="TableText"/>
            </w:pPr>
            <w:r>
              <w:t>Nein, nur Rahmen</w:t>
            </w:r>
          </w:p>
        </w:tc>
        <w:tc>
          <w:tcPr>
            <w:tcW w:type="dxa" w:w="3175"/>
          </w:tcPr>
          <w:p>
            <w:pPr>
              <w:pStyle w:val="TableText"/>
            </w:pPr>
            <w:r>
              <w:t>Zu grob, verdeckt Produktunterschiede.</w:t>
            </w:r>
          </w:p>
        </w:tc>
      </w:tr>
      <w:tr>
        <w:tc>
          <w:tcPr>
            <w:tcW w:type="dxa" w:w="3175"/>
          </w:tcPr>
          <w:p>
            <w:pPr>
              <w:pStyle w:val="TableText"/>
            </w:pPr>
            <w:r>
              <w:t>Segment/Geschäftsbereich</w:t>
            </w:r>
          </w:p>
        </w:tc>
        <w:tc>
          <w:tcPr>
            <w:tcW w:type="dxa" w:w="3175"/>
          </w:tcPr>
          <w:p>
            <w:pPr>
              <w:pStyle w:val="TableText"/>
            </w:pPr>
            <w:r>
              <w:t>Teilweise</w:t>
            </w:r>
          </w:p>
        </w:tc>
        <w:tc>
          <w:tcPr>
            <w:tcW w:type="dxa" w:w="3175"/>
          </w:tcPr>
          <w:p>
            <w:pPr>
              <w:pStyle w:val="TableText"/>
            </w:pPr>
            <w:r>
              <w:t>Gut für Priorisierung, noch zu grob für Steuerklasse.</w:t>
            </w:r>
          </w:p>
        </w:tc>
      </w:tr>
      <w:tr>
        <w:tc>
          <w:tcPr>
            <w:tcW w:type="dxa" w:w="3175"/>
          </w:tcPr>
          <w:p>
            <w:pPr>
              <w:pStyle w:val="TableText"/>
            </w:pPr>
            <w:r>
              <w:t>Standort/Anlage</w:t>
            </w:r>
          </w:p>
        </w:tc>
        <w:tc>
          <w:tcPr>
            <w:tcW w:type="dxa" w:w="3175"/>
          </w:tcPr>
          <w:p>
            <w:pPr>
              <w:pStyle w:val="TableText"/>
            </w:pPr>
            <w:r>
              <w:t>Ja, für Prozesswirkung</w:t>
            </w:r>
          </w:p>
        </w:tc>
        <w:tc>
          <w:tcPr>
            <w:tcW w:type="dxa" w:w="3175"/>
          </w:tcPr>
          <w:p>
            <w:pPr>
              <w:pStyle w:val="TableText"/>
            </w:pPr>
            <w:r>
              <w:t>Nützlich für Energie, Wasser, Emissionen, Sicherheit.</w:t>
            </w:r>
          </w:p>
        </w:tc>
      </w:tr>
      <w:tr>
        <w:tc>
          <w:tcPr>
            <w:tcW w:type="dxa" w:w="3175"/>
          </w:tcPr>
          <w:p>
            <w:pPr>
              <w:pStyle w:val="TableText"/>
            </w:pPr>
            <w:r>
              <w:t>Produktgruppe</w:t>
            </w:r>
          </w:p>
        </w:tc>
        <w:tc>
          <w:tcPr>
            <w:tcW w:type="dxa" w:w="3175"/>
          </w:tcPr>
          <w:p>
            <w:pPr>
              <w:pStyle w:val="TableText"/>
            </w:pPr>
            <w:r>
              <w:t>Ja, Hauptniveau</w:t>
            </w:r>
          </w:p>
        </w:tc>
        <w:tc>
          <w:tcPr>
            <w:tcW w:type="dxa" w:w="3175"/>
          </w:tcPr>
          <w:p>
            <w:pPr>
              <w:pStyle w:val="TableText"/>
            </w:pPr>
            <w:r>
              <w:t>Ausreichend präzise und praktikabel.</w:t>
            </w:r>
          </w:p>
        </w:tc>
      </w:tr>
      <w:tr>
        <w:tc>
          <w:tcPr>
            <w:tcW w:type="dxa" w:w="3175"/>
          </w:tcPr>
          <w:p>
            <w:pPr>
              <w:pStyle w:val="TableText"/>
            </w:pPr>
            <w:r>
              <w:t>SKU/Charge</w:t>
            </w:r>
          </w:p>
        </w:tc>
        <w:tc>
          <w:tcPr>
            <w:tcW w:type="dxa" w:w="3175"/>
          </w:tcPr>
          <w:p>
            <w:pPr>
              <w:pStyle w:val="TableText"/>
            </w:pPr>
            <w:r>
              <w:t>Spätere Ausbaustufe</w:t>
            </w:r>
          </w:p>
        </w:tc>
        <w:tc>
          <w:tcPr>
            <w:tcW w:type="dxa" w:w="3175"/>
          </w:tcPr>
          <w:p>
            <w:pPr>
              <w:pStyle w:val="TableText"/>
            </w:pPr>
            <w:r>
              <w:t>Sinnvoll bei Datenreife und DPP-Integration.</w:t>
            </w:r>
          </w:p>
        </w:tc>
      </w:tr>
    </w:tbl>
    <w:p>
      <w:pPr>
        <w:pStyle w:val="Heading2"/>
      </w:pPr>
      <w:r>
        <w:t>Vertiefung: Datenraum und Audit-Trail</w:t>
      </w:r>
    </w:p>
    <w:p>
      <w:pPr/>
      <w:r>
        <w:t>Damit CSRD-Daten in Produktscorecards überführt werden können, braucht es einen nachvollziehbaren Datenraum. Dieser Datenraum muss nicht alles öffentlich machen. Er muss aber sicherstellen, dass relevante Daten für Prüfung, Steuerberechnung und Rechtsschutz zugänglich sind. Die Öffentlichkeit sieht Score, Erklärung und Datenqualitätsstufe; Prüfer:innen sehen Allokationspfade; Unternehmen behalten legitime Geschäftsgeheimnisse geschützt.</w:t>
      </w:r>
    </w:p>
    <w:p>
      <w:pPr>
        <w:pStyle w:val="ListBullet"/>
      </w:pPr>
      <w:r>
        <w:t>Datenquellen versionieren: Berichtsdaten, Standortdaten, Anlagenwerte, Produktpassdaten.</w:t>
      </w:r>
    </w:p>
    <w:p>
      <w:pPr>
        <w:pStyle w:val="ListBullet"/>
      </w:pPr>
      <w:r>
        <w:t>Allokationsentscheidungen dokumentieren: Methode, Begründung, Verantwortliche, Datum.</w:t>
      </w:r>
    </w:p>
    <w:p>
      <w:pPr>
        <w:pStyle w:val="ListBullet"/>
      </w:pPr>
      <w:r>
        <w:t>Audit-Trail speichern: Wer hat welchen Wert wann geändert und warum?</w:t>
      </w:r>
    </w:p>
    <w:p>
      <w:pPr>
        <w:pStyle w:val="ListBullet"/>
      </w:pPr>
      <w:r>
        <w:t>Datenqualitätsstufe ausweisen: Schätzung, Standardwert, Messwert, auditierter Wert.</w:t>
      </w:r>
    </w:p>
    <w:p>
      <w:pPr>
        <w:pStyle w:val="ListBullet"/>
      </w:pPr>
      <w:r>
        <w:t>Rechtsschutz ermöglichen: Unternehmen müssen Score und Allokation anfechten können.</w:t>
      </w:r>
    </w:p>
    <w:p>
      <w:pPr>
        <w:pStyle w:val="Heading2"/>
      </w:pPr>
      <w:r>
        <w:t>Vertiefung: Produktportfolio als Wirkungs-Heatmap</w:t>
      </w:r>
    </w:p>
    <w:p>
      <w:pPr/>
      <w:r>
        <w:t>Die stärkste unternehmerische Wirkung entsteht, wenn Produktscorecards nicht nur für Steuern, sondern für Portfolioentscheidungen genutzt werden. Dann erkennt ein Unternehmen, welche Produktgruppen Zukunftsträger, Übergangsprodukte oder Wirkungsrisiken sind. Diese Heatmap verbindet Nachhaltigkeit, Risikomanagement, Produktstrategie und Kapitalallokation.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Portfolio-Klasse</w:t>
            </w:r>
          </w:p>
        </w:tc>
        <w:tc>
          <w:tcPr>
            <w:tcW w:type="dxa" w:w="3175"/>
            <w:shd w:fill="F6F1E8"/>
          </w:tcPr>
          <w:p>
            <w:pPr>
              <w:pStyle w:val="TableText"/>
            </w:pPr>
            <w:r>
              <w:rPr>
                <w:rFonts w:ascii="Source Sans 3" w:hAnsi="Source Sans 3" w:eastAsia="Source Sans 3"/>
                <w:b/>
                <w:color w:val="0B1020"/>
                <w:sz w:val="18"/>
              </w:rPr>
              <w:t>Wirkungsprofil</w:t>
            </w:r>
          </w:p>
        </w:tc>
        <w:tc>
          <w:tcPr>
            <w:tcW w:type="dxa" w:w="3175"/>
            <w:shd w:fill="F6F1E8"/>
          </w:tcPr>
          <w:p>
            <w:pPr>
              <w:pStyle w:val="TableText"/>
            </w:pPr>
            <w:r>
              <w:rPr>
                <w:rFonts w:ascii="Source Sans 3" w:hAnsi="Source Sans 3" w:eastAsia="Source Sans 3"/>
                <w:b/>
                <w:color w:val="0B1020"/>
                <w:sz w:val="18"/>
              </w:rPr>
              <w:t>Managemententscheidung</w:t>
            </w:r>
          </w:p>
        </w:tc>
      </w:tr>
      <w:tr>
        <w:tc>
          <w:tcPr>
            <w:tcW w:type="dxa" w:w="3175"/>
          </w:tcPr>
          <w:p>
            <w:pPr>
              <w:pStyle w:val="TableText"/>
            </w:pPr>
            <w:r>
              <w:t>Transformationsprodukt</w:t>
            </w:r>
          </w:p>
        </w:tc>
        <w:tc>
          <w:tcPr>
            <w:tcW w:type="dxa" w:w="3175"/>
          </w:tcPr>
          <w:p>
            <w:pPr>
              <w:pStyle w:val="TableText"/>
            </w:pPr>
            <w:r>
              <w:t>Positive Netto-Wirkung, hoher Markt- und Systemnutzen</w:t>
            </w:r>
          </w:p>
        </w:tc>
        <w:tc>
          <w:tcPr>
            <w:tcW w:type="dxa" w:w="3175"/>
          </w:tcPr>
          <w:p>
            <w:pPr>
              <w:pStyle w:val="TableText"/>
            </w:pPr>
            <w:r>
              <w:t>Skalieren, investieren, kommunizieren, Standards setzen.</w:t>
            </w:r>
          </w:p>
        </w:tc>
      </w:tr>
      <w:tr>
        <w:tc>
          <w:tcPr>
            <w:tcW w:type="dxa" w:w="3175"/>
          </w:tcPr>
          <w:p>
            <w:pPr>
              <w:pStyle w:val="TableText"/>
            </w:pPr>
            <w:r>
              <w:t>Verbesserbares Produkt</w:t>
            </w:r>
          </w:p>
        </w:tc>
        <w:tc>
          <w:tcPr>
            <w:tcW w:type="dxa" w:w="3175"/>
          </w:tcPr>
          <w:p>
            <w:pPr>
              <w:pStyle w:val="TableText"/>
            </w:pPr>
            <w:r>
              <w:t>Neutral oder schwach mit klaren Hebeln</w:t>
            </w:r>
          </w:p>
        </w:tc>
        <w:tc>
          <w:tcPr>
            <w:tcW w:type="dxa" w:w="3175"/>
          </w:tcPr>
          <w:p>
            <w:pPr>
              <w:pStyle w:val="TableText"/>
            </w:pPr>
            <w:r>
              <w:t>Roadmap, CapEx, Lieferketten- und Prozessumbau.</w:t>
            </w:r>
          </w:p>
        </w:tc>
      </w:tr>
      <w:tr>
        <w:tc>
          <w:tcPr>
            <w:tcW w:type="dxa" w:w="3175"/>
          </w:tcPr>
          <w:p>
            <w:pPr>
              <w:pStyle w:val="TableText"/>
            </w:pPr>
            <w:r>
              <w:t>Risikoprodukt</w:t>
            </w:r>
          </w:p>
        </w:tc>
        <w:tc>
          <w:tcPr>
            <w:tcW w:type="dxa" w:w="3175"/>
          </w:tcPr>
          <w:p>
            <w:pPr>
              <w:pStyle w:val="TableText"/>
            </w:pPr>
            <w:r>
              <w:t>Negative Felder, rote Linien möglich</w:t>
            </w:r>
          </w:p>
        </w:tc>
        <w:tc>
          <w:tcPr>
            <w:tcW w:type="dxa" w:w="3175"/>
          </w:tcPr>
          <w:p>
            <w:pPr>
              <w:pStyle w:val="TableText"/>
            </w:pPr>
            <w:r>
              <w:t>Sanieren, substituieren, Übergang planen, Risikokapital begrenzen.</w:t>
            </w:r>
          </w:p>
        </w:tc>
      </w:tr>
      <w:tr>
        <w:tc>
          <w:tcPr>
            <w:tcW w:type="dxa" w:w="3175"/>
          </w:tcPr>
          <w:p>
            <w:pPr>
              <w:pStyle w:val="TableText"/>
            </w:pPr>
            <w:r>
              <w:t>Stranded Product</w:t>
            </w:r>
          </w:p>
        </w:tc>
        <w:tc>
          <w:tcPr>
            <w:tcW w:type="dxa" w:w="3175"/>
          </w:tcPr>
          <w:p>
            <w:pPr>
              <w:pStyle w:val="TableText"/>
            </w:pPr>
            <w:r>
              <w:t>Regulatorisch, ökologisch oder sozial nicht zukunftsfähig</w:t>
            </w:r>
          </w:p>
        </w:tc>
        <w:tc>
          <w:tcPr>
            <w:tcW w:type="dxa" w:w="3175"/>
          </w:tcPr>
          <w:p>
            <w:pPr>
              <w:pStyle w:val="TableText"/>
            </w:pPr>
            <w:r>
              <w:t>Exit-, Konversions- oder Ersatzstrategie.</w:t>
            </w:r>
          </w:p>
        </w:tc>
      </w:tr>
      <w:tr>
        <w:tc>
          <w:tcPr>
            <w:tcW w:type="dxa" w:w="3175"/>
          </w:tcPr>
          <w:p>
            <w:pPr>
              <w:pStyle w:val="TableText"/>
            </w:pPr>
            <w:r>
              <w:t>Datenblindes Produkt</w:t>
            </w:r>
          </w:p>
        </w:tc>
        <w:tc>
          <w:tcPr>
            <w:tcW w:type="dxa" w:w="3175"/>
          </w:tcPr>
          <w:p>
            <w:pPr>
              <w:pStyle w:val="TableText"/>
            </w:pPr>
            <w:r>
              <w:t>Wirkung unklar, Datenqualität schwach</w:t>
            </w:r>
          </w:p>
        </w:tc>
        <w:tc>
          <w:tcPr>
            <w:tcW w:type="dxa" w:w="3175"/>
          </w:tcPr>
          <w:p>
            <w:pPr>
              <w:pStyle w:val="TableText"/>
            </w:pPr>
            <w:r>
              <w:t>Datenprojekt vor Wachstumsentscheidung.</w:t>
            </w:r>
          </w:p>
        </w:tc>
      </w:tr>
    </w:tbl>
    <w:p>
      <w:pPr>
        <w:pStyle w:val="Heading2"/>
      </w:pPr>
      <w:r>
        <w:t>Vertiefung: Verbindung zu Finanzierung und Kapitalzugang</w:t>
      </w:r>
    </w:p>
    <w:p>
      <w:pPr/>
      <w:r>
        <w:t>Produktgruppen-Scores verändern nicht nur Steuern. Sie beeinflussen Kapitalzugang, Versicherung, Investitionsentscheidungen und strategische Bewertung. Banken werden künftig stärker ESG- und Nachhaltigkeitsrisiken in Kreditprozesse integrieren; Versicherungen interessieren sich für physische, transitorische und Haftungsrisiken; Investoren fragen nach transformierbaren Geschäftsmodellen. Die WÖk macht diese Entwicklung produktgenauer.</w:t>
      </w:r>
    </w:p>
    <w:p>
      <w:pPr/>
      <w:r>
        <w:t>Ein Produkt mit schlechter Wirkung kann zu einem Finanzierungsrisiko werden, auch wenn es heute profitabel ist. Ein Produkt mit guter Wirkung kann bessere Finanzierung erhalten, auch wenn die aktuelle Marge niedriger ist. Damit wird Wirkung vom Berichtsthema zum Kapitalthema.</w:t>
      </w:r>
    </w:p>
    <w:p>
      <w:pPr>
        <w:pStyle w:val="ListBullet"/>
      </w:pPr>
      <w:r>
        <w:t>CapEx-Priorisierung nach Wirkungsverbesserung und T-SROI.</w:t>
      </w:r>
    </w:p>
    <w:p>
      <w:pPr>
        <w:pStyle w:val="ListBullet"/>
      </w:pPr>
      <w:r>
        <w:t>Kredit- und Versicherungsdialog mit Produktgruppen-Heatmap.</w:t>
      </w:r>
    </w:p>
    <w:p>
      <w:pPr>
        <w:pStyle w:val="ListBullet"/>
      </w:pPr>
      <w:r>
        <w:t>Investor Relations: nicht nur ESG-Story, sondern Portfolio-Wirkungslogik.</w:t>
      </w:r>
    </w:p>
    <w:p>
      <w:pPr>
        <w:pStyle w:val="ListBullet"/>
      </w:pPr>
      <w:r>
        <w:t>Steuerstrategie: WUStG-Folgen früh in Produktroadmaps einpreisen.</w:t>
      </w:r>
    </w:p>
    <w:p>
      <w:pPr>
        <w:pStyle w:val="ListBullet"/>
      </w:pPr>
      <w:r>
        <w:t>Transformation: negative Produktgruppen nicht abrupt abschalten, sondern wirkungsvoll umbauen.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