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woek einzeldossier wirkung als rechtsprinzip v0 1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WIRKUNGSÖKONOMIE</w:t>
      </w:r>
    </w:p>
    <w:p>
      <w:pPr/>
      <w:r>
        <w:t>Wirkung statt Kapital. Für Mensch, Planet und Demokratie.</w:t>
      </w:r>
    </w:p>
    <w:p>
      <w:pPr/>
      <w:r>
        <w:t>Wirkung als Rechtsprinzip</w:t>
      </w:r>
    </w:p>
    <w:p>
      <w:pPr/>
      <w:r>
        <w:t>Wie reale Zustandsveränderungen rechtlich relevant werden, ohne Demokratie und Grundrechte zu ersetzen</w:t>
      </w:r>
    </w:p>
    <w:p>
      <w:pPr/>
      <w:r>
        <w:t>Arbeitsfassung zur öffentlichen Online-Lesefassung, Dossier- und Portalarchitektur.</w:t>
      </w:r>
    </w:p>
    <w:p>
      <w:pPr/>
      <w:r>
        <w:t>Executive Summary</w:t>
      </w:r>
    </w:p>
    <w:p>
      <w:pPr/>
      <w:r>
        <w:t>Wirkung als Rechtsprinzip bedeutet: Recht fragt nicht nur, ob eine Handlung formal erlaubt ist, sondern auch, welche Zustände sie verändert. Diese Erweiterung ist keine technokratische Automatisierung, sondern eine rechtsstaatlich gebundene Rückkopplung.</w:t>
      </w:r>
    </w:p>
    <w:p>
      <w:pPr/>
      <w:r>
        <w:t>Dossierstruktur</w:t>
      </w:r>
    </w:p>
    <w:p>
      <w:pPr/>
      <w:r>
        <w:t>Kurzfassung</w:t>
      </w:r>
    </w:p>
    <w:p>
      <w:pPr/>
      <w:r>
        <w:t>Problem und alte Logik</w:t>
      </w:r>
    </w:p>
    <w:p>
      <w:pPr/>
      <w:r>
        <w:t>Wirkungsökonomischer Perspektivwechsel</w:t>
      </w:r>
    </w:p>
    <w:p>
      <w:pPr/>
      <w:r>
        <w:t>Politische Anforderungen</w:t>
      </w:r>
    </w:p>
    <w:p>
      <w:pPr/>
      <w:r>
        <w:t>Ausgestaltungsspielraum</w:t>
      </w:r>
    </w:p>
    <w:p>
      <w:pPr/>
      <w:r>
        <w:t>Daten, Verfahren und Rechtsschutz</w:t>
      </w:r>
    </w:p>
    <w:p>
      <w:pPr/>
      <w:r>
        <w:t>Buchanker, SDG-/SDG+-Bezug und Quellen</w:t>
      </w:r>
    </w:p>
    <w:p>
      <w:pPr/>
      <w:r>
        <w:t>Alte Logik</w:t>
      </w:r>
    </w:p>
    <w:p>
      <w:pPr/>
      <w:r>
        <w:t>Die alte Logik behandelt Wirkung häufig erst als Schaden, Haftung, Gefährdung oder Berichtspflicht. Dadurch entstehen späte Reparaturpflichten statt präventiver Steuerung.</w:t>
      </w:r>
    </w:p>
    <w:p>
      <w:pPr/>
      <w:r>
        <w:t>Wirkungsökonomischer Perspektivwechsel</w:t>
      </w:r>
    </w:p>
    <w:p>
      <w:pPr/>
      <w:r>
        <w:t>Wirkung wird als rechtlich relevante Zustandsveränderung sichtbar. Sie braucht Schutzgüter, Zuständigkeiten, Verfahren, Grenzen und Rechtsschutz.</w:t>
      </w:r>
    </w:p>
    <w:p>
      <w:pPr/>
      <w:r>
        <w:t>Politische Anforderungen</w:t>
      </w:r>
    </w:p>
    <w:p>
      <w:pPr/>
      <w:r>
        <w:t>Politik muss bestimmen, welche Wirkungsbereiche rechtlich relevant werden, welche Daten zulässig sind, welche Schwellen gelten, welche Eingriffe verhältnismäßig sind und wie Einspruch möglich ist.</w:t>
      </w:r>
    </w:p>
    <w:p>
      <w:pPr/>
      <w:r>
        <w:t>Gestaltungsspielräume</w:t>
      </w:r>
    </w:p>
    <w:p>
      <w:pPr/>
      <w:r>
        <w:t>Parteien können unterschiedlich gewichten: stärker über Steuerrecht, stärker über Förderung, stärker über Haftung, stärker über Berichtspflichten, stärker über öffentliche Beschaffung oder über kommunale Pilotierung.</w:t>
      </w:r>
    </w:p>
    <w:p>
      <w:pPr/>
      <w:r>
        <w:t>Risiken und Schutz</w:t>
      </w:r>
    </w:p>
    <w:p>
      <w:pPr/>
      <w:r>
        <w:t>Technokratische Steuerung, Datenblindheit, Abwertung schwer messbarer Wirkungen, Personenbewertung und fehlender Rechtsschutz müssen ausgeschlossen werden.</w:t>
      </w:r>
    </w:p>
    <w:p>
      <w:pPr/>
      <w:r>
        <w:t>Standardmodul: Politische Anschlussfähigkeit</w:t>
      </w:r>
    </w:p>
    <w:p>
      <w:pPr/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p>
      <w:pPr/>
      <w:r>
        <w:t>Buchanker und Website-Zuordnung</w:t>
      </w:r>
    </w:p>
    <w:p>
      <w:pPr/>
      <w:r>
        <w:t>Online-Buch: Teil VI – Recht, Staat und Institutionen</w:t>
      </w:r>
    </w:p>
    <w:p>
      <w:pPr/>
      <w:r>
        <w:t>Online-Buch: Teil X – Staat, Politik und Demokratie</w:t>
      </w:r>
    </w:p>
    <w:p>
      <w:pPr/>
      <w:r>
        <w:t>Website: /wirkungsfelder/staat-recht-demokratie/</w:t>
      </w:r>
    </w:p>
    <w:p>
      <w:pPr/>
      <w:r>
        <w:t>Werkstatt: /werkstatt/dossiers/staat-recht-demokratie/</w:t>
      </w:r>
    </w:p>
    <w:p>
      <w:pPr/>
      <w:r>
        <w:t>Werkzeugseiten: /werkzeuge/wirkungsrat/, /werkzeuge/wirkungshaushalt/, /werkzeuge/politische-wirkungspruefung/</w:t>
      </w:r>
    </w:p>
    <w:p>
      <w:pPr/>
      <w:r>
        <w:t>Quellen und interne Referenzen</w:t>
      </w:r>
    </w:p>
    <w:p>
      <w:pPr/>
      <w:r>
        <w:t>Weber, Natalie: Die neue Ordnung des Wohlstands. Arbeitsfassung 2026. Besonders: Kapitel 10–23, 28, 31–40, 61–66.</w:t>
      </w:r>
    </w:p>
    <w:p>
      <w:pPr/>
      <w:r>
        <w:t>Weber, Natalie: Führender Begriffsleitfaden der Wirkungsökonomie, Version 1.0, 21. Mai 2026.</w:t>
      </w:r>
    </w:p>
    <w:p>
      <w:pPr/>
      <w:r>
        <w:t>Weber, Natalie: Working-Paper Wirkungssteuergesetz (WStG), Stand 8.10.2025.</w:t>
      </w:r>
    </w:p>
    <w:p>
      <w:pPr/>
      <w:r>
        <w:t>Weber, Natalie: Der Wirkungsrat – Institutionelle Verankerung der Wirkungsökonomie, September 2025.</w:t>
      </w:r>
    </w:p>
    <w:p>
      <w:pPr/>
      <w:r>
        <w:t>Weber, Natalie: Technische Leitlinien zum Wirkungssteuergesetz (WUStG), Vollversion Extended, August 2025.</w:t>
      </w:r>
    </w:p>
    <w:p>
      <w:pPr/>
      <w:r>
        <w:t>Weber, Natalie: Whitepaper T-SROI – Der neue Standard für Impact-Controlling in der Wirkungsökonomie, 2025.</w:t>
      </w:r>
    </w:p>
    <w:p>
      <w:pPr/>
      <w:r>
        <w:t>Weber, Natalie: Die neue Ordnung des Wohlstands, Arbeitsfassung 2026, Teil VI und Teil X.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