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wirkungshaushalt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Wirkungshaushalt</w:t>
      </w:r>
    </w:p>
    <w:p>
      <w:pPr/>
      <w:r>
        <w:t>Öffentliche Mittel nach realer Zustandsveränderung steuern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Der Wirkungshaushalt fragt nicht nur, ob Geld ausgegeben wurde, sondern ob es reale Zustände verbessert, Schäden verhindert oder Resilienz stärkt.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Alte Logik</w:t>
      </w:r>
    </w:p>
    <w:p>
      <w:pPr/>
      <w:r>
        <w:t>Haushalte messen Titel, Ausgaben, Zuständigkeiten und Mittelabfluss. Prävention sieht oft schlechter aus als Reparatur, weil verhinderte Schäden nicht sichtbar werden.</w:t>
      </w:r>
    </w:p>
    <w:p>
      <w:pPr/>
      <w:r>
        <w:t>Politische Anforderungen</w:t>
      </w:r>
    </w:p>
    <w:p>
      <w:pPr/>
      <w:r>
        <w:t>Politik muss Haushaltsrecht, Wirkungsprüfung, Evaluationspflichten, ressortübergreifende Budgets und transparente Wirkungsberichte einführen.</w:t>
      </w:r>
    </w:p>
    <w:p>
      <w:pPr/>
      <w:r>
        <w:t>Gestaltungsspielräume</w:t>
      </w:r>
    </w:p>
    <w:p>
      <w:pPr/>
      <w:r>
        <w:t>Einführung in Pilotressorts, Kommunen, Investitionshaushalten, Präventionsfonds oder als Begleitprüfung für neue Programme.</w:t>
      </w:r>
    </w:p>
    <w:p>
      <w:pPr/>
      <w:r>
        <w:t>Beispielrechnung</w:t>
      </w:r>
    </w:p>
    <w:p>
      <w:pPr/>
      <w:r>
        <w:t>Eine Maßnahme wird mit Kosten, erwarteter NWI-Spanne, Zielgruppenwirkung, Resilienzbeitrag, Umsetzungsrisiko und Korrekturfähigkeit bewertet. Die politische Entscheidung bleibt demokratisch, aber besser begründet.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