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658368" cy="544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4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t>woek einzeldossier wirkungsrat v0 1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Autorin: </w:t>
      </w:r>
      <w:r>
        <w:rPr>
          <w:rFonts w:ascii="Source Sans 3" w:hAnsi="Source Sans 3" w:eastAsia="Source Sans 3"/>
          <w:color w:val="22242C"/>
          <w:sz w:val="18"/>
        </w:rPr>
        <w:t>Natalie Weber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Referenz: </w:t>
      </w:r>
      <w:r>
        <w:rPr>
          <w:rFonts w:ascii="Source Sans 3" w:hAnsi="Source Sans 3" w:eastAsia="Source Sans 3"/>
          <w:color w:val="22242C"/>
          <w:sz w:val="18"/>
        </w:rPr>
        <w:t>Wirkungsökonomie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91" w:bottom="907" w:left="1191" w:header="720" w:footer="720" w:gutter="0"/>
          <w:cols w:space="720"/>
          <w:titlePg/>
          <w:docGrid w:linePitch="360"/>
        </w:sectPr>
      </w:pPr>
    </w:p>
    <w:p>
      <w:pPr/>
      <w:r>
        <w:t>WIRKUNGSÖKONOMIE</w:t>
      </w:r>
    </w:p>
    <w:p>
      <w:pPr/>
      <w:r>
        <w:t>Wirkung statt Kapital. Für Mensch, Planet und Demokratie.</w:t>
      </w:r>
    </w:p>
    <w:p>
      <w:pPr/>
      <w:r>
        <w:t>Wirkungsrat</w:t>
      </w:r>
    </w:p>
    <w:p>
      <w:pPr/>
      <w:r>
        <w:t>Wächterinstitution der Wirkungslogik und Schutz vor Vereinnahmung</w:t>
      </w:r>
    </w:p>
    <w:p>
      <w:pPr/>
      <w:r>
        <w:t>Arbeitsfassung zur öffentlichen Online-Lesefassung, Dossier- und Portalarchitektur.</w:t>
      </w:r>
    </w:p>
    <w:p>
      <w:pPr/>
      <w:r>
        <w:t>Executive Summary</w:t>
      </w:r>
    </w:p>
    <w:p>
      <w:pPr/>
      <w:r>
        <w:t>Der Wirkungsrat pflegt WÖk-IDs, Benchmarks, Archetypen und Evaluationslogik. Er sichert Transparenz, Vergleichbarkeit und Missbrauchsschutz.</w:t>
      </w:r>
    </w:p>
    <w:p>
      <w:pPr/>
      <w:r>
        <w:t>Dossierstruktur</w:t>
      </w:r>
    </w:p>
    <w:p>
      <w:pPr/>
      <w:r>
        <w:t>Kurzfassung</w:t>
      </w:r>
    </w:p>
    <w:p>
      <w:pPr/>
      <w:r>
        <w:t>Problem und alte Logik</w:t>
      </w:r>
    </w:p>
    <w:p>
      <w:pPr/>
      <w:r>
        <w:t>Wirkungsökonomischer Perspektivwechsel</w:t>
      </w:r>
    </w:p>
    <w:p>
      <w:pPr/>
      <w:r>
        <w:t>Politische Anforderungen</w:t>
      </w:r>
    </w:p>
    <w:p>
      <w:pPr/>
      <w:r>
        <w:t>Ausgestaltungsspielraum</w:t>
      </w:r>
    </w:p>
    <w:p>
      <w:pPr/>
      <w:r>
        <w:t>Daten, Verfahren und Rechtsschutz</w:t>
      </w:r>
    </w:p>
    <w:p>
      <w:pPr/>
      <w:r>
        <w:t>Buchanker, SDG-/SDG+-Bezug und Quellen</w:t>
      </w:r>
    </w:p>
    <w:p>
      <w:pPr/>
      <w:r>
        <w:t>Aufgaben</w:t>
      </w:r>
    </w:p>
    <w:p>
      <w:pPr/>
      <w:r>
        <w:t>Weiterentwicklung von Indikatoren, Evaluation im Rhythmus, Wirkungsberichte, öffentliche Konsultationen, Sondergutachten, Schutz vor Greenwashing und Lobbyeinfluss.</w:t>
      </w:r>
    </w:p>
    <w:p>
      <w:pPr/>
      <w:r>
        <w:t>Politische Anforderungen</w:t>
      </w:r>
    </w:p>
    <w:p>
      <w:pPr/>
      <w:r>
        <w:t>Politik muss Zusammensetzung, Finanzierung, Transparenz, Unabhängigkeit, Mandat, Rechenschaft und Kontrollrechte des Wirkungsrats festlegen.</w:t>
      </w:r>
    </w:p>
    <w:p>
      <w:pPr/>
      <w:r>
        <w:t>Demokratische Sicherung</w:t>
      </w:r>
    </w:p>
    <w:p>
      <w:pPr/>
      <w:r>
        <w:t>Der Rat darf keine Regierung ersetzen. Er liefert Methodik, Daten und Berichte. Normative Entscheidungen bleiben parlamentarisch, föderal und demokratisch verantwortet.</w:t>
      </w:r>
    </w:p>
    <w:p>
      <w:pPr/>
      <w:r>
        <w:t>Zusammensetzung</w:t>
      </w:r>
    </w:p>
    <w:p>
      <w:pPr/>
      <w:r>
        <w:t>Wissenschaft, Zivilgesellschaft, Wirtschaft, Politik/Verwaltung und Bürger:innen per Losverfahren; kein Akteur darf dominieren.</w:t>
      </w:r>
    </w:p>
    <w:p>
      <w:pPr/>
      <w:r>
        <w:t>Standardmodul: Politische Anschlussfähigkeit</w:t>
      </w:r>
    </w:p>
    <w:p>
      <w:pPr/>
      <w:r>
        <w:t>Dieses Einzeldossier ist kein fertiges Parteiprogramm. Es benennt notwendige Aufgaben, Schutzplanken und Umsetzungsoptionen. Parteien, Parlamente, Länder, Kommunen und gesellschaftliche Akteure können innerhalb dieses Rahmens unterschiedliche Schwerpunkte setzen.</w:t>
      </w:r>
    </w:p>
    <w:p>
      <w:pPr/>
      <w:r>
        <w:t>Buchanker und Website-Zuordnung</w:t>
      </w:r>
    </w:p>
    <w:p>
      <w:pPr/>
      <w:r>
        <w:t>Online-Buch: Teil VI – Recht, Staat und Institutionen</w:t>
      </w:r>
    </w:p>
    <w:p>
      <w:pPr/>
      <w:r>
        <w:t>Online-Buch: Teil X – Staat, Politik und Demokratie</w:t>
      </w:r>
    </w:p>
    <w:p>
      <w:pPr/>
      <w:r>
        <w:t>Website: /wirkungsfelder/staat-recht-demokratie/</w:t>
      </w:r>
    </w:p>
    <w:p>
      <w:pPr/>
      <w:r>
        <w:t>Werkstatt: /werkstatt/dossiers/staat-recht-demokratie/</w:t>
      </w:r>
    </w:p>
    <w:p>
      <w:pPr/>
      <w:r>
        <w:t>Werkzeugseiten: /werkzeuge/wirkungsrat/, /werkzeuge/wirkungshaushalt/, /werkzeuge/politische-wirkungspruefung/</w:t>
      </w:r>
    </w:p>
    <w:p>
      <w:pPr/>
      <w:r>
        <w:t>Quellen und interne Referenzen</w:t>
      </w:r>
    </w:p>
    <w:p>
      <w:pPr/>
      <w:r>
        <w:t>Weber, Natalie: Die neue Ordnung des Wohlstands. Arbeitsfassung 2026. Besonders: Kapitel 10–23, 28, 31–40, 61–66.</w:t>
      </w:r>
    </w:p>
    <w:p>
      <w:pPr/>
      <w:r>
        <w:t>Weber, Natalie: Führender Begriffsleitfaden der Wirkungsökonomie, Version 1.0, 21. Mai 2026.</w:t>
      </w:r>
    </w:p>
    <w:p>
      <w:pPr/>
      <w:r>
        <w:t>Weber, Natalie: Working-Paper Wirkungssteuergesetz (WStG), Stand 8.10.2025.</w:t>
      </w:r>
    </w:p>
    <w:p>
      <w:pPr/>
      <w:r>
        <w:t>Weber, Natalie: Der Wirkungsrat – Institutionelle Verankerung der Wirkungsökonomie, September 2025.</w:t>
      </w:r>
    </w:p>
    <w:p>
      <w:pPr/>
      <w:r>
        <w:t>Weber, Natalie: Technische Leitlinien zum Wirkungssteuergesetz (WUStG), Vollversion Extended, August 2025.</w:t>
      </w:r>
    </w:p>
    <w:p>
      <w:pPr/>
      <w:r>
        <w:t>Weber, Natalie: Whitepaper T-SROI – Der neue Standard für Impact-Controlling in der Wirkungsökonomie, 2025.</w:t>
      </w:r>
    </w:p>
    <w:p>
      <w:pPr/>
      <w:r>
        <w:t>Weber, Natalie: Die neue Ordnung des Wohlstands, Arbeitsfassung 2026, Teil VI und Teil X.</w:t>
      </w:r>
    </w:p>
    <w:sectPr w:rsidR="00FC693F" w:rsidRPr="0006063C" w:rsidSect="00034616"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