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wirkungssteuergesetz wstg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Wirkungssteuergesetz WStG</w:t>
      </w:r>
    </w:p>
    <w:p>
      <w:pPr/>
      <w:r>
        <w:t>Rahmengesetz über die steuerliche Steuerung nach Wirkung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Das WStG ist die juristische Klammer der Wirkungssteuerlogik. Es verankert Wirkung auf Mensch, Planet und Demokratie als steuerliche Bemessungs- und Steuerungsgröße.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Funktion als Rahmengesetz</w:t>
      </w:r>
    </w:p>
    <w:p>
      <w:pPr/>
      <w:r>
        <w:t>Das WStG ersetzt bestehende Einzelsteuern nicht vollständig, sondern ordnet sie unter einer gemeinsamen Wirkungslogik. Es schafft die Grundlage für WUStG, WEstG, Wirkungshaushalt und Wirkungsrat.</w:t>
      </w:r>
    </w:p>
    <w:p>
      <w:pPr/>
      <w:r>
        <w:t>Politische Anforderungen</w:t>
      </w:r>
    </w:p>
    <w:p>
      <w:pPr/>
      <w:r>
        <w:t>Politik muss den Rahmen parlamentarisch legitimieren, Übergangsfristen definieren, Dateninfrastruktur sichern, EU-Kompatibilität prüfen und sozialen Ausgleich garantieren.</w:t>
      </w:r>
    </w:p>
    <w:p>
      <w:pPr/>
      <w:r>
        <w:t>LawReader</w:t>
      </w:r>
    </w:p>
    <w:p>
      <w:pPr/>
      <w:r>
        <w:t>Das WStG soll online als LawReader erscheinen: Paragraf, Kurzfassung, Gesetzestext, Kommentar, Begründung, Verweise, Druckfunktion und Download.</w:t>
      </w:r>
    </w:p>
    <w:p>
      <w:pPr/>
      <w:r>
        <w:t>Spielräume</w:t>
      </w:r>
    </w:p>
    <w:p>
      <w:pPr/>
      <w:r>
        <w:t>Offen bleiben Satzhöhen, Pilotphasen, Brancheneinstieg, föderale Umsetzung, Rückverteilung, KMU-Schutz und europäische Harmonisierung.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