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wirkungsumsatzsteuer rechtsrahmen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Wirkungsumsatzsteuer im Rechtsrahmen</w:t>
      </w:r>
    </w:p>
    <w:p>
      <w:pPr/>
      <w:r>
        <w:t>Produktwirkungssteuer, FinalScore, Vorsteuerlogik und Kaufkraftschutz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Die Wirkungsumsatzsteuer koppelt die Steuerbelastung von Produkten und Dienstleistungen an ihre gemessene Wirkung. Sie ist der konkrete Marktmechanismus, mit dem Preise ehrlicher werden.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Rechtslogik</w:t>
      </w:r>
    </w:p>
    <w:p>
      <w:pPr/>
      <w:r>
        <w:t>FinalScore, Steuerklassen, Scorecards, Nicht-Kompensation und Vorsteuerlogik brauchen eine klare gesetzliche Grundlage und technische Leitlinien.</w:t>
      </w:r>
    </w:p>
    <w:p>
      <w:pPr/>
      <w:r>
        <w:t>Politische Anforderungen</w:t>
      </w:r>
    </w:p>
    <w:p>
      <w:pPr/>
      <w:r>
        <w:t>Politik muss regeln, welche Produktgruppen starten, wie Datenerhebung geprüft wird, wie Kaufkraft geschützt wird, wie KMU entlastet werden und wie internationale Lieferketten behandelt werden.</w:t>
      </w:r>
    </w:p>
    <w:p>
      <w:pPr/>
      <w:r>
        <w:t>Gestaltungsspielräume</w:t>
      </w:r>
    </w:p>
    <w:p>
      <w:pPr/>
      <w:r>
        <w:t>Möglich sind Pilotprodukte, gestufte Einführung, Bonus-only-Phase, haushaltsneutrale Rückverteilung, europäische Produktschnittstellen oder öffentliche Beschaffung als Vorläufer.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