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Wirkung als Rechtsprinzip und das Wirkungssteuergesetz als Rahmengesetz</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Wie Wirkung in Recht, Steuerlogik und demokratische Entscheidungsarchitektur übersetzt werden kann</w:t>
      </w:r>
    </w:p>
    <w:p>
      <w:pPr>
        <w:pStyle w:val="Heading2"/>
      </w:pPr>
      <w:r>
        <w:t>Kurzprofil</w:t>
      </w:r>
    </w:p>
    <w:p>
      <w:pPr>
        <w:pStyle w:val="ListBullet"/>
      </w:pPr>
      <w:r>
        <w:t>Dokumenttyp: Öffentliches Detailkonzept</w:t>
      </w:r>
    </w:p>
    <w:p>
      <w:pPr>
        <w:pStyle w:val="ListBullet"/>
      </w:pPr>
      <w:r>
        <w:t>Portal: Staat, Recht &amp; Demokratie</w:t>
      </w:r>
    </w:p>
    <w:p>
      <w:pPr>
        <w:pStyle w:val="ListBullet"/>
      </w:pPr>
      <w:r>
        <w:t>Unterbereich: Wirkung als Rechtsprinzip, WStG, Rahmenrecht, Steuerarchitektur</w:t>
      </w:r>
    </w:p>
    <w:p>
      <w:pPr>
        <w:pStyle w:val="ListBullet"/>
      </w:pPr>
      <w:r>
        <w:t>Autorin: Natalie Weber · Wirkungsökonomie</w:t>
      </w:r>
    </w:p>
    <w:p>
      <w:pPr>
        <w:pStyle w:val="ListBullet"/>
      </w:pPr>
      <w:r>
        <w:t>Version: v1.0</w:t>
      </w:r>
    </w:p>
    <w:p>
      <w:pPr>
        <w:pStyle w:val="ListBullet"/>
      </w:pPr>
      <w:r>
        <w:t>Stand: 24. Mai 2026</w:t>
      </w:r>
    </w:p>
    <w:p>
      <w:pPr>
        <w:pStyle w:val="ListBullet"/>
      </w:pPr>
      <w:r>
        <w:t>Hinweis: keine Rechts-, Steuer-, Anlage- oder Finanzierungsberatung</w:t>
      </w:r>
    </w:p>
    <w:p>
      <w:pPr>
        <w:pStyle w:val="Heading2"/>
      </w:pPr>
      <w:r>
        <w:t>Executive Summary</w:t>
      </w:r>
    </w:p>
    <w:p>
      <w:pPr/>
      <w:r>
        <w:t>Dieses Detailkonzept beschreibt, wie Wirkung als Rechtsprinzip in die Wirkungsökonomie eingebettet wird. Es geht nicht darum, eine starre Weltanschauung in Gesetzesform zu bringen. Es geht darum, eine fehlende Rückkopplung in der heutigen Steuer- und Rechtsordnung zu schließen: Viele wirtschaftliche Aktivitäten werden steuerlich nach Geldbewegung erfasst, aber nicht danach, ob sie Mensch, Planet und Demokratie stärken oder schwächen.</w:t>
      </w:r>
    </w:p>
    <w:p>
      <w:pPr/>
      <w:r>
        <w:t>Das Wirkungssteuergesetz (WStG) ist dabei als Rahmengesetz zu verstehen. Es ersetzt nicht jedes bestehende Einzelgesetz, sondern legt die übergreifende Bemessungslogik fest: Wo wirtschaftliche Aktivitäten, Einkommen, Produkte, Kapitalflüsse oder öffentliche Mittel relevant werden, soll ihre Wirkung sichtbar gemacht, geprüft und in bestehende Steuerarten übersetzt werden können. Das WStG ist also keine Detailmaschine, sondern eine Klammer: Es definiert Zweck, Geltungsbereich, Begriffe, Wirkungsdimensionen, institutionelle Sicherung und Verhältnismäßigkeit.</w:t>
      </w:r>
    </w:p>
    <w:p>
      <w:pPr/>
      <w:r>
        <w:t>Wirkungsrecht darf nie technokratisch werden. Messdaten bereiten Entscheidungen vor; sie ersetzen keine demokratische Entscheidung. Deshalb braucht das WStG drei Schutzschichten: erstens klare Begriffe und Standards, zweitens unabhängige Weiterentwicklung durch den Wirkungsrat, drittens Rechtsschutz, Transparenz und parlamentarische Kontrolle.</w:t>
      </w:r>
    </w:p>
    <w:p>
      <w:pPr>
        <w:pStyle w:val="Heading2"/>
      </w:pPr>
      <w:r>
        <w:t>Ausgangsdiagnose: Warum das heutige Recht Wirkung nur indirekt erfasst</w:t>
      </w:r>
    </w:p>
    <w:p>
      <w:pPr/>
      <w:r>
        <w:t>Das bestehende Steuer- und Ordnungsrecht kann Schäden sanktionieren, Pflichten definieren und Ausgleich organisieren. Es ist aber in seiner Grundlogik häufig reaktiv. Es setzt an, wenn ein Schaden bereits sichtbar ist, wenn ein Grenzwert überschritten wurde, wenn ein Förderprogramm nachsteuern muss oder wenn ein politischer Zielkonflikt in Sonderregeln übersetzt wird.</w:t>
      </w:r>
    </w:p>
    <w:p>
      <w:pPr/>
      <w:r>
        <w:t>Die Wirkungsökonomie erkennt darin keinen Fehler einzelner Gesetze, sondern eine Maßstabskrise. Der Staat misst sehr präzise Einnahmen, Ausgaben, Umsätze, Einkommen und Vermögen. Er misst aber weniger präzise, welche Zustandsveränderungen diese Ströme erzeugen: Gesundheit oder Krankheit, Resilienz oder Verwundbarkeit, Vertrauen oder Misstrauen, Regeneration oder Verbrauch künftiger Stabilität.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Heutige Rechtslogik</w:t>
            </w:r>
          </w:p>
        </w:tc>
        <w:tc>
          <w:tcPr>
            <w:tcW w:type="dxa" w:w="3175"/>
            <w:shd w:fill="F6F1E8"/>
          </w:tcPr>
          <w:p>
            <w:pPr>
              <w:pStyle w:val="TableText"/>
            </w:pPr>
            <w:r>
              <w:rPr>
                <w:rFonts w:ascii="Source Sans 3" w:hAnsi="Source Sans 3" w:eastAsia="Source Sans 3"/>
                <w:b/>
                <w:color w:val="0B1020"/>
                <w:sz w:val="18"/>
              </w:rPr>
              <w:t>Wirkungsökonomische Ergänzung</w:t>
            </w:r>
          </w:p>
        </w:tc>
        <w:tc>
          <w:tcPr>
            <w:tcW w:type="dxa" w:w="3175"/>
            <w:shd w:fill="F6F1E8"/>
          </w:tcPr>
          <w:p>
            <w:pPr>
              <w:pStyle w:val="TableText"/>
            </w:pPr>
            <w:r>
              <w:rPr>
                <w:rFonts w:ascii="Source Sans 3" w:hAnsi="Source Sans 3" w:eastAsia="Source Sans 3"/>
                <w:b/>
                <w:color w:val="0B1020"/>
                <w:sz w:val="18"/>
              </w:rPr>
              <w:t>Nutzen</w:t>
            </w:r>
          </w:p>
        </w:tc>
      </w:tr>
      <w:tr>
        <w:tc>
          <w:tcPr>
            <w:tcW w:type="dxa" w:w="3175"/>
          </w:tcPr>
          <w:p>
            <w:pPr>
              <w:pStyle w:val="TableText"/>
            </w:pPr>
            <w:r>
              <w:t>Besteuerung nach Geldgröße</w:t>
            </w:r>
          </w:p>
        </w:tc>
        <w:tc>
          <w:tcPr>
            <w:tcW w:type="dxa" w:w="3175"/>
          </w:tcPr>
          <w:p>
            <w:pPr>
              <w:pStyle w:val="TableText"/>
            </w:pPr>
            <w:r>
              <w:t>Bemessung mit Wirkungskomponente</w:t>
            </w:r>
          </w:p>
        </w:tc>
        <w:tc>
          <w:tcPr>
            <w:tcW w:type="dxa" w:w="3175"/>
          </w:tcPr>
          <w:p>
            <w:pPr>
              <w:pStyle w:val="TableText"/>
            </w:pPr>
            <w:r>
              <w:t>Preise, Steuern und Kapitalflüsse erhalten Richtung</w:t>
            </w:r>
          </w:p>
        </w:tc>
      </w:tr>
      <w:tr>
        <w:tc>
          <w:tcPr>
            <w:tcW w:type="dxa" w:w="3175"/>
          </w:tcPr>
          <w:p>
            <w:pPr>
              <w:pStyle w:val="TableText"/>
            </w:pPr>
            <w:r>
              <w:t>Schäden werden nachträglich repariert</w:t>
            </w:r>
          </w:p>
        </w:tc>
        <w:tc>
          <w:tcPr>
            <w:tcW w:type="dxa" w:w="3175"/>
          </w:tcPr>
          <w:p>
            <w:pPr>
              <w:pStyle w:val="TableText"/>
            </w:pPr>
            <w:r>
              <w:t>Prävention wird als Wirkleistung sichtbar</w:t>
            </w:r>
          </w:p>
        </w:tc>
        <w:tc>
          <w:tcPr>
            <w:tcW w:type="dxa" w:w="3175"/>
          </w:tcPr>
          <w:p>
            <w:pPr>
              <w:pStyle w:val="TableText"/>
            </w:pPr>
            <w:r>
              <w:t>Weniger Reparaturkosten und weniger Blindleistung</w:t>
            </w:r>
          </w:p>
        </w:tc>
      </w:tr>
      <w:tr>
        <w:tc>
          <w:tcPr>
            <w:tcW w:type="dxa" w:w="3175"/>
          </w:tcPr>
          <w:p>
            <w:pPr>
              <w:pStyle w:val="TableText"/>
            </w:pPr>
            <w:r>
              <w:t>Einzelregelungen je Problem</w:t>
            </w:r>
          </w:p>
        </w:tc>
        <w:tc>
          <w:tcPr>
            <w:tcW w:type="dxa" w:w="3175"/>
          </w:tcPr>
          <w:p>
            <w:pPr>
              <w:pStyle w:val="TableText"/>
            </w:pPr>
            <w:r>
              <w:t>Rahmenlogik über Steuerarten hinweg</w:t>
            </w:r>
          </w:p>
        </w:tc>
        <w:tc>
          <w:tcPr>
            <w:tcW w:type="dxa" w:w="3175"/>
          </w:tcPr>
          <w:p>
            <w:pPr>
              <w:pStyle w:val="TableText"/>
            </w:pPr>
            <w:r>
              <w:t>Weniger Flickenteppich, bessere Anschlussfähigkeit</w:t>
            </w:r>
          </w:p>
        </w:tc>
      </w:tr>
      <w:tr>
        <w:tc>
          <w:tcPr>
            <w:tcW w:type="dxa" w:w="3175"/>
          </w:tcPr>
          <w:p>
            <w:pPr>
              <w:pStyle w:val="TableText"/>
            </w:pPr>
            <w:r>
              <w:t>Reporting ohne Rückkopplung</w:t>
            </w:r>
          </w:p>
        </w:tc>
        <w:tc>
          <w:tcPr>
            <w:tcW w:type="dxa" w:w="3175"/>
          </w:tcPr>
          <w:p>
            <w:pPr>
              <w:pStyle w:val="TableText"/>
            </w:pPr>
            <w:r>
              <w:t>Wirkungsdaten in Entscheidungen, Steuern und Haushalte</w:t>
            </w:r>
          </w:p>
        </w:tc>
        <w:tc>
          <w:tcPr>
            <w:tcW w:type="dxa" w:w="3175"/>
          </w:tcPr>
          <w:p>
            <w:pPr>
              <w:pStyle w:val="TableText"/>
            </w:pPr>
            <w:r>
              <w:t>Daten werden wirksam statt nur berichtsfähig</w:t>
            </w:r>
          </w:p>
        </w:tc>
      </w:tr>
    </w:tbl>
    <w:p>
      <w:pPr>
        <w:pStyle w:val="Heading2"/>
      </w:pPr>
      <w:r>
        <w:t>Wirkung als Rechtsprinzip: Definition und Grenzen</w:t>
      </w:r>
    </w:p>
    <w:p>
      <w:pPr/>
      <w:r>
        <w:t>Wirkung ist im WÖk-Verständnis zunächst neutral. Sie bezeichnet tatsächliche Veränderung von Zuständen. Erst in einem zweiten Schritt wird diese Veränderung bewertet - am Referenzrahmen von SDGs, Agenda 2030 und SDG+. Diese Trennung ist rechtlich entscheidend. Das Recht darf nicht jede behauptete gute Absicht privilegieren. Es braucht nachvollziehbare Daten, klare Referenzrahmen und ein Verfahren, das positive, negative und neutrale Wirkungen unterscheidet.</w:t>
      </w:r>
    </w:p>
    <w:p>
      <w:pPr/>
      <w:r>
        <w:t>Das Rechtsprinzip lautet daher nicht: Der Staat bestimmt zentral, was gut ist. Es lautet: Der Staat schafft eine transparente Architektur, in der relevante Wirkungen sichtbar, prüfbar, widerspruchsfähig und demokratisch korrigierbar werden. So bleibt der politische Streit erhalten, aber er findet auf einer besseren Tatsachenbasis statt.</w:t>
      </w:r>
    </w:p>
    <w:p>
      <w:pPr>
        <w:pStyle w:val="Quote"/>
      </w:pPr>
      <w:r>
        <w:t>Leitformel</w:t>
      </w:r>
    </w:p>
    <w:p>
      <w:pPr>
        <w:pStyle w:val="Quote"/>
      </w:pPr>
      <w:r>
        <w:t>Wirkungsrecht ist kein Wahrheitsmonopol. Es ist ein Verfahren, um Zustandsveränderungen sichtbar zu machen und politisch verantwortbar in Regeln, Preise, Steuern und öffentliche Entscheidungen zurückzuführen.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Grenze</w:t>
            </w:r>
          </w:p>
        </w:tc>
        <w:tc>
          <w:tcPr>
            <w:tcW w:type="dxa" w:w="3175"/>
            <w:shd w:fill="F6F1E8"/>
          </w:tcPr>
          <w:p>
            <w:pPr>
              <w:pStyle w:val="TableText"/>
            </w:pPr>
            <w:r>
              <w:rPr>
                <w:rFonts w:ascii="Source Sans 3" w:hAnsi="Source Sans 3" w:eastAsia="Source Sans 3"/>
                <w:b/>
                <w:color w:val="0B1020"/>
                <w:sz w:val="18"/>
              </w:rPr>
              <w:t>Warum sie wichtig ist</w:t>
            </w:r>
          </w:p>
        </w:tc>
        <w:tc>
          <w:tcPr>
            <w:tcW w:type="dxa" w:w="3175"/>
            <w:shd w:fill="F6F1E8"/>
          </w:tcPr>
          <w:p>
            <w:pPr>
              <w:pStyle w:val="TableText"/>
            </w:pPr>
            <w:r>
              <w:rPr>
                <w:rFonts w:ascii="Source Sans 3" w:hAnsi="Source Sans 3" w:eastAsia="Source Sans 3"/>
                <w:b/>
                <w:color w:val="0B1020"/>
                <w:sz w:val="18"/>
              </w:rPr>
              <w:t>Schutzmechanismus</w:t>
            </w:r>
          </w:p>
        </w:tc>
      </w:tr>
      <w:tr>
        <w:tc>
          <w:tcPr>
            <w:tcW w:type="dxa" w:w="3175"/>
          </w:tcPr>
          <w:p>
            <w:pPr>
              <w:pStyle w:val="TableText"/>
            </w:pPr>
            <w:r>
              <w:t>Grundrechte</w:t>
            </w:r>
          </w:p>
        </w:tc>
        <w:tc>
          <w:tcPr>
            <w:tcW w:type="dxa" w:w="3175"/>
          </w:tcPr>
          <w:p>
            <w:pPr>
              <w:pStyle w:val="TableText"/>
            </w:pPr>
            <w:r>
              <w:t>Wirkungsdaten dürfen Freiheit nicht ersetzen</w:t>
            </w:r>
          </w:p>
        </w:tc>
        <w:tc>
          <w:tcPr>
            <w:tcW w:type="dxa" w:w="3175"/>
          </w:tcPr>
          <w:p>
            <w:pPr>
              <w:pStyle w:val="TableText"/>
            </w:pPr>
            <w:r>
              <w:t>Verhältnismäßigkeit, Rechtsschutz, parlamentarische Kontrolle</w:t>
            </w:r>
          </w:p>
        </w:tc>
      </w:tr>
      <w:tr>
        <w:tc>
          <w:tcPr>
            <w:tcW w:type="dxa" w:w="3175"/>
          </w:tcPr>
          <w:p>
            <w:pPr>
              <w:pStyle w:val="TableText"/>
            </w:pPr>
            <w:r>
              <w:t>Personenbewertung</w:t>
            </w:r>
          </w:p>
        </w:tc>
        <w:tc>
          <w:tcPr>
            <w:tcW w:type="dxa" w:w="3175"/>
          </w:tcPr>
          <w:p>
            <w:pPr>
              <w:pStyle w:val="TableText"/>
            </w:pPr>
            <w:r>
              <w:t>WÖk bewertet Aktivitäten, Produkte, Programme, Organisationen - nicht den Wert von Menschen</w:t>
            </w:r>
          </w:p>
        </w:tc>
        <w:tc>
          <w:tcPr>
            <w:tcW w:type="dxa" w:w="3175"/>
          </w:tcPr>
          <w:p>
            <w:pPr>
              <w:pStyle w:val="TableText"/>
            </w:pPr>
            <w:r>
              <w:t>Keine Social-Credit-Logik, keine Lebensstilpolizei</w:t>
            </w:r>
          </w:p>
        </w:tc>
      </w:tr>
      <w:tr>
        <w:tc>
          <w:tcPr>
            <w:tcW w:type="dxa" w:w="3175"/>
          </w:tcPr>
          <w:p>
            <w:pPr>
              <w:pStyle w:val="TableText"/>
            </w:pPr>
            <w:r>
              <w:t>Messunsicherheit</w:t>
            </w:r>
          </w:p>
        </w:tc>
        <w:tc>
          <w:tcPr>
            <w:tcW w:type="dxa" w:w="3175"/>
          </w:tcPr>
          <w:p>
            <w:pPr>
              <w:pStyle w:val="TableText"/>
            </w:pPr>
            <w:r>
              <w:t>Wirkung ist nie vollständig vorhersagbar</w:t>
            </w:r>
          </w:p>
        </w:tc>
        <w:tc>
          <w:tcPr>
            <w:tcW w:type="dxa" w:w="3175"/>
          </w:tcPr>
          <w:p>
            <w:pPr>
              <w:pStyle w:val="TableText"/>
            </w:pPr>
            <w:r>
              <w:t>Versionierung, Evaluation, offene Unsicherheitsangaben</w:t>
            </w:r>
          </w:p>
        </w:tc>
      </w:tr>
      <w:tr>
        <w:tc>
          <w:tcPr>
            <w:tcW w:type="dxa" w:w="3175"/>
          </w:tcPr>
          <w:p>
            <w:pPr>
              <w:pStyle w:val="TableText"/>
            </w:pPr>
            <w:r>
              <w:t>Politischer Pluralismus</w:t>
            </w:r>
          </w:p>
        </w:tc>
        <w:tc>
          <w:tcPr>
            <w:tcW w:type="dxa" w:w="3175"/>
          </w:tcPr>
          <w:p>
            <w:pPr>
              <w:pStyle w:val="TableText"/>
            </w:pPr>
            <w:r>
              <w:t>Parteien müssen unterschiedliche Umsetzungswege wählen können</w:t>
            </w:r>
          </w:p>
        </w:tc>
        <w:tc>
          <w:tcPr>
            <w:tcW w:type="dxa" w:w="3175"/>
          </w:tcPr>
          <w:p>
            <w:pPr>
              <w:pStyle w:val="TableText"/>
            </w:pPr>
            <w:r>
              <w:t>Rahmenrecht statt Einheitsprogramm</w:t>
            </w:r>
          </w:p>
        </w:tc>
      </w:tr>
    </w:tbl>
    <w:p>
      <w:pPr>
        <w:pStyle w:val="Heading2"/>
      </w:pPr>
      <w:r>
        <w:t>Das WStG als Rahmengesetz</w:t>
      </w:r>
    </w:p>
    <w:p>
      <w:pPr/>
      <w:r>
        <w:t>Das WStG ist die juristische Klammer der Wirkungssteuerarchitektur. Es soll nicht jede Steuerart neu erfinden, sondern bestehende Steuerarten wirkungsfähig machen. Dazu gehören Produkt- und Umsatzsteuern, Einkommensteuer, Körperschaftsteuer, Gewerbesteuer, Kapitalbesteuerung, Vermögens- und Erbschaftsfragen sowie öffentliche Haushalte. Jede dieser Steuerarten behält ihre eigene Verfahrenslogik, erhält aber eine gemeinsame Wirkungsbemessung.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Baustein</w:t>
            </w:r>
          </w:p>
        </w:tc>
        <w:tc>
          <w:tcPr>
            <w:tcW w:type="dxa" w:w="3175"/>
            <w:shd w:fill="F6F1E8"/>
          </w:tcPr>
          <w:p>
            <w:pPr>
              <w:pStyle w:val="TableText"/>
            </w:pPr>
            <w:r>
              <w:rPr>
                <w:rFonts w:ascii="Source Sans 3" w:hAnsi="Source Sans 3" w:eastAsia="Source Sans 3"/>
                <w:b/>
                <w:color w:val="0B1020"/>
                <w:sz w:val="18"/>
              </w:rPr>
              <w:t>Funktion im WStG</w:t>
            </w:r>
          </w:p>
        </w:tc>
        <w:tc>
          <w:tcPr>
            <w:tcW w:type="dxa" w:w="3175"/>
            <w:shd w:fill="F6F1E8"/>
          </w:tcPr>
          <w:p>
            <w:pPr>
              <w:pStyle w:val="TableText"/>
            </w:pPr>
            <w:r>
              <w:rPr>
                <w:rFonts w:ascii="Source Sans 3" w:hAnsi="Source Sans 3" w:eastAsia="Source Sans 3"/>
                <w:b/>
                <w:color w:val="0B1020"/>
                <w:sz w:val="18"/>
              </w:rPr>
              <w:t>Beispielhafte Umsetzung</w:t>
            </w:r>
          </w:p>
        </w:tc>
      </w:tr>
      <w:tr>
        <w:tc>
          <w:tcPr>
            <w:tcW w:type="dxa" w:w="3175"/>
          </w:tcPr>
          <w:p>
            <w:pPr>
              <w:pStyle w:val="TableText"/>
            </w:pPr>
            <w:r>
              <w:t>Zwecknorm</w:t>
            </w:r>
          </w:p>
        </w:tc>
        <w:tc>
          <w:tcPr>
            <w:tcW w:type="dxa" w:w="3175"/>
          </w:tcPr>
          <w:p>
            <w:pPr>
              <w:pStyle w:val="TableText"/>
            </w:pPr>
            <w:r>
              <w:t>Wirkung auf Mensch, Planet und Demokratie als Steuerungsziel</w:t>
            </w:r>
          </w:p>
        </w:tc>
        <w:tc>
          <w:tcPr>
            <w:tcW w:type="dxa" w:w="3175"/>
          </w:tcPr>
          <w:p>
            <w:pPr>
              <w:pStyle w:val="TableText"/>
            </w:pPr>
            <w:r>
              <w:t>Präambel, Zweckparagraph, Art.-20a-Anschluss</w:t>
            </w:r>
          </w:p>
        </w:tc>
      </w:tr>
      <w:tr>
        <w:tc>
          <w:tcPr>
            <w:tcW w:type="dxa" w:w="3175"/>
          </w:tcPr>
          <w:p>
            <w:pPr>
              <w:pStyle w:val="TableText"/>
            </w:pPr>
            <w:r>
              <w:t>Begriffe</w:t>
            </w:r>
          </w:p>
        </w:tc>
        <w:tc>
          <w:tcPr>
            <w:tcW w:type="dxa" w:w="3175"/>
          </w:tcPr>
          <w:p>
            <w:pPr>
              <w:pStyle w:val="TableText"/>
            </w:pPr>
            <w:r>
              <w:t>Definition von Wirkung, Wirkungswert, WÖk-ID, Scorecard, SDG+</w:t>
            </w:r>
          </w:p>
        </w:tc>
        <w:tc>
          <w:tcPr>
            <w:tcW w:type="dxa" w:w="3175"/>
          </w:tcPr>
          <w:p>
            <w:pPr>
              <w:pStyle w:val="TableText"/>
            </w:pPr>
            <w:r>
              <w:t>Begriffsregister, Glossar, technische Leitlinien</w:t>
            </w:r>
          </w:p>
        </w:tc>
      </w:tr>
      <w:tr>
        <w:tc>
          <w:tcPr>
            <w:tcW w:type="dxa" w:w="3175"/>
          </w:tcPr>
          <w:p>
            <w:pPr>
              <w:pStyle w:val="TableText"/>
            </w:pPr>
            <w:r>
              <w:t>Methodik</w:t>
            </w:r>
          </w:p>
        </w:tc>
        <w:tc>
          <w:tcPr>
            <w:tcW w:type="dxa" w:w="3175"/>
          </w:tcPr>
          <w:p>
            <w:pPr>
              <w:pStyle w:val="TableText"/>
            </w:pPr>
            <w:r>
              <w:t>Scorecards, Benchmarks, Nichtkompensation, Datenqualität</w:t>
            </w:r>
          </w:p>
        </w:tc>
        <w:tc>
          <w:tcPr>
            <w:tcW w:type="dxa" w:w="3175"/>
          </w:tcPr>
          <w:p>
            <w:pPr>
              <w:pStyle w:val="TableText"/>
            </w:pPr>
            <w:r>
              <w:t>Verweis auf WÖk-ID-Register und Leitlinien</w:t>
            </w:r>
          </w:p>
        </w:tc>
      </w:tr>
      <w:tr>
        <w:tc>
          <w:tcPr>
            <w:tcW w:type="dxa" w:w="3175"/>
          </w:tcPr>
          <w:p>
            <w:pPr>
              <w:pStyle w:val="TableText"/>
            </w:pPr>
            <w:r>
              <w:t>Institutionen</w:t>
            </w:r>
          </w:p>
        </w:tc>
        <w:tc>
          <w:tcPr>
            <w:tcW w:type="dxa" w:w="3175"/>
          </w:tcPr>
          <w:p>
            <w:pPr>
              <w:pStyle w:val="TableText"/>
            </w:pPr>
            <w:r>
              <w:t>Wirkungsrat, Evaluation, öffentliche Konsultation</w:t>
            </w:r>
          </w:p>
        </w:tc>
        <w:tc>
          <w:tcPr>
            <w:tcW w:type="dxa" w:w="3175"/>
          </w:tcPr>
          <w:p>
            <w:pPr>
              <w:pStyle w:val="TableText"/>
            </w:pPr>
            <w:r>
              <w:t>Dreijahresprüfung, Wirkungsberichte</w:t>
            </w:r>
          </w:p>
        </w:tc>
      </w:tr>
      <w:tr>
        <w:tc>
          <w:tcPr>
            <w:tcW w:type="dxa" w:w="3175"/>
          </w:tcPr>
          <w:p>
            <w:pPr>
              <w:pStyle w:val="TableText"/>
            </w:pPr>
            <w:r>
              <w:t>Rechtsschutz</w:t>
            </w:r>
          </w:p>
        </w:tc>
        <w:tc>
          <w:tcPr>
            <w:tcW w:type="dxa" w:w="3175"/>
          </w:tcPr>
          <w:p>
            <w:pPr>
              <w:pStyle w:val="TableText"/>
            </w:pPr>
            <w:r>
              <w:t>Einspruch, Prüfung, Übergangslogik, Verhältnismäßigkeit</w:t>
            </w:r>
          </w:p>
        </w:tc>
        <w:tc>
          <w:tcPr>
            <w:tcW w:type="dxa" w:w="3175"/>
          </w:tcPr>
          <w:p>
            <w:pPr>
              <w:pStyle w:val="TableText"/>
            </w:pPr>
            <w:r>
              <w:t>keine automatische Sanktion ohne Verfahren</w:t>
            </w:r>
          </w:p>
        </w:tc>
      </w:tr>
    </w:tbl>
    <w:p>
      <w:pPr/>
      <w:r>
        <w:t>Ein Rahmengesetz vermeidet zwei Extreme: Es vermeidet einerseits Beliebigkeit, weil Wirkung nicht mehr nur freiwillig berichtet wird. Es vermeidet andererseits Übersteuerung, weil nicht jeder technische Schwellenwert im Gesetz selbst eingefroren wird. Das Gesetz definiert die Prinzipien; Leitlinien, Register und Wirkungsrat aktualisieren die methodischen Details.</w:t>
      </w:r>
    </w:p>
    <w:p>
      <w:pPr>
        <w:pStyle w:val="Heading2"/>
      </w:pPr>
      <w:r>
        <w:t>Steuerarchitektur: Von Einzelsteuern zur Wirkungslogik</w:t>
      </w:r>
    </w:p>
    <w:p>
      <w:pPr/>
      <w:r>
        <w:t>Die Wirkungsökonomie braucht keine unüberschaubare Vielzahl neuer Steuerarten. Sie braucht eine neue Bemessungslogik. Bestehende Steuerarten können dadurch Wirkung aufnehmen, ohne ihre verfahrensrechtliche Grundstruktur vollständig zu verlieren.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Steuerfeld</w:t>
            </w:r>
          </w:p>
        </w:tc>
        <w:tc>
          <w:tcPr>
            <w:tcW w:type="dxa" w:w="3175"/>
            <w:shd w:fill="F6F1E8"/>
          </w:tcPr>
          <w:p>
            <w:pPr>
              <w:pStyle w:val="TableText"/>
            </w:pPr>
            <w:r>
              <w:rPr>
                <w:rFonts w:ascii="Source Sans 3" w:hAnsi="Source Sans 3" w:eastAsia="Source Sans 3"/>
                <w:b/>
                <w:color w:val="0B1020"/>
                <w:sz w:val="18"/>
              </w:rPr>
              <w:t>Wirkungsökonomischer Anschluss</w:t>
            </w:r>
          </w:p>
        </w:tc>
        <w:tc>
          <w:tcPr>
            <w:tcW w:type="dxa" w:w="3175"/>
            <w:shd w:fill="F6F1E8"/>
          </w:tcPr>
          <w:p>
            <w:pPr>
              <w:pStyle w:val="TableText"/>
            </w:pPr>
            <w:r>
              <w:rPr>
                <w:rFonts w:ascii="Source Sans 3" w:hAnsi="Source Sans 3" w:eastAsia="Source Sans 3"/>
                <w:b/>
                <w:color w:val="0B1020"/>
                <w:sz w:val="18"/>
              </w:rPr>
              <w:t>Eigene Detailvertiefung</w:t>
            </w:r>
          </w:p>
        </w:tc>
      </w:tr>
      <w:tr>
        <w:tc>
          <w:tcPr>
            <w:tcW w:type="dxa" w:w="3175"/>
          </w:tcPr>
          <w:p>
            <w:pPr>
              <w:pStyle w:val="TableText"/>
            </w:pPr>
            <w:r>
              <w:t>Umsatz / Produkte</w:t>
            </w:r>
          </w:p>
        </w:tc>
        <w:tc>
          <w:tcPr>
            <w:tcW w:type="dxa" w:w="3175"/>
          </w:tcPr>
          <w:p>
            <w:pPr>
              <w:pStyle w:val="TableText"/>
            </w:pPr>
            <w:r>
              <w:t>Wirkungsumsatzsteuer, Produktwirkungssteuer, Vorsteuerlogik</w:t>
            </w:r>
          </w:p>
        </w:tc>
        <w:tc>
          <w:tcPr>
            <w:tcW w:type="dxa" w:w="3175"/>
          </w:tcPr>
          <w:p>
            <w:pPr>
              <w:pStyle w:val="TableText"/>
            </w:pPr>
            <w:r>
              <w:t>WUStG / Produkte &amp; Konsum</w:t>
            </w:r>
          </w:p>
        </w:tc>
      </w:tr>
      <w:tr>
        <w:tc>
          <w:tcPr>
            <w:tcW w:type="dxa" w:w="3175"/>
          </w:tcPr>
          <w:p>
            <w:pPr>
              <w:pStyle w:val="TableText"/>
            </w:pPr>
            <w:r>
              <w:t>Einkommen</w:t>
            </w:r>
          </w:p>
        </w:tc>
        <w:tc>
          <w:tcPr>
            <w:tcW w:type="dxa" w:w="3175"/>
          </w:tcPr>
          <w:p>
            <w:pPr>
              <w:pStyle w:val="TableText"/>
            </w:pPr>
            <w:r>
              <w:t>Wirkungseinkommensteuer, Tätigkeits- und Organisationswirkung</w:t>
            </w:r>
          </w:p>
        </w:tc>
        <w:tc>
          <w:tcPr>
            <w:tcW w:type="dxa" w:w="3175"/>
          </w:tcPr>
          <w:p>
            <w:pPr>
              <w:pStyle w:val="TableText"/>
            </w:pPr>
            <w:r>
              <w:t>WEstG / Arbeit &amp; Einkommen</w:t>
            </w:r>
          </w:p>
        </w:tc>
      </w:tr>
      <w:tr>
        <w:tc>
          <w:tcPr>
            <w:tcW w:type="dxa" w:w="3175"/>
          </w:tcPr>
          <w:p>
            <w:pPr>
              <w:pStyle w:val="TableText"/>
            </w:pPr>
            <w:r>
              <w:t>Unternehmen</w:t>
            </w:r>
          </w:p>
        </w:tc>
        <w:tc>
          <w:tcPr>
            <w:tcW w:type="dxa" w:w="3175"/>
          </w:tcPr>
          <w:p>
            <w:pPr>
              <w:pStyle w:val="TableText"/>
            </w:pPr>
            <w:r>
              <w:t>Körperschaftsteuer mit Wirkungskomponente, CapEx/Opex nach Wirkung</w:t>
            </w:r>
          </w:p>
        </w:tc>
        <w:tc>
          <w:tcPr>
            <w:tcW w:type="dxa" w:w="3175"/>
          </w:tcPr>
          <w:p>
            <w:pPr>
              <w:pStyle w:val="TableText"/>
            </w:pPr>
            <w:r>
              <w:t>Wirtschaft &amp; Unternehmen</w:t>
            </w:r>
          </w:p>
        </w:tc>
      </w:tr>
      <w:tr>
        <w:tc>
          <w:tcPr>
            <w:tcW w:type="dxa" w:w="3175"/>
          </w:tcPr>
          <w:p>
            <w:pPr>
              <w:pStyle w:val="TableText"/>
            </w:pPr>
            <w:r>
              <w:t>Kommunen</w:t>
            </w:r>
          </w:p>
        </w:tc>
        <w:tc>
          <w:tcPr>
            <w:tcW w:type="dxa" w:w="3175"/>
          </w:tcPr>
          <w:p>
            <w:pPr>
              <w:pStyle w:val="TableText"/>
            </w:pPr>
            <w:r>
              <w:t>Wirkungsgewerbesteuer, lokale Wertschöpfung, kommunale Wirkungshaushalte</w:t>
            </w:r>
          </w:p>
        </w:tc>
        <w:tc>
          <w:tcPr>
            <w:tcW w:type="dxa" w:w="3175"/>
          </w:tcPr>
          <w:p>
            <w:pPr>
              <w:pStyle w:val="TableText"/>
            </w:pPr>
            <w:r>
              <w:t>Staat/Recht und Wohnen/Stadt</w:t>
            </w:r>
          </w:p>
        </w:tc>
      </w:tr>
      <w:tr>
        <w:tc>
          <w:tcPr>
            <w:tcW w:type="dxa" w:w="3175"/>
          </w:tcPr>
          <w:p>
            <w:pPr>
              <w:pStyle w:val="TableText"/>
            </w:pPr>
            <w:r>
              <w:t>Kapital/Vermögen</w:t>
            </w:r>
          </w:p>
        </w:tc>
        <w:tc>
          <w:tcPr>
            <w:tcW w:type="dxa" w:w="3175"/>
          </w:tcPr>
          <w:p>
            <w:pPr>
              <w:pStyle w:val="TableText"/>
            </w:pPr>
            <w:r>
              <w:t>Kapitalwirkung, Erbschaft, Vermögen, Fonds, Automatisierungsdividende</w:t>
            </w:r>
          </w:p>
        </w:tc>
        <w:tc>
          <w:tcPr>
            <w:tcW w:type="dxa" w:w="3175"/>
          </w:tcPr>
          <w:p>
            <w:pPr>
              <w:pStyle w:val="TableText"/>
            </w:pPr>
            <w:r>
              <w:t>Finanzsystem &amp; Kapital</w:t>
            </w:r>
          </w:p>
        </w:tc>
      </w:tr>
    </w:tbl>
    <w:p>
      <w:pPr>
        <w:pStyle w:val="Heading2"/>
      </w:pPr>
      <w:r>
        <w:t>Akteure und Rollenverteilung</w:t>
      </w:r>
    </w:p>
    <w:p>
      <w:pPr/>
      <w:r>
        <w:t>Ein wirkungsrechtlicher Rahmen funktioniert nur, wenn Rollen klar getrennt werden. Politik entscheidet über Ziele, Zumutbarkeit und Übergänge. Verwaltung setzt Verfahren um. Unternehmen und öffentliche Träger liefern Daten. Wissenschaft und Prüfinstanzen sichern Qualität. Der Wirkungsrat aktualisiert Benchmarks und schützt vor Lobbyismus. Gerichte sichern Grundrechte und Verhältnismäßigkeit.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Akteur</w:t>
            </w:r>
          </w:p>
        </w:tc>
        <w:tc>
          <w:tcPr>
            <w:tcW w:type="dxa" w:w="3175"/>
            <w:shd w:fill="F6F1E8"/>
          </w:tcPr>
          <w:p>
            <w:pPr>
              <w:pStyle w:val="TableText"/>
            </w:pPr>
            <w:r>
              <w:rPr>
                <w:rFonts w:ascii="Source Sans 3" w:hAnsi="Source Sans 3" w:eastAsia="Source Sans 3"/>
                <w:b/>
                <w:color w:val="0B1020"/>
                <w:sz w:val="18"/>
              </w:rPr>
              <w:t>Aufgabe</w:t>
            </w:r>
          </w:p>
        </w:tc>
        <w:tc>
          <w:tcPr>
            <w:tcW w:type="dxa" w:w="3175"/>
            <w:shd w:fill="F6F1E8"/>
          </w:tcPr>
          <w:p>
            <w:pPr>
              <w:pStyle w:val="TableText"/>
            </w:pPr>
            <w:r>
              <w:rPr>
                <w:rFonts w:ascii="Source Sans 3" w:hAnsi="Source Sans 3" w:eastAsia="Source Sans 3"/>
                <w:b/>
                <w:color w:val="0B1020"/>
                <w:sz w:val="18"/>
              </w:rPr>
              <w:t>Rote Linie</w:t>
            </w:r>
          </w:p>
        </w:tc>
      </w:tr>
      <w:tr>
        <w:tc>
          <w:tcPr>
            <w:tcW w:type="dxa" w:w="3175"/>
          </w:tcPr>
          <w:p>
            <w:pPr>
              <w:pStyle w:val="TableText"/>
            </w:pPr>
            <w:r>
              <w:t>Parlament</w:t>
            </w:r>
          </w:p>
        </w:tc>
        <w:tc>
          <w:tcPr>
            <w:tcW w:type="dxa" w:w="3175"/>
          </w:tcPr>
          <w:p>
            <w:pPr>
              <w:pStyle w:val="TableText"/>
            </w:pPr>
            <w:r>
              <w:t>Zweck, Rechtsgrundlage, demokratische Legitimation</w:t>
            </w:r>
          </w:p>
        </w:tc>
        <w:tc>
          <w:tcPr>
            <w:tcW w:type="dxa" w:w="3175"/>
          </w:tcPr>
          <w:p>
            <w:pPr>
              <w:pStyle w:val="TableText"/>
            </w:pPr>
            <w:r>
              <w:t>keine Delegation normativer Grundentscheidungen an Technik</w:t>
            </w:r>
          </w:p>
        </w:tc>
      </w:tr>
      <w:tr>
        <w:tc>
          <w:tcPr>
            <w:tcW w:type="dxa" w:w="3175"/>
          </w:tcPr>
          <w:p>
            <w:pPr>
              <w:pStyle w:val="TableText"/>
            </w:pPr>
            <w:r>
              <w:t>Regierung/Verwaltung</w:t>
            </w:r>
          </w:p>
        </w:tc>
        <w:tc>
          <w:tcPr>
            <w:tcW w:type="dxa" w:w="3175"/>
          </w:tcPr>
          <w:p>
            <w:pPr>
              <w:pStyle w:val="TableText"/>
            </w:pPr>
            <w:r>
              <w:t>Umsetzung, Register, Verfahren, Vollzug</w:t>
            </w:r>
          </w:p>
        </w:tc>
        <w:tc>
          <w:tcPr>
            <w:tcW w:type="dxa" w:w="3175"/>
          </w:tcPr>
          <w:p>
            <w:pPr>
              <w:pStyle w:val="TableText"/>
            </w:pPr>
            <w:r>
              <w:t>keine Black-Box-Entscheide</w:t>
            </w:r>
          </w:p>
        </w:tc>
      </w:tr>
      <w:tr>
        <w:tc>
          <w:tcPr>
            <w:tcW w:type="dxa" w:w="3175"/>
          </w:tcPr>
          <w:p>
            <w:pPr>
              <w:pStyle w:val="TableText"/>
            </w:pPr>
            <w:r>
              <w:t>Wirkungsrat</w:t>
            </w:r>
          </w:p>
        </w:tc>
        <w:tc>
          <w:tcPr>
            <w:tcW w:type="dxa" w:w="3175"/>
          </w:tcPr>
          <w:p>
            <w:pPr>
              <w:pStyle w:val="TableText"/>
            </w:pPr>
            <w:r>
              <w:t>Methodik, Evaluation, öffentliche Berichte</w:t>
            </w:r>
          </w:p>
        </w:tc>
        <w:tc>
          <w:tcPr>
            <w:tcW w:type="dxa" w:w="3175"/>
          </w:tcPr>
          <w:p>
            <w:pPr>
              <w:pStyle w:val="TableText"/>
            </w:pPr>
            <w:r>
              <w:t>keine Kapital- oder Parteidominanz</w:t>
            </w:r>
          </w:p>
        </w:tc>
      </w:tr>
      <w:tr>
        <w:tc>
          <w:tcPr>
            <w:tcW w:type="dxa" w:w="3175"/>
          </w:tcPr>
          <w:p>
            <w:pPr>
              <w:pStyle w:val="TableText"/>
            </w:pPr>
            <w:r>
              <w:t>Unternehmen/Träger</w:t>
            </w:r>
          </w:p>
        </w:tc>
        <w:tc>
          <w:tcPr>
            <w:tcW w:type="dxa" w:w="3175"/>
          </w:tcPr>
          <w:p>
            <w:pPr>
              <w:pStyle w:val="TableText"/>
            </w:pPr>
            <w:r>
              <w:t>Daten, Scorecards, Nachweise</w:t>
            </w:r>
          </w:p>
        </w:tc>
        <w:tc>
          <w:tcPr>
            <w:tcW w:type="dxa" w:w="3175"/>
          </w:tcPr>
          <w:p>
            <w:pPr>
              <w:pStyle w:val="TableText"/>
            </w:pPr>
            <w:r>
              <w:t>kein Greenwashing, keine Datenverweigerungsvorteile</w:t>
            </w:r>
          </w:p>
        </w:tc>
      </w:tr>
      <w:tr>
        <w:tc>
          <w:tcPr>
            <w:tcW w:type="dxa" w:w="3175"/>
          </w:tcPr>
          <w:p>
            <w:pPr>
              <w:pStyle w:val="TableText"/>
            </w:pPr>
            <w:r>
              <w:t>Gerichte</w:t>
            </w:r>
          </w:p>
        </w:tc>
        <w:tc>
          <w:tcPr>
            <w:tcW w:type="dxa" w:w="3175"/>
          </w:tcPr>
          <w:p>
            <w:pPr>
              <w:pStyle w:val="TableText"/>
            </w:pPr>
            <w:r>
              <w:t>Rechtsschutz, Verhältnismäßigkeit, Grundrechte</w:t>
            </w:r>
          </w:p>
        </w:tc>
        <w:tc>
          <w:tcPr>
            <w:tcW w:type="dxa" w:w="3175"/>
          </w:tcPr>
          <w:p>
            <w:pPr>
              <w:pStyle w:val="TableText"/>
            </w:pPr>
            <w:r>
              <w:t>keine technokratische Vorfestlegung ohne Prüfung</w:t>
            </w:r>
          </w:p>
        </w:tc>
      </w:tr>
    </w:tbl>
    <w:p>
      <w:pPr>
        <w:pStyle w:val="Heading2"/>
      </w:pPr>
      <w:r>
        <w:t>Politische Anschlussfähigkeit und Umsetzungsoptionen</w:t>
      </w:r>
    </w:p>
    <w:p>
      <w:pPr/>
      <w:r>
        <w:t>Das WStG beschreibt keinen fertigen Parteibeschluss. Es markiert einen Rahmen, innerhalb dessen konservative, liberale, sozialdemokratische, grüne, linke, kommunale und wirtschaftsnahe Perspektiven unterschiedliche Wege wählen können. Der politische Streit bleibt erhalten: über Tempo, Schwellenwerte, Förderquoten, Sanktionen, Pilotierung, Übergangsfristen, Sozialausgleich und föderale Zuständigkeiten.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Rechtsrahmen schaffen, der Wirkung sichtbar macht, ohne demokratische Entscheidung zu ersetzen.</w:t>
            </w:r>
          </w:p>
        </w:tc>
      </w:tr>
      <w:tr>
        <w:tc>
          <w:tcPr>
            <w:tcW w:type="dxa" w:w="4762"/>
          </w:tcPr>
          <w:p>
            <w:pPr>
              <w:pStyle w:val="TableText"/>
            </w:pPr>
            <w:r>
              <w:t>Politische Rahmenbedingungen</w:t>
            </w:r>
          </w:p>
        </w:tc>
        <w:tc>
          <w:tcPr>
            <w:tcW w:type="dxa" w:w="4762"/>
          </w:tcPr>
          <w:p>
            <w:pPr>
              <w:pStyle w:val="TableText"/>
            </w:pPr>
            <w:r>
              <w:t>WStG, WUStG, WEstG, Wirkungshaushalt, Wirkungsrat, Datenregister, Rechtsschutz.</w:t>
            </w:r>
          </w:p>
        </w:tc>
      </w:tr>
      <w:tr>
        <w:tc>
          <w:tcPr>
            <w:tcW w:type="dxa" w:w="4762"/>
          </w:tcPr>
          <w:p>
            <w:pPr>
              <w:pStyle w:val="TableText"/>
            </w:pPr>
            <w:r>
              <w:t>Ausgestaltungsspielraum</w:t>
            </w:r>
          </w:p>
        </w:tc>
        <w:tc>
          <w:tcPr>
            <w:tcW w:type="dxa" w:w="4762"/>
          </w:tcPr>
          <w:p>
            <w:pPr>
              <w:pStyle w:val="TableText"/>
            </w:pPr>
            <w:r>
              <w:t>Tempo, Verbindlichkeit, Pilotsektoren, Schwellen, KMU-Regeln, Sozialausgleich.</w:t>
            </w:r>
          </w:p>
        </w:tc>
      </w:tr>
      <w:tr>
        <w:tc>
          <w:tcPr>
            <w:tcW w:type="dxa" w:w="4762"/>
          </w:tcPr>
          <w:p>
            <w:pPr>
              <w:pStyle w:val="TableText"/>
            </w:pPr>
            <w:r>
              <w:t>Zielkonflikte</w:t>
            </w:r>
          </w:p>
        </w:tc>
        <w:tc>
          <w:tcPr>
            <w:tcW w:type="dxa" w:w="4762"/>
          </w:tcPr>
          <w:p>
            <w:pPr>
              <w:pStyle w:val="TableText"/>
            </w:pPr>
            <w:r>
              <w:t>Freiheit, Bürokratiearmut, Investitionssicherheit, Datenschutz, soziale Abfederung.</w:t>
            </w:r>
          </w:p>
        </w:tc>
      </w:tr>
      <w:tr>
        <w:tc>
          <w:tcPr>
            <w:tcW w:type="dxa" w:w="4762"/>
          </w:tcPr>
          <w:p>
            <w:pPr>
              <w:pStyle w:val="TableText"/>
            </w:pPr>
            <w:r>
              <w:t>Schutz vor Technokratie</w:t>
            </w:r>
          </w:p>
        </w:tc>
        <w:tc>
          <w:tcPr>
            <w:tcW w:type="dxa" w:w="4762"/>
          </w:tcPr>
          <w:p>
            <w:pPr>
              <w:pStyle w:val="TableText"/>
            </w:pPr>
            <w:r>
              <w:t>Wirkungsdaten bereiten Entscheidungen vor; normative Entscheidungen bleiben demokratisch legitimiert.</w:t>
            </w:r>
          </w:p>
        </w:tc>
      </w:tr>
    </w:tbl>
    <w:p>
      <w:pPr>
        <w:pStyle w:val="Heading2"/>
      </w:pPr>
      <w:r>
        <w:t>Quellen und Anschlussdokumente</w:t>
      </w:r>
    </w:p>
    <w:p>
      <w:pPr>
        <w:pStyle w:val="ListBullet"/>
      </w:pPr>
      <w:r>
        <w:t>Natalie Weber: Die neue Ordnung des Wohlstands, insbesondere Teile V, VI, VII, VIII und X.</w:t>
      </w:r>
    </w:p>
    <w:p>
      <w:pPr>
        <w:pStyle w:val="ListBullet"/>
      </w:pPr>
      <w:r>
        <w:t>Natalie Weber: Working-Paper Wirkungssteuergesetz (WStG), Oktober 2025.</w:t>
      </w:r>
    </w:p>
    <w:p>
      <w:pPr>
        <w:pStyle w:val="ListBullet"/>
      </w:pPr>
      <w:r>
        <w:t>Natalie Weber: Der Wirkungsrat - Institutionelle Verankerung der Wirkungsökonomie, September 2025.</w:t>
      </w:r>
    </w:p>
    <w:p>
      <w:pPr>
        <w:pStyle w:val="ListBullet"/>
      </w:pPr>
      <w:r>
        <w:t>Führender Begriffsleitfaden der Wirkungsökonomie, v1.0, Stand 21. Mai 2026.</w:t>
      </w:r>
    </w:p>
    <w:p>
      <w:pPr>
        <w:pStyle w:val="ListBullet"/>
      </w:pPr>
      <w:r>
        <w:t>Bundesregierung: Deutsche Nachhaltigkeitsstrategie 2025 und Agenda-2030-Bezug.</w:t>
      </w:r>
    </w:p>
    <w:p>
      <w:pPr>
        <w:pStyle w:val="ListBullet"/>
      </w:pPr>
      <w:r>
        <w:t>Grundgesetz für die Bundesrepublik Deutschland, insbesondere Art. 20a und die demokratisch-rechtsstaatliche Ordnung.</w:t>
      </w:r>
    </w:p>
    <w:p>
      <w:pPr>
        <w:pStyle w:val="ListBullet"/>
      </w:pPr>
      <w:r>
        <w:t>UN Agenda 2030 und SDGs als internationaler Referenzrahmen.</w:t>
      </w:r>
    </w:p>
    <w:p>
      <w:pPr>
        <w:pStyle w:val="Heading2"/>
      </w:pPr>
      <w:r>
        <w:t>Fazit</w:t>
      </w:r>
    </w:p>
    <w:p>
      <w:pPr/>
      <w:r>
        <w:t>Das WStG ist der rechtliche Umschaltpunkt der Wirkungsökonomie. Es macht Wirkung nicht zu einer Ideologie, sondern zu einem prüfbaren Rechts- und Steuerungsmaßstab. Seine Stärke liegt gerade darin, dass es politische Entscheidung nicht ersetzt, sondern besser informiert, strukturiert und korrigierbar macht.</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