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Wirkungsrat, Governance, Rechtsschutz und demokratische Kontrolle</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Institutionelle Sicherung der Wirkungsökonomie gegen Lobbyismus, Greenwashing, Technokratie und Messmissbrauch</w:t>
      </w:r>
    </w:p>
    <w:p>
      <w:pPr>
        <w:pStyle w:val="Heading2"/>
      </w:pPr>
      <w:r>
        <w:t>Kurzprofil</w:t>
      </w:r>
    </w:p>
    <w:p>
      <w:pPr>
        <w:pStyle w:val="ListBullet"/>
      </w:pPr>
      <w:r>
        <w:t>Dokumenttyp: Öffentliches Detailkonzept</w:t>
      </w:r>
    </w:p>
    <w:p>
      <w:pPr>
        <w:pStyle w:val="ListBullet"/>
      </w:pPr>
      <w:r>
        <w:t>Portal: Staat, Recht &amp; Demokratie</w:t>
      </w:r>
    </w:p>
    <w:p>
      <w:pPr>
        <w:pStyle w:val="ListBullet"/>
      </w:pPr>
      <w:r>
        <w:t>Unterbereich: Wirkungsrat, Governance, Assurance, Rechtsschutz, demokratische Kontrolle</w:t>
      </w:r>
    </w:p>
    <w:p>
      <w:pPr>
        <w:pStyle w:val="ListBullet"/>
      </w:pPr>
      <w:r>
        <w:t>Autorin: Natalie Weber · Wirkungsökonomie</w:t>
      </w:r>
    </w:p>
    <w:p>
      <w:pPr>
        <w:pStyle w:val="ListBullet"/>
      </w:pPr>
      <w:r>
        <w:t>Version: v1.0</w:t>
      </w:r>
    </w:p>
    <w:p>
      <w:pPr>
        <w:pStyle w:val="ListBullet"/>
      </w:pPr>
      <w:r>
        <w:t>Stand: 24. Mai 2026</w:t>
      </w:r>
    </w:p>
    <w:p>
      <w:pPr>
        <w:pStyle w:val="ListBullet"/>
      </w:pPr>
      <w:r>
        <w:t>Hinweis: keine Rechts-, Steuer-, Anlage- oder Finanzierungsberatung</w:t>
      </w:r>
    </w:p>
    <w:p>
      <w:pPr>
        <w:pStyle w:val="Heading2"/>
      </w:pPr>
      <w:r>
        <w:t>Executive Summary</w:t>
      </w:r>
    </w:p>
    <w:p>
      <w:pPr/>
      <w:r>
        <w:t>Dieses Detailkonzept beschreibt den Wirkungsrat als institutionelle Sicherung der Wirkungsökonomie. Wenn Wirkung in Preise, Steuern, Kapitalzugang, öffentliche Haushalte und Unternehmenssteuerung zurückgeführt wird, entsteht eine neue Macht: die Macht, Wirkungsmaßstäbe zu definieren. Diese Macht darf weder Kapitalinteressen noch parteipolitischer Vereinnahmung noch technokratischen Expertensystemen überlassen werden.</w:t>
      </w:r>
    </w:p>
    <w:p>
      <w:pPr/>
      <w:r>
        <w:t>Der Wirkungsrat ist deshalb keine Regierungsabteilung und kein Unternehmensbeirat. Er ist ein plural zusammengesetztes, öffentlich kontrolliertes, wissenschaftlich fundiertes und demokratisch begrenztes Gremium. Seine Aufgabe ist die Weiterentwicklung von WÖk-IDs, Benchmarks, Archetypen, Datenqualitätsregeln, Wirkungsberichten und Missbrauchsschutz. Er entscheidet nicht über jede politische Maßnahme. Er schafft die methodische Grundlage, auf der demokratische Entscheidungen besser getroffen werden können.</w:t>
      </w:r>
    </w:p>
    <w:p>
      <w:pPr/>
      <w:r>
        <w:t>Rechtsschutz ist dabei kein Zusatz, sondern Kernbestandteil. Unternehmen, Bürger:innen, Kommunen und Organisationen müssen Entscheidungen prüfen lassen können. Umgekehrt muss die Öffentlichkeit geschützt werden vor Greenwashing, Impact-Washing, Datenverweigerung, Lobbydruck und algorithmischer Intransparenz.</w:t>
      </w:r>
    </w:p>
    <w:p>
      <w:pPr>
        <w:pStyle w:val="Heading2"/>
      </w:pPr>
      <w:r>
        <w:t>Ausgangsdiagnose: Warum Wirkung Governance braucht</w:t>
      </w:r>
    </w:p>
    <w:p>
      <w:pPr/>
      <w:r>
        <w:t>Wirkungsmessung ist machtvoll. Sobald Scores, Benchmarks oder Indikatoren in Steuern, Finanzierung oder öffentliche Entscheidungen eingehen, entstehen Anreize, diese Messlogik zu beeinflussen. Das ist kein Sonderproblem der Wirkungsökonomie; es gilt für jede Kennzahl. Was relevant wird, wird umkämpft.</w:t>
      </w:r>
    </w:p>
    <w:p>
      <w:pPr/>
      <w:r>
        <w:t>Deshalb braucht die Wirkungsökonomie eine Institution, die nicht selbst politischer Akteur im parteipolitischen Sinn ist, aber demokratisch verantwortlich bleibt. Sie muss wissenschaftliche Qualität sichern, ohne Expertokratie zu erzeugen. Sie muss Wirtschaft einbinden, ohne Unternehmensinteressen zu dominieren. Sie muss Zivilgesellschaft beteiligen, ohne Aktivismus zur alleinigen Norm zu machen.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Risiko</w:t>
            </w:r>
          </w:p>
        </w:tc>
        <w:tc>
          <w:tcPr>
            <w:tcW w:type="dxa" w:w="3175"/>
            <w:shd w:fill="F6F1E8"/>
          </w:tcPr>
          <w:p>
            <w:pPr>
              <w:pStyle w:val="TableText"/>
            </w:pPr>
            <w:r>
              <w:rPr>
                <w:rFonts w:ascii="Source Sans 3" w:hAnsi="Source Sans 3" w:eastAsia="Source Sans 3"/>
                <w:b/>
                <w:color w:val="0B1020"/>
                <w:sz w:val="18"/>
              </w:rPr>
              <w:t>Wirkungsökonomische Gefahr</w:t>
            </w:r>
          </w:p>
        </w:tc>
        <w:tc>
          <w:tcPr>
            <w:tcW w:type="dxa" w:w="3175"/>
            <w:shd w:fill="F6F1E8"/>
          </w:tcPr>
          <w:p>
            <w:pPr>
              <w:pStyle w:val="TableText"/>
            </w:pPr>
            <w:r>
              <w:rPr>
                <w:rFonts w:ascii="Source Sans 3" w:hAnsi="Source Sans 3" w:eastAsia="Source Sans 3"/>
                <w:b/>
                <w:color w:val="0B1020"/>
                <w:sz w:val="18"/>
              </w:rPr>
              <w:t>Governance-Antwort</w:t>
            </w:r>
          </w:p>
        </w:tc>
      </w:tr>
      <w:tr>
        <w:tc>
          <w:tcPr>
            <w:tcW w:type="dxa" w:w="3175"/>
          </w:tcPr>
          <w:p>
            <w:pPr>
              <w:pStyle w:val="TableText"/>
            </w:pPr>
            <w:r>
              <w:t>Lobbyismus</w:t>
            </w:r>
          </w:p>
        </w:tc>
        <w:tc>
          <w:tcPr>
            <w:tcW w:type="dxa" w:w="3175"/>
          </w:tcPr>
          <w:p>
            <w:pPr>
              <w:pStyle w:val="TableText"/>
            </w:pPr>
            <w:r>
              <w:t>Benchmarks werden zugunsten starker Branchen verwässert</w:t>
            </w:r>
          </w:p>
        </w:tc>
        <w:tc>
          <w:tcPr>
            <w:tcW w:type="dxa" w:w="3175"/>
          </w:tcPr>
          <w:p>
            <w:pPr>
              <w:pStyle w:val="TableText"/>
            </w:pPr>
            <w:r>
              <w:t>Offenlegung, Rotation, Cooling-off, öffentliche Konsultation</w:t>
            </w:r>
          </w:p>
        </w:tc>
      </w:tr>
      <w:tr>
        <w:tc>
          <w:tcPr>
            <w:tcW w:type="dxa" w:w="3175"/>
          </w:tcPr>
          <w:p>
            <w:pPr>
              <w:pStyle w:val="TableText"/>
            </w:pPr>
            <w:r>
              <w:t>Greenwashing/Impact-Washing</w:t>
            </w:r>
          </w:p>
        </w:tc>
        <w:tc>
          <w:tcPr>
            <w:tcW w:type="dxa" w:w="3175"/>
          </w:tcPr>
          <w:p>
            <w:pPr>
              <w:pStyle w:val="TableText"/>
            </w:pPr>
            <w:r>
              <w:t>Positive Wirkung wird simuliert</w:t>
            </w:r>
          </w:p>
        </w:tc>
        <w:tc>
          <w:tcPr>
            <w:tcW w:type="dxa" w:w="3175"/>
          </w:tcPr>
          <w:p>
            <w:pPr>
              <w:pStyle w:val="TableText"/>
            </w:pPr>
            <w:r>
              <w:t>Assurance, Reverse Merit Order, Datenqualitätsklassen</w:t>
            </w:r>
          </w:p>
        </w:tc>
      </w:tr>
      <w:tr>
        <w:tc>
          <w:tcPr>
            <w:tcW w:type="dxa" w:w="3175"/>
          </w:tcPr>
          <w:p>
            <w:pPr>
              <w:pStyle w:val="TableText"/>
            </w:pPr>
            <w:r>
              <w:t>Technokratie</w:t>
            </w:r>
          </w:p>
        </w:tc>
        <w:tc>
          <w:tcPr>
            <w:tcW w:type="dxa" w:w="3175"/>
          </w:tcPr>
          <w:p>
            <w:pPr>
              <w:pStyle w:val="TableText"/>
            </w:pPr>
            <w:r>
              <w:t>Messung ersetzt demokratische Bewertung</w:t>
            </w:r>
          </w:p>
        </w:tc>
        <w:tc>
          <w:tcPr>
            <w:tcW w:type="dxa" w:w="3175"/>
          </w:tcPr>
          <w:p>
            <w:pPr>
              <w:pStyle w:val="TableText"/>
            </w:pPr>
            <w:r>
              <w:t>Parlamentarische Kontrolle, Rechtsschutz, normative Grenzen</w:t>
            </w:r>
          </w:p>
        </w:tc>
      </w:tr>
      <w:tr>
        <w:tc>
          <w:tcPr>
            <w:tcW w:type="dxa" w:w="3175"/>
          </w:tcPr>
          <w:p>
            <w:pPr>
              <w:pStyle w:val="TableText"/>
            </w:pPr>
            <w:r>
              <w:t>Datenmissbrauch</w:t>
            </w:r>
          </w:p>
        </w:tc>
        <w:tc>
          <w:tcPr>
            <w:tcW w:type="dxa" w:w="3175"/>
          </w:tcPr>
          <w:p>
            <w:pPr>
              <w:pStyle w:val="TableText"/>
            </w:pPr>
            <w:r>
              <w:t>Wirkungsdaten werden zur Personenbewertung</w:t>
            </w:r>
          </w:p>
        </w:tc>
        <w:tc>
          <w:tcPr>
            <w:tcW w:type="dxa" w:w="3175"/>
          </w:tcPr>
          <w:p>
            <w:pPr>
              <w:pStyle w:val="TableText"/>
            </w:pPr>
            <w:r>
              <w:t>Datenschutz, keine Social-Credit-Logik, Zweckbindung</w:t>
            </w:r>
          </w:p>
        </w:tc>
      </w:tr>
    </w:tbl>
    <w:p>
      <w:pPr>
        <w:pStyle w:val="Heading2"/>
      </w:pPr>
      <w:r>
        <w:t>Rolle und Auftrag des Wirkungsrats</w:t>
      </w:r>
    </w:p>
    <w:p>
      <w:pPr/>
      <w:r>
        <w:t>Der Wirkungsrat ist die Wächterinstitution der Wirkungslogik. Er garantiert nicht, dass jede Entscheidung richtig ist. Er garantiert, dass die Regeln der Wirkungsbewertung transparent, lernfähig, wissenschaftlich anschlussfähig und öffentlich überprüfbar bleiben.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Aufgabe</w:t>
            </w:r>
          </w:p>
        </w:tc>
        <w:tc>
          <w:tcPr>
            <w:tcW w:type="dxa" w:w="3175"/>
            <w:shd w:fill="F6F1E8"/>
          </w:tcPr>
          <w:p>
            <w:pPr>
              <w:pStyle w:val="TableText"/>
            </w:pPr>
            <w:r>
              <w:rPr>
                <w:rFonts w:ascii="Source Sans 3" w:hAnsi="Source Sans 3" w:eastAsia="Source Sans 3"/>
                <w:b/>
                <w:color w:val="0B1020"/>
                <w:sz w:val="18"/>
              </w:rPr>
              <w:t>Beschreibung</w:t>
            </w:r>
          </w:p>
        </w:tc>
        <w:tc>
          <w:tcPr>
            <w:tcW w:type="dxa" w:w="3175"/>
            <w:shd w:fill="F6F1E8"/>
          </w:tcPr>
          <w:p>
            <w:pPr>
              <w:pStyle w:val="TableText"/>
            </w:pPr>
            <w:r>
              <w:rPr>
                <w:rFonts w:ascii="Source Sans 3" w:hAnsi="Source Sans 3" w:eastAsia="Source Sans 3"/>
                <w:b/>
                <w:color w:val="0B1020"/>
                <w:sz w:val="18"/>
              </w:rPr>
              <w:t>Output</w:t>
            </w:r>
          </w:p>
        </w:tc>
      </w:tr>
      <w:tr>
        <w:tc>
          <w:tcPr>
            <w:tcW w:type="dxa" w:w="3175"/>
          </w:tcPr>
          <w:p>
            <w:pPr>
              <w:pStyle w:val="TableText"/>
            </w:pPr>
            <w:r>
              <w:t>WÖk-ID-Register</w:t>
            </w:r>
          </w:p>
        </w:tc>
        <w:tc>
          <w:tcPr>
            <w:tcW w:type="dxa" w:w="3175"/>
          </w:tcPr>
          <w:p>
            <w:pPr>
              <w:pStyle w:val="TableText"/>
            </w:pPr>
            <w:r>
              <w:t>Pflege, Ergänzung und Versionierung der Indikatorenarchitektur</w:t>
            </w:r>
          </w:p>
        </w:tc>
        <w:tc>
          <w:tcPr>
            <w:tcW w:type="dxa" w:w="3175"/>
          </w:tcPr>
          <w:p>
            <w:pPr>
              <w:pStyle w:val="TableText"/>
            </w:pPr>
            <w:r>
              <w:t>öffentliches Register, Änderungsprotokolle</w:t>
            </w:r>
          </w:p>
        </w:tc>
      </w:tr>
      <w:tr>
        <w:tc>
          <w:tcPr>
            <w:tcW w:type="dxa" w:w="3175"/>
          </w:tcPr>
          <w:p>
            <w:pPr>
              <w:pStyle w:val="TableText"/>
            </w:pPr>
            <w:r>
              <w:t>Benchmarks und Archetypen</w:t>
            </w:r>
          </w:p>
        </w:tc>
        <w:tc>
          <w:tcPr>
            <w:tcW w:type="dxa" w:w="3175"/>
          </w:tcPr>
          <w:p>
            <w:pPr>
              <w:pStyle w:val="TableText"/>
            </w:pPr>
            <w:r>
              <w:t>Sektorale Schwellenwerte, Score-Funktionen, Datenqualitätsregeln</w:t>
            </w:r>
          </w:p>
        </w:tc>
        <w:tc>
          <w:tcPr>
            <w:tcW w:type="dxa" w:w="3175"/>
          </w:tcPr>
          <w:p>
            <w:pPr>
              <w:pStyle w:val="TableText"/>
            </w:pPr>
            <w:r>
              <w:t>technische Leitlinien</w:t>
            </w:r>
          </w:p>
        </w:tc>
      </w:tr>
      <w:tr>
        <w:tc>
          <w:tcPr>
            <w:tcW w:type="dxa" w:w="3175"/>
          </w:tcPr>
          <w:p>
            <w:pPr>
              <w:pStyle w:val="TableText"/>
            </w:pPr>
            <w:r>
              <w:t>Evaluation</w:t>
            </w:r>
          </w:p>
        </w:tc>
        <w:tc>
          <w:tcPr>
            <w:tcW w:type="dxa" w:w="3175"/>
          </w:tcPr>
          <w:p>
            <w:pPr>
              <w:pStyle w:val="TableText"/>
            </w:pPr>
            <w:r>
              <w:t>Dreijährige Überprüfung der Methodik und Anwendung</w:t>
            </w:r>
          </w:p>
        </w:tc>
        <w:tc>
          <w:tcPr>
            <w:tcW w:type="dxa" w:w="3175"/>
          </w:tcPr>
          <w:p>
            <w:pPr>
              <w:pStyle w:val="TableText"/>
            </w:pPr>
            <w:r>
              <w:t>Evaluationsbericht, Anpassungsvorschläge</w:t>
            </w:r>
          </w:p>
        </w:tc>
      </w:tr>
      <w:tr>
        <w:tc>
          <w:tcPr>
            <w:tcW w:type="dxa" w:w="3175"/>
          </w:tcPr>
          <w:p>
            <w:pPr>
              <w:pStyle w:val="TableText"/>
            </w:pPr>
            <w:r>
              <w:t>Wirkungsberichte</w:t>
            </w:r>
          </w:p>
        </w:tc>
        <w:tc>
          <w:tcPr>
            <w:tcW w:type="dxa" w:w="3175"/>
          </w:tcPr>
          <w:p>
            <w:pPr>
              <w:pStyle w:val="TableText"/>
            </w:pPr>
            <w:r>
              <w:t>Jährliche Lageberichte zur Wirkung in Staat, Wirtschaft und Gesellschaft</w:t>
            </w:r>
          </w:p>
        </w:tc>
        <w:tc>
          <w:tcPr>
            <w:tcW w:type="dxa" w:w="3175"/>
          </w:tcPr>
          <w:p>
            <w:pPr>
              <w:pStyle w:val="TableText"/>
            </w:pPr>
            <w:r>
              <w:t>Wirkungsbarometer</w:t>
            </w:r>
          </w:p>
        </w:tc>
      </w:tr>
      <w:tr>
        <w:tc>
          <w:tcPr>
            <w:tcW w:type="dxa" w:w="3175"/>
          </w:tcPr>
          <w:p>
            <w:pPr>
              <w:pStyle w:val="TableText"/>
            </w:pPr>
            <w:r>
              <w:t>Missbrauchsschutz</w:t>
            </w:r>
          </w:p>
        </w:tc>
        <w:tc>
          <w:tcPr>
            <w:tcW w:type="dxa" w:w="3175"/>
          </w:tcPr>
          <w:p>
            <w:pPr>
              <w:pStyle w:val="TableText"/>
            </w:pPr>
            <w:r>
              <w:t>Greenwashing, Lobbydruck, Manipulation, KPI-Gaming sichtbar machen</w:t>
            </w:r>
          </w:p>
        </w:tc>
        <w:tc>
          <w:tcPr>
            <w:tcW w:type="dxa" w:w="3175"/>
          </w:tcPr>
          <w:p>
            <w:pPr>
              <w:pStyle w:val="TableText"/>
            </w:pPr>
            <w:r>
              <w:t>Warnberichte, Sondergutachten</w:t>
            </w:r>
          </w:p>
        </w:tc>
      </w:tr>
    </w:tbl>
    <w:p>
      <w:pPr>
        <w:pStyle w:val="Heading2"/>
      </w:pPr>
      <w:r>
        <w:t>Zusammensetzung und Schutz vor Dominanz</w:t>
      </w:r>
    </w:p>
    <w:p>
      <w:pPr/>
      <w:r>
        <w:t>Die Zusammensetzung muss plural sein. Kein Akteur darf das Gremium dominieren. Wissenschaft bringt methodische Qualität ein. Zivilgesellschaft achtet auf Umwelt, Soziales und Demokratie. Wirtschaft bringt Umsetzbarkeit und Datenrealität ein. Verwaltung kennt Vollzug und Verfahren. Bürger:innen im Losverfahren schaffen demokratische Rückbindung und Alltagsperspektive.</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Gruppe</w:t>
            </w:r>
          </w:p>
        </w:tc>
        <w:tc>
          <w:tcPr>
            <w:tcW w:type="dxa" w:w="3175"/>
            <w:shd w:fill="F6F1E8"/>
          </w:tcPr>
          <w:p>
            <w:pPr>
              <w:pStyle w:val="TableText"/>
            </w:pPr>
            <w:r>
              <w:rPr>
                <w:rFonts w:ascii="Source Sans 3" w:hAnsi="Source Sans 3" w:eastAsia="Source Sans 3"/>
                <w:b/>
                <w:color w:val="0B1020"/>
                <w:sz w:val="18"/>
              </w:rPr>
              <w:t>Beitrag</w:t>
            </w:r>
          </w:p>
        </w:tc>
        <w:tc>
          <w:tcPr>
            <w:tcW w:type="dxa" w:w="3175"/>
            <w:shd w:fill="F6F1E8"/>
          </w:tcPr>
          <w:p>
            <w:pPr>
              <w:pStyle w:val="TableText"/>
            </w:pPr>
            <w:r>
              <w:rPr>
                <w:rFonts w:ascii="Source Sans 3" w:hAnsi="Source Sans 3" w:eastAsia="Source Sans 3"/>
                <w:b/>
                <w:color w:val="0B1020"/>
                <w:sz w:val="18"/>
              </w:rPr>
              <w:t>Begrenzung</w:t>
            </w:r>
          </w:p>
        </w:tc>
      </w:tr>
      <w:tr>
        <w:tc>
          <w:tcPr>
            <w:tcW w:type="dxa" w:w="3175"/>
          </w:tcPr>
          <w:p>
            <w:pPr>
              <w:pStyle w:val="TableText"/>
            </w:pPr>
            <w:r>
              <w:t>Wissenschaft</w:t>
            </w:r>
          </w:p>
        </w:tc>
        <w:tc>
          <w:tcPr>
            <w:tcW w:type="dxa" w:w="3175"/>
          </w:tcPr>
          <w:p>
            <w:pPr>
              <w:pStyle w:val="TableText"/>
            </w:pPr>
            <w:r>
              <w:t>Methodik, Evidenz, Unsicherheit, Peer Review</w:t>
            </w:r>
          </w:p>
        </w:tc>
        <w:tc>
          <w:tcPr>
            <w:tcW w:type="dxa" w:w="3175"/>
          </w:tcPr>
          <w:p>
            <w:pPr>
              <w:pStyle w:val="TableText"/>
            </w:pPr>
            <w:r>
              <w:t>keine Expertokratie, öffentliche Begründungspflicht</w:t>
            </w:r>
          </w:p>
        </w:tc>
      </w:tr>
      <w:tr>
        <w:tc>
          <w:tcPr>
            <w:tcW w:type="dxa" w:w="3175"/>
          </w:tcPr>
          <w:p>
            <w:pPr>
              <w:pStyle w:val="TableText"/>
            </w:pPr>
            <w:r>
              <w:t>Zivilgesellschaft</w:t>
            </w:r>
          </w:p>
        </w:tc>
        <w:tc>
          <w:tcPr>
            <w:tcW w:type="dxa" w:w="3175"/>
          </w:tcPr>
          <w:p>
            <w:pPr>
              <w:pStyle w:val="TableText"/>
            </w:pPr>
            <w:r>
              <w:t>Gemeinwohlperspektive, Umwelt, Soziales, Demokratie</w:t>
            </w:r>
          </w:p>
        </w:tc>
        <w:tc>
          <w:tcPr>
            <w:tcW w:type="dxa" w:w="3175"/>
          </w:tcPr>
          <w:p>
            <w:pPr>
              <w:pStyle w:val="TableText"/>
            </w:pPr>
            <w:r>
              <w:t>Transparenz über Interessen und Finanzierung</w:t>
            </w:r>
          </w:p>
        </w:tc>
      </w:tr>
      <w:tr>
        <w:tc>
          <w:tcPr>
            <w:tcW w:type="dxa" w:w="3175"/>
          </w:tcPr>
          <w:p>
            <w:pPr>
              <w:pStyle w:val="TableText"/>
            </w:pPr>
            <w:r>
              <w:t>Wirtschaft</w:t>
            </w:r>
          </w:p>
        </w:tc>
        <w:tc>
          <w:tcPr>
            <w:tcW w:type="dxa" w:w="3175"/>
          </w:tcPr>
          <w:p>
            <w:pPr>
              <w:pStyle w:val="TableText"/>
            </w:pPr>
            <w:r>
              <w:t>Praxis, Datenlage, KMU-Tauglichkeit, Investitionsrealität</w:t>
            </w:r>
          </w:p>
        </w:tc>
        <w:tc>
          <w:tcPr>
            <w:tcW w:type="dxa" w:w="3175"/>
          </w:tcPr>
          <w:p>
            <w:pPr>
              <w:pStyle w:val="TableText"/>
            </w:pPr>
            <w:r>
              <w:t>kein dominanter Stimmenanteil, Interessenoffenlegung</w:t>
            </w:r>
          </w:p>
        </w:tc>
      </w:tr>
      <w:tr>
        <w:tc>
          <w:tcPr>
            <w:tcW w:type="dxa" w:w="3175"/>
          </w:tcPr>
          <w:p>
            <w:pPr>
              <w:pStyle w:val="TableText"/>
            </w:pPr>
            <w:r>
              <w:t>Politik/Verwaltung</w:t>
            </w:r>
          </w:p>
        </w:tc>
        <w:tc>
          <w:tcPr>
            <w:tcW w:type="dxa" w:w="3175"/>
          </w:tcPr>
          <w:p>
            <w:pPr>
              <w:pStyle w:val="TableText"/>
            </w:pPr>
            <w:r>
              <w:t>Rechts- und Vollzugswissen</w:t>
            </w:r>
          </w:p>
        </w:tc>
        <w:tc>
          <w:tcPr>
            <w:tcW w:type="dxa" w:w="3175"/>
          </w:tcPr>
          <w:p>
            <w:pPr>
              <w:pStyle w:val="TableText"/>
            </w:pPr>
            <w:r>
              <w:t>keine Regierungsmehrheit im Rat</w:t>
            </w:r>
          </w:p>
        </w:tc>
      </w:tr>
      <w:tr>
        <w:tc>
          <w:tcPr>
            <w:tcW w:type="dxa" w:w="3175"/>
          </w:tcPr>
          <w:p>
            <w:pPr>
              <w:pStyle w:val="TableText"/>
            </w:pPr>
            <w:r>
              <w:t>Bürger:innen</w:t>
            </w:r>
          </w:p>
        </w:tc>
        <w:tc>
          <w:tcPr>
            <w:tcW w:type="dxa" w:w="3175"/>
          </w:tcPr>
          <w:p>
            <w:pPr>
              <w:pStyle w:val="TableText"/>
            </w:pPr>
            <w:r>
              <w:t>Alltag, Betroffenheit, demokratische Perspektive</w:t>
            </w:r>
          </w:p>
        </w:tc>
        <w:tc>
          <w:tcPr>
            <w:tcW w:type="dxa" w:w="3175"/>
          </w:tcPr>
          <w:p>
            <w:pPr>
              <w:pStyle w:val="TableText"/>
            </w:pPr>
            <w:r>
              <w:t>Rotation, Begleitung, Verständlichkeitsformate</w:t>
            </w:r>
          </w:p>
        </w:tc>
      </w:tr>
    </w:tbl>
    <w:p>
      <w:pPr>
        <w:pStyle w:val="Heading2"/>
      </w:pPr>
      <w:r>
        <w:t>Assurance, Datenqualität und Prüfarchitektur</w:t>
      </w:r>
    </w:p>
    <w:p>
      <w:pPr/>
      <w:r>
        <w:t>Wirkungsdaten müssen prüfbar sein. Das bedeutet nicht, dass jede Wirkung mit absoluter Sicherheit erfasst werden kann. Es bedeutet, dass Datenherkunft, Messmethode, Unsicherheit, Annahmen und Grenzen offengelegt werden. Datenqualität wird selbst Teil der Bewertung.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Datenklasse</w:t>
            </w:r>
          </w:p>
        </w:tc>
        <w:tc>
          <w:tcPr>
            <w:tcW w:type="dxa" w:w="3175"/>
            <w:shd w:fill="F6F1E8"/>
          </w:tcPr>
          <w:p>
            <w:pPr>
              <w:pStyle w:val="TableText"/>
            </w:pPr>
            <w:r>
              <w:rPr>
                <w:rFonts w:ascii="Source Sans 3" w:hAnsi="Source Sans 3" w:eastAsia="Source Sans 3"/>
                <w:b/>
                <w:color w:val="0B1020"/>
                <w:sz w:val="18"/>
              </w:rPr>
              <w:t>Beschreibung</w:t>
            </w:r>
          </w:p>
        </w:tc>
        <w:tc>
          <w:tcPr>
            <w:tcW w:type="dxa" w:w="3175"/>
            <w:shd w:fill="F6F1E8"/>
          </w:tcPr>
          <w:p>
            <w:pPr>
              <w:pStyle w:val="TableText"/>
            </w:pPr>
            <w:r>
              <w:rPr>
                <w:rFonts w:ascii="Source Sans 3" w:hAnsi="Source Sans 3" w:eastAsia="Source Sans 3"/>
                <w:b/>
                <w:color w:val="0B1020"/>
                <w:sz w:val="18"/>
              </w:rPr>
              <w:t>Behandlung</w:t>
            </w:r>
          </w:p>
        </w:tc>
      </w:tr>
      <w:tr>
        <w:tc>
          <w:tcPr>
            <w:tcW w:type="dxa" w:w="3175"/>
          </w:tcPr>
          <w:p>
            <w:pPr>
              <w:pStyle w:val="TableText"/>
            </w:pPr>
            <w:r>
              <w:t>A - geprüft</w:t>
            </w:r>
          </w:p>
        </w:tc>
        <w:tc>
          <w:tcPr>
            <w:tcW w:type="dxa" w:w="3175"/>
          </w:tcPr>
          <w:p>
            <w:pPr>
              <w:pStyle w:val="TableText"/>
            </w:pPr>
            <w:r>
              <w:t>Auditierte Primärdaten, klare Quelle, aktuelle Methodik</w:t>
            </w:r>
          </w:p>
        </w:tc>
        <w:tc>
          <w:tcPr>
            <w:tcW w:type="dxa" w:w="3175"/>
          </w:tcPr>
          <w:p>
            <w:pPr>
              <w:pStyle w:val="TableText"/>
            </w:pPr>
            <w:r>
              <w:t>voll anrechenbar</w:t>
            </w:r>
          </w:p>
        </w:tc>
      </w:tr>
      <w:tr>
        <w:tc>
          <w:tcPr>
            <w:tcW w:type="dxa" w:w="3175"/>
          </w:tcPr>
          <w:p>
            <w:pPr>
              <w:pStyle w:val="TableText"/>
            </w:pPr>
            <w:r>
              <w:t>B - plausibilisiert</w:t>
            </w:r>
          </w:p>
        </w:tc>
        <w:tc>
          <w:tcPr>
            <w:tcW w:type="dxa" w:w="3175"/>
          </w:tcPr>
          <w:p>
            <w:pPr>
              <w:pStyle w:val="TableText"/>
            </w:pPr>
            <w:r>
              <w:t>Primärdaten mit begrenzter Prüfung oder konsistente Sekundärdaten</w:t>
            </w:r>
          </w:p>
        </w:tc>
        <w:tc>
          <w:tcPr>
            <w:tcW w:type="dxa" w:w="3175"/>
          </w:tcPr>
          <w:p>
            <w:pPr>
              <w:pStyle w:val="TableText"/>
            </w:pPr>
            <w:r>
              <w:t>anrechenbar mit Unsicherheitsfaktor</w:t>
            </w:r>
          </w:p>
        </w:tc>
      </w:tr>
      <w:tr>
        <w:tc>
          <w:tcPr>
            <w:tcW w:type="dxa" w:w="3175"/>
          </w:tcPr>
          <w:p>
            <w:pPr>
              <w:pStyle w:val="TableText"/>
            </w:pPr>
            <w:r>
              <w:t>C - geschätzt</w:t>
            </w:r>
          </w:p>
        </w:tc>
        <w:tc>
          <w:tcPr>
            <w:tcW w:type="dxa" w:w="3175"/>
          </w:tcPr>
          <w:p>
            <w:pPr>
              <w:pStyle w:val="TableText"/>
            </w:pPr>
            <w:r>
              <w:t>Modellwerte, Branchenwerte, Proxy-Daten</w:t>
            </w:r>
          </w:p>
        </w:tc>
        <w:tc>
          <w:tcPr>
            <w:tcW w:type="dxa" w:w="3175"/>
          </w:tcPr>
          <w:p>
            <w:pPr>
              <w:pStyle w:val="TableText"/>
            </w:pPr>
            <w:r>
              <w:t>konservativer Ansatz</w:t>
            </w:r>
          </w:p>
        </w:tc>
      </w:tr>
      <w:tr>
        <w:tc>
          <w:tcPr>
            <w:tcW w:type="dxa" w:w="3175"/>
          </w:tcPr>
          <w:p>
            <w:pPr>
              <w:pStyle w:val="TableText"/>
            </w:pPr>
            <w:r>
              <w:t>D - unklar</w:t>
            </w:r>
          </w:p>
        </w:tc>
        <w:tc>
          <w:tcPr>
            <w:tcW w:type="dxa" w:w="3175"/>
          </w:tcPr>
          <w:p>
            <w:pPr>
              <w:pStyle w:val="TableText"/>
            </w:pPr>
            <w:r>
              <w:t>fehlende oder widersprüchliche Daten</w:t>
            </w:r>
          </w:p>
        </w:tc>
        <w:tc>
          <w:tcPr>
            <w:tcW w:type="dxa" w:w="3175"/>
          </w:tcPr>
          <w:p>
            <w:pPr>
              <w:pStyle w:val="TableText"/>
            </w:pPr>
            <w:r>
              <w:t>keine Vorteile durch Nicht-Daten; neutrale oder risikobasierte Einstufung</w:t>
            </w:r>
          </w:p>
        </w:tc>
      </w:tr>
    </w:tbl>
    <w:p>
      <w:pPr>
        <w:pStyle w:val="Heading2"/>
      </w:pPr>
      <w:r>
        <w:t>Rechtsschutz und Verfahrensfairness</w:t>
      </w:r>
    </w:p>
    <w:p>
      <w:pPr/>
      <w:r>
        <w:t>Eine wirkungsbasierte Ordnung braucht starke Verfahrensrechte. Betroffene müssen wissen, welche Daten verwendet wurden, welche Indikatoren einschlägig sind, wie Scores zustande kommen und wie sie Einwände vorbringen können. Ohne Rechtsschutz würde Wirkungssteuerung zur Black Box.</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Rechtsschutzfeld</w:t>
            </w:r>
          </w:p>
        </w:tc>
        <w:tc>
          <w:tcPr>
            <w:tcW w:type="dxa" w:w="3175"/>
            <w:shd w:fill="F6F1E8"/>
          </w:tcPr>
          <w:p>
            <w:pPr>
              <w:pStyle w:val="TableText"/>
            </w:pPr>
            <w:r>
              <w:rPr>
                <w:rFonts w:ascii="Source Sans 3" w:hAnsi="Source Sans 3" w:eastAsia="Source Sans 3"/>
                <w:b/>
                <w:color w:val="0B1020"/>
                <w:sz w:val="18"/>
              </w:rPr>
              <w:t>Mindestanforderung</w:t>
            </w:r>
          </w:p>
        </w:tc>
        <w:tc>
          <w:tcPr>
            <w:tcW w:type="dxa" w:w="3175"/>
            <w:shd w:fill="F6F1E8"/>
          </w:tcPr>
          <w:p>
            <w:pPr>
              <w:pStyle w:val="TableText"/>
            </w:pPr>
            <w:r>
              <w:rPr>
                <w:rFonts w:ascii="Source Sans 3" w:hAnsi="Source Sans 3" w:eastAsia="Source Sans 3"/>
                <w:b/>
                <w:color w:val="0B1020"/>
                <w:sz w:val="18"/>
              </w:rPr>
              <w:t>Warum wichtig</w:t>
            </w:r>
          </w:p>
        </w:tc>
      </w:tr>
      <w:tr>
        <w:tc>
          <w:tcPr>
            <w:tcW w:type="dxa" w:w="3175"/>
          </w:tcPr>
          <w:p>
            <w:pPr>
              <w:pStyle w:val="TableText"/>
            </w:pPr>
            <w:r>
              <w:t>Transparenz</w:t>
            </w:r>
          </w:p>
        </w:tc>
        <w:tc>
          <w:tcPr>
            <w:tcW w:type="dxa" w:w="3175"/>
          </w:tcPr>
          <w:p>
            <w:pPr>
              <w:pStyle w:val="TableText"/>
            </w:pPr>
            <w:r>
              <w:t>Begründung der Einstufung und Datenquellen</w:t>
            </w:r>
          </w:p>
        </w:tc>
        <w:tc>
          <w:tcPr>
            <w:tcW w:type="dxa" w:w="3175"/>
          </w:tcPr>
          <w:p>
            <w:pPr>
              <w:pStyle w:val="TableText"/>
            </w:pPr>
            <w:r>
              <w:t>Nachvollziehbarkeit</w:t>
            </w:r>
          </w:p>
        </w:tc>
      </w:tr>
      <w:tr>
        <w:tc>
          <w:tcPr>
            <w:tcW w:type="dxa" w:w="3175"/>
          </w:tcPr>
          <w:p>
            <w:pPr>
              <w:pStyle w:val="TableText"/>
            </w:pPr>
            <w:r>
              <w:t>Korrektur</w:t>
            </w:r>
          </w:p>
        </w:tc>
        <w:tc>
          <w:tcPr>
            <w:tcW w:type="dxa" w:w="3175"/>
          </w:tcPr>
          <w:p>
            <w:pPr>
              <w:pStyle w:val="TableText"/>
            </w:pPr>
            <w:r>
              <w:t>Möglichkeit, bessere Daten nachzureichen</w:t>
            </w:r>
          </w:p>
        </w:tc>
        <w:tc>
          <w:tcPr>
            <w:tcW w:type="dxa" w:w="3175"/>
          </w:tcPr>
          <w:p>
            <w:pPr>
              <w:pStyle w:val="TableText"/>
            </w:pPr>
            <w:r>
              <w:t>Fairness und Lernfähigkeit</w:t>
            </w:r>
          </w:p>
        </w:tc>
      </w:tr>
      <w:tr>
        <w:tc>
          <w:tcPr>
            <w:tcW w:type="dxa" w:w="3175"/>
          </w:tcPr>
          <w:p>
            <w:pPr>
              <w:pStyle w:val="TableText"/>
            </w:pPr>
            <w:r>
              <w:t>Einspruch</w:t>
            </w:r>
          </w:p>
        </w:tc>
        <w:tc>
          <w:tcPr>
            <w:tcW w:type="dxa" w:w="3175"/>
          </w:tcPr>
          <w:p>
            <w:pPr>
              <w:pStyle w:val="TableText"/>
            </w:pPr>
            <w:r>
              <w:t>Verwaltungsrechtlicher Widerspruch und gerichtliche Prüfung</w:t>
            </w:r>
          </w:p>
        </w:tc>
        <w:tc>
          <w:tcPr>
            <w:tcW w:type="dxa" w:w="3175"/>
          </w:tcPr>
          <w:p>
            <w:pPr>
              <w:pStyle w:val="TableText"/>
            </w:pPr>
            <w:r>
              <w:t>Grundrechtsschutz</w:t>
            </w:r>
          </w:p>
        </w:tc>
      </w:tr>
      <w:tr>
        <w:tc>
          <w:tcPr>
            <w:tcW w:type="dxa" w:w="3175"/>
          </w:tcPr>
          <w:p>
            <w:pPr>
              <w:pStyle w:val="TableText"/>
            </w:pPr>
            <w:r>
              <w:t>Fristen</w:t>
            </w:r>
          </w:p>
        </w:tc>
        <w:tc>
          <w:tcPr>
            <w:tcW w:type="dxa" w:w="3175"/>
          </w:tcPr>
          <w:p>
            <w:pPr>
              <w:pStyle w:val="TableText"/>
            </w:pPr>
            <w:r>
              <w:t>klare Übergänge, keine rückwirkende Überforderung</w:t>
            </w:r>
          </w:p>
        </w:tc>
        <w:tc>
          <w:tcPr>
            <w:tcW w:type="dxa" w:w="3175"/>
          </w:tcPr>
          <w:p>
            <w:pPr>
              <w:pStyle w:val="TableText"/>
            </w:pPr>
            <w:r>
              <w:t>Investitionssicherheit</w:t>
            </w:r>
          </w:p>
        </w:tc>
      </w:tr>
      <w:tr>
        <w:tc>
          <w:tcPr>
            <w:tcW w:type="dxa" w:w="3175"/>
          </w:tcPr>
          <w:p>
            <w:pPr>
              <w:pStyle w:val="TableText"/>
            </w:pPr>
            <w:r>
              <w:t>KMU-Schutz</w:t>
            </w:r>
          </w:p>
        </w:tc>
        <w:tc>
          <w:tcPr>
            <w:tcW w:type="dxa" w:w="3175"/>
          </w:tcPr>
          <w:p>
            <w:pPr>
              <w:pStyle w:val="TableText"/>
            </w:pPr>
            <w:r>
              <w:t>vereinfachte Verfahren und Beratung</w:t>
            </w:r>
          </w:p>
        </w:tc>
        <w:tc>
          <w:tcPr>
            <w:tcW w:type="dxa" w:w="3175"/>
          </w:tcPr>
          <w:p>
            <w:pPr>
              <w:pStyle w:val="TableText"/>
            </w:pPr>
            <w:r>
              <w:t>Verhältnismäßigkeit</w:t>
            </w:r>
          </w:p>
        </w:tc>
      </w:tr>
    </w:tbl>
    <w:p>
      <w:pPr>
        <w:pStyle w:val="Heading2"/>
      </w:pPr>
      <w:r>
        <w:t>Demokratische Kontrolle und öffentliche Beteiligung</w:t>
      </w:r>
    </w:p>
    <w:p>
      <w:pPr/>
      <w:r>
        <w:t>Der Wirkungsrat darf nicht außerhalb demokratischer Kontrolle stehen. Er braucht gesetzliche Grundlage, Berichtspflichten gegenüber Parlament und Öffentlichkeit, öffentliche Konsultationen, Minderheitsvoten, Dokumentationspflichten und Revisionszyklen. Demokratische Kontrolle bedeutet nicht, dass jede Benchmark parteipolitisch verhandelt wird. Sie bedeutet, dass normative Entscheidungen, institutionelle Macht und methodische Änderungen öffentlich verantwortet werden.</w:t>
      </w:r>
    </w:p>
    <w:p>
      <w:pPr>
        <w:pStyle w:val="ListBullet"/>
      </w:pPr>
      <w:r>
        <w:t>Jährlicher Wirkungsbericht an Parlament und Öffentlichkeit.</w:t>
      </w:r>
    </w:p>
    <w:p>
      <w:pPr>
        <w:pStyle w:val="ListBullet"/>
      </w:pPr>
      <w:r>
        <w:t>Öffentliche Konsultation bei wesentlichen Methodikänderungen.</w:t>
      </w:r>
    </w:p>
    <w:p>
      <w:pPr>
        <w:pStyle w:val="ListBullet"/>
      </w:pPr>
      <w:r>
        <w:t>Minderheitsvoten und Begründung abweichender Einschätzungen.</w:t>
      </w:r>
    </w:p>
    <w:p>
      <w:pPr>
        <w:pStyle w:val="ListBullet"/>
      </w:pPr>
      <w:r>
        <w:t>Offenes Register für WÖk-IDs, Benchmarks, Versionen und Änderungsbegründungen.</w:t>
      </w:r>
    </w:p>
    <w:p>
      <w:pPr>
        <w:pStyle w:val="ListBullet"/>
      </w:pPr>
      <w:r>
        <w:t>Externe wissenschaftliche Evaluation in festgelegten Zyklen.</w:t>
      </w:r>
    </w:p>
    <w:p>
      <w:pPr>
        <w:pStyle w:val="Heading2"/>
      </w:pPr>
      <w:r>
        <w:t>Politische Anschlussfähigkeit und Umsetzungsoptionen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 für Politik und Umsetzung</w:t>
            </w:r>
          </w:p>
        </w:tc>
      </w:tr>
      <w:tr>
        <w:tc>
          <w:tcPr>
            <w:tcW w:type="dxa" w:w="4762"/>
          </w:tcPr>
          <w:p>
            <w:pPr>
              <w:pStyle w:val="TableText"/>
            </w:pPr>
            <w:r>
              <w:t>Aufgabe der Politik</w:t>
            </w:r>
          </w:p>
        </w:tc>
        <w:tc>
          <w:tcPr>
            <w:tcW w:type="dxa" w:w="4762"/>
          </w:tcPr>
          <w:p>
            <w:pPr>
              <w:pStyle w:val="TableText"/>
            </w:pPr>
            <w:r>
              <w:t>Unabhängige Wirkungsgovernance schaffen, ohne politische Entscheidung zu delegieren.</w:t>
            </w:r>
          </w:p>
        </w:tc>
      </w:tr>
      <w:tr>
        <w:tc>
          <w:tcPr>
            <w:tcW w:type="dxa" w:w="4762"/>
          </w:tcPr>
          <w:p>
            <w:pPr>
              <w:pStyle w:val="TableText"/>
            </w:pPr>
            <w:r>
              <w:t>Politische Rahmenbedingungen</w:t>
            </w:r>
          </w:p>
        </w:tc>
        <w:tc>
          <w:tcPr>
            <w:tcW w:type="dxa" w:w="4762"/>
          </w:tcPr>
          <w:p>
            <w:pPr>
              <w:pStyle w:val="TableText"/>
            </w:pPr>
            <w:r>
              <w:t>Gesetzliche Grundlage, Sitzverteilung, Finanzierung, Transparenzpflichten, Rechtsschutz.</w:t>
            </w:r>
          </w:p>
        </w:tc>
      </w:tr>
      <w:tr>
        <w:tc>
          <w:tcPr>
            <w:tcW w:type="dxa" w:w="4762"/>
          </w:tcPr>
          <w:p>
            <w:pPr>
              <w:pStyle w:val="TableText"/>
            </w:pPr>
            <w:r>
              <w:t>Ausgestaltungsspielraum</w:t>
            </w:r>
          </w:p>
        </w:tc>
        <w:tc>
          <w:tcPr>
            <w:tcW w:type="dxa" w:w="4762"/>
          </w:tcPr>
          <w:p>
            <w:pPr>
              <w:pStyle w:val="TableText"/>
            </w:pPr>
            <w:r>
              <w:t>Parlamentarische Anbindung, föderale Beteiligung, Amtszeiten, Konsultationsformate, Budget.</w:t>
            </w:r>
          </w:p>
        </w:tc>
      </w:tr>
      <w:tr>
        <w:tc>
          <w:tcPr>
            <w:tcW w:type="dxa" w:w="4762"/>
          </w:tcPr>
          <w:p>
            <w:pPr>
              <w:pStyle w:val="TableText"/>
            </w:pPr>
            <w:r>
              <w:t>Zielkonflikte</w:t>
            </w:r>
          </w:p>
        </w:tc>
        <w:tc>
          <w:tcPr>
            <w:tcW w:type="dxa" w:w="4762"/>
          </w:tcPr>
          <w:p>
            <w:pPr>
              <w:pStyle w:val="TableText"/>
            </w:pPr>
            <w:r>
              <w:t>Unabhängigkeit vs. demokratische Kontrolle; Expertise vs. Verständlichkeit; Stabilität vs. Lernfähigkeit.</w:t>
            </w:r>
          </w:p>
        </w:tc>
      </w:tr>
      <w:tr>
        <w:tc>
          <w:tcPr>
            <w:tcW w:type="dxa" w:w="4762"/>
          </w:tcPr>
          <w:p>
            <w:pPr>
              <w:pStyle w:val="TableText"/>
            </w:pPr>
            <w:r>
              <w:t>Übergang und Schutz</w:t>
            </w:r>
          </w:p>
        </w:tc>
        <w:tc>
          <w:tcPr>
            <w:tcW w:type="dxa" w:w="4762"/>
          </w:tcPr>
          <w:p>
            <w:pPr>
              <w:pStyle w:val="TableText"/>
            </w:pPr>
            <w:r>
              <w:t>Pilotphase, Ombudsstelle, KMU-Beratung, Datenqualitätsklassen, keine abrupten Sanktionen.</w:t>
            </w:r>
          </w:p>
        </w:tc>
      </w:tr>
      <w:tr>
        <w:tc>
          <w:tcPr>
            <w:tcW w:type="dxa" w:w="4762"/>
          </w:tcPr>
          <w:p>
            <w:pPr>
              <w:pStyle w:val="TableText"/>
            </w:pPr>
            <w:r>
              <w:t>Evaluation und Korrektur</w:t>
            </w:r>
          </w:p>
        </w:tc>
        <w:tc>
          <w:tcPr>
            <w:tcW w:type="dxa" w:w="4762"/>
          </w:tcPr>
          <w:p>
            <w:pPr>
              <w:pStyle w:val="TableText"/>
            </w:pPr>
            <w:r>
              <w:t>Dreijahresrevision, externe Gutachten, öffentliche Anhörungen, Fehlerbericht.</w:t>
            </w:r>
          </w:p>
        </w:tc>
      </w:tr>
      <w:tr>
        <w:tc>
          <w:tcPr>
            <w:tcW w:type="dxa" w:w="4762"/>
          </w:tcPr>
          <w:p>
            <w:pPr>
              <w:pStyle w:val="TableText"/>
            </w:pPr>
            <w:r>
              <w:t>Schutz vor Technokratie</w:t>
            </w:r>
          </w:p>
        </w:tc>
        <w:tc>
          <w:tcPr>
            <w:tcW w:type="dxa" w:w="4762"/>
          </w:tcPr>
          <w:p>
            <w:pPr>
              <w:pStyle w:val="TableText"/>
            </w:pPr>
            <w:r>
              <w:t>Wirkungsrat setzt Methodik, aber keine politische Endentscheidung über Prioritäten.</w:t>
            </w:r>
          </w:p>
        </w:tc>
      </w:tr>
    </w:tbl>
    <w:p>
      <w:pPr>
        <w:pStyle w:val="Heading2"/>
      </w:pPr>
      <w:r>
        <w:t>Quellen und Anschlussdokumente</w:t>
      </w:r>
    </w:p>
    <w:p>
      <w:pPr>
        <w:pStyle w:val="ListBullet"/>
      </w:pPr>
      <w:r>
        <w:t>Natalie Weber: Die neue Ordnung des Wohlstands, insbesondere Teile V, VI, VII, VIII und X.</w:t>
      </w:r>
    </w:p>
    <w:p>
      <w:pPr>
        <w:pStyle w:val="ListBullet"/>
      </w:pPr>
      <w:r>
        <w:t>Natalie Weber: Working-Paper Wirkungssteuergesetz (WStG), Oktober 2025.</w:t>
      </w:r>
    </w:p>
    <w:p>
      <w:pPr>
        <w:pStyle w:val="ListBullet"/>
      </w:pPr>
      <w:r>
        <w:t>Natalie Weber: Der Wirkungsrat - Institutionelle Verankerung der Wirkungsökonomie, September 2025.</w:t>
      </w:r>
    </w:p>
    <w:p>
      <w:pPr>
        <w:pStyle w:val="ListBullet"/>
      </w:pPr>
      <w:r>
        <w:t>Führender Begriffsleitfaden der Wirkungsökonomie, v1.0, Stand 21. Mai 2026.</w:t>
      </w:r>
    </w:p>
    <w:p>
      <w:pPr>
        <w:pStyle w:val="ListBullet"/>
      </w:pPr>
      <w:r>
        <w:t>Bundesregierung: Deutsche Nachhaltigkeitsstrategie 2025 und Agenda-2030-Bezug.</w:t>
      </w:r>
    </w:p>
    <w:p>
      <w:pPr>
        <w:pStyle w:val="ListBullet"/>
      </w:pPr>
      <w:r>
        <w:t>Grundgesetz für die Bundesrepublik Deutschland, insbesondere Art. 20a und die demokratisch-rechtsstaatliche Ordnung.</w:t>
      </w:r>
    </w:p>
    <w:p>
      <w:pPr>
        <w:pStyle w:val="ListBullet"/>
      </w:pPr>
      <w:r>
        <w:t>UN Agenda 2030 und SDGs als internationaler Referenzrahmen.</w:t>
      </w:r>
    </w:p>
    <w:p>
      <w:pPr>
        <w:pStyle w:val="Heading2"/>
      </w:pPr>
      <w:r>
        <w:t>Fazit</w:t>
      </w:r>
    </w:p>
    <w:p>
      <w:pPr/>
      <w:r>
        <w:t>Der Wirkungsrat ist der institutionelle Schutzraum der Wirkungsökonomie. Er verhindert nicht jeden Konflikt, sondern macht Konflikte sichtbar, prüfbar und korrigierbar. Ohne Wirkungsrat droht die Wirkungsökonomie entweder zu Greenwashing oder zu Technokratie zu werden. Mit Wirkungsrat kann sie lernfähig, plural und demokratisch anschlussfähig bleiben.</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