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Staat als Wirkungsarchitektur und Resilienzstaat</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Vom Reparaturstaat zur lernenden öffentlichen Rückkopplungsarchitektur für Mensch, Planet und Demokratie</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Staat als Wirkungsarchitektur, Resilienzstaat, öffentliche Steuerung, Institutionen</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Politikberatung</w:t>
      </w:r>
    </w:p>
    <w:p>
      <w:pPr>
        <w:pStyle w:val="Heading2"/>
      </w:pPr>
      <w:r>
        <w:t>Executive Summary</w:t>
      </w:r>
    </w:p>
    <w:p>
      <w:pPr/>
      <w:r>
        <w:t>Dieses Detailkonzept beschreibt den Staat nicht als Machtapparat, sondern als Wirkungsarchitektur. Damit ist keine Zentralplanung gemeint, sondern ein öffentlicher Ordnungsrahmen, der Wirkungen sichtbar macht, Zielkonflikte demokratisch bearbeitbar hält und Rückkopplungen in Recht, Haushalt, Verwaltung, Beschaffung, Kapitalzugang und öffentliche Infrastruktur ermöglicht.</w:t>
      </w:r>
    </w:p>
    <w:p>
      <w:pPr/>
      <w:r>
        <w:t>Der alte Staat reagiert häufig reparierend: Er erlässt Sonderprogramme, Subventionen, Förderlogiken und Einzelregeln, wenn Märkte, soziale Räume oder Infrastrukturen versagen. Der Wirkungsstaat setzt früher an. Er fragt nicht nur, wie ein Schaden kompensiert wird, sondern warum ein System den Schaden erzeugt. Damit verschiebt sich die staatliche Rolle von der Reparaturmaschine zur lernenden Architektur.</w:t>
      </w:r>
    </w:p>
    <w:p>
      <w:pPr/>
      <w:r>
        <w:t>Der Resilienzstaat ist der praktische Ausdruck dieser Architektur. Er schützt kritische Funktionen - Energie, Wasser, Gesundheit, Pflege, Bildung, Wohnen, digitale Infrastruktur, öffentliche Wahrheit, Rechtsschutz und demokratische Handlungsfähigkeit - nicht erst im Notfall, sondern als dauerhafte Systemleistung.</w:t>
      </w:r>
    </w:p>
    <w:p>
      <w:pPr>
        <w:pStyle w:val="Heading2"/>
      </w:pPr>
      <w:r>
        <w:t>Ausgangsdiagnose: Der Staat repariert zu oft, statt Rückkopplungen zu bauen</w:t>
      </w:r>
    </w:p>
    <w:p>
      <w:pPr/>
      <w:r>
        <w:t>Viele heutige politische Instrumente entstehen als Antwort auf Fehlanreize: ein Markt bildet ökologische Kosten nicht ab, also wird eine Sonderabgabe eingeführt. Ein Wohnungsmarkt überhitzt, also kommen Mietregeln und Förderprogramme. Gesundheitssysteme finanzieren Krankheit, also entstehen Präventionskampagnen. Desinformation schwächt Vertrauen, also entstehen neue Aufsichtspflichten.</w:t>
      </w:r>
    </w:p>
    <w:p>
      <w:pPr/>
      <w:r>
        <w:t>Diese Instrumente sind oft notwendig. Aber wenn sie nur nachträglich reparieren, wächst eine Bürokratie, die die Grundlogik nicht verändert. Die Wirkungsökonomie fragt daher nach der tieferen Struktur: Welche Preise, Daten, Regeln und Institutionen müssten so gestaltet werden, dass destruktive Wirkung gar nicht erst günstiger ist als konstruktive 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Reparaturstaat</w:t>
            </w:r>
          </w:p>
        </w:tc>
        <w:tc>
          <w:tcPr>
            <w:tcW w:type="dxa" w:w="3175"/>
            <w:shd w:fill="F6F1E8"/>
          </w:tcPr>
          <w:p>
            <w:pPr>
              <w:pStyle w:val="TableText"/>
            </w:pPr>
            <w:r>
              <w:rPr>
                <w:rFonts w:ascii="Source Sans 3" w:hAnsi="Source Sans 3" w:eastAsia="Source Sans 3"/>
                <w:b/>
                <w:color w:val="0B1020"/>
                <w:sz w:val="18"/>
              </w:rPr>
              <w:t>Wirkungsarchitektur</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Problem tritt auf, Programm folgt</w:t>
            </w:r>
          </w:p>
        </w:tc>
        <w:tc>
          <w:tcPr>
            <w:tcW w:type="dxa" w:w="3175"/>
          </w:tcPr>
          <w:p>
            <w:pPr>
              <w:pStyle w:val="TableText"/>
            </w:pPr>
            <w:r>
              <w:t>Wirkung wird vorher sichtbar und rückgekoppelt</w:t>
            </w:r>
          </w:p>
        </w:tc>
        <w:tc>
          <w:tcPr>
            <w:tcW w:type="dxa" w:w="3175"/>
          </w:tcPr>
          <w:p>
            <w:pPr>
              <w:pStyle w:val="TableText"/>
            </w:pPr>
            <w:r>
              <w:t>Förderprogramm vs. wirkungsbasierte Preis- und Steuerlogik</w:t>
            </w:r>
          </w:p>
        </w:tc>
      </w:tr>
      <w:tr>
        <w:tc>
          <w:tcPr>
            <w:tcW w:type="dxa" w:w="3175"/>
          </w:tcPr>
          <w:p>
            <w:pPr>
              <w:pStyle w:val="TableText"/>
            </w:pPr>
            <w:r>
              <w:t>Ressorts verwalten Zuständigkeiten</w:t>
            </w:r>
          </w:p>
        </w:tc>
        <w:tc>
          <w:tcPr>
            <w:tcW w:type="dxa" w:w="3175"/>
          </w:tcPr>
          <w:p>
            <w:pPr>
              <w:pStyle w:val="TableText"/>
            </w:pPr>
            <w:r>
              <w:t>Wirkungsräume werden über Ressortgrenzen gelesen</w:t>
            </w:r>
          </w:p>
        </w:tc>
        <w:tc>
          <w:tcPr>
            <w:tcW w:type="dxa" w:w="3175"/>
          </w:tcPr>
          <w:p>
            <w:pPr>
              <w:pStyle w:val="TableText"/>
            </w:pPr>
            <w:r>
              <w:t>Bildung wirkt auf Gesundheit, Arbeit und Demokratie</w:t>
            </w:r>
          </w:p>
        </w:tc>
      </w:tr>
      <w:tr>
        <w:tc>
          <w:tcPr>
            <w:tcW w:type="dxa" w:w="3175"/>
          </w:tcPr>
          <w:p>
            <w:pPr>
              <w:pStyle w:val="TableText"/>
            </w:pPr>
            <w:r>
              <w:t>Erfolg = Mittelabfluss oder Gesetzesbeschluss</w:t>
            </w:r>
          </w:p>
        </w:tc>
        <w:tc>
          <w:tcPr>
            <w:tcW w:type="dxa" w:w="3175"/>
          </w:tcPr>
          <w:p>
            <w:pPr>
              <w:pStyle w:val="TableText"/>
            </w:pPr>
            <w:r>
              <w:t>Erfolg = überprüfbare Zustandsveränderung</w:t>
            </w:r>
          </w:p>
        </w:tc>
        <w:tc>
          <w:tcPr>
            <w:tcW w:type="dxa" w:w="3175"/>
          </w:tcPr>
          <w:p>
            <w:pPr>
              <w:pStyle w:val="TableText"/>
            </w:pPr>
            <w:r>
              <w:t>Sanierungsquote plus Warmmietenwirkung</w:t>
            </w:r>
          </w:p>
        </w:tc>
      </w:tr>
      <w:tr>
        <w:tc>
          <w:tcPr>
            <w:tcW w:type="dxa" w:w="3175"/>
          </w:tcPr>
          <w:p>
            <w:pPr>
              <w:pStyle w:val="TableText"/>
            </w:pPr>
            <w:r>
              <w:t>Daten als Berichtspflicht</w:t>
            </w:r>
          </w:p>
        </w:tc>
        <w:tc>
          <w:tcPr>
            <w:tcW w:type="dxa" w:w="3175"/>
          </w:tcPr>
          <w:p>
            <w:pPr>
              <w:pStyle w:val="TableText"/>
            </w:pPr>
            <w:r>
              <w:t>Daten als Steuerungs- und Korrekturgrundlage</w:t>
            </w:r>
          </w:p>
        </w:tc>
        <w:tc>
          <w:tcPr>
            <w:tcW w:type="dxa" w:w="3175"/>
          </w:tcPr>
          <w:p>
            <w:pPr>
              <w:pStyle w:val="TableText"/>
            </w:pPr>
            <w:r>
              <w:t>CSRD/ESRS, WÖk-IDs, Wirkungshaushalt</w:t>
            </w:r>
          </w:p>
        </w:tc>
      </w:tr>
    </w:tbl>
    <w:p>
      <w:pPr>
        <w:pStyle w:val="Heading2"/>
      </w:pPr>
      <w:r>
        <w:t>Leitbild: Der Staat als öffentlicher Rückkopplungsarchitekt</w:t>
      </w:r>
    </w:p>
    <w:p>
      <w:pPr/>
      <w:r>
        <w:t>Der Wirkungsstaat besitzt keine absolute Hoheit über Wahrheit, Sinn oder Lebensführung. Seine Aufgabe ist begrenzter und zugleich anspruchsvoller: Er schafft Verfahren, in denen relevante Wirkungen sichtbar werden, in denen Entscheidungen begründet werden müssen, in denen Fehlsteuerungen korrigiert werden können und in denen Bürger:innen, Wissenschaft, Verwaltung, Wirtschaft und Zivilgesellschaft die Wirkungslogik kontrollieren können.</w:t>
      </w:r>
    </w:p>
    <w:p>
      <w:pPr/>
      <w:r>
        <w:t>Diese Rolle ist marktwirtschaftlich anschlussfähig, weil sie dezentrale Entscheidungen nicht ersetzt. Der Markt bleibt Suchprozess. Unternehmen bleiben Innovationsräume. Bürger:innen bleiben frei. Aber der Staat stellt sicher, dass die Signale im System nicht systematisch lügen: Preise, Steuern, Förderung, Beschaffung und Kapitalzugang sollen nicht länger destruktive Wirkung verdecken.</w:t>
      </w:r>
    </w:p>
    <w:p>
      <w:pPr>
        <w:pStyle w:val="Quote"/>
      </w:pPr>
      <w:r>
        <w:t>Kernformel</w:t>
      </w:r>
    </w:p>
    <w:p>
      <w:pPr>
        <w:pStyle w:val="Quote"/>
      </w:pPr>
      <w:r>
        <w:t>Der Wirkungsstaat befiehlt nicht das Ergebnis. Er gestaltet die Rückkopplung, durch die Ergebnisse sichtbar, bewertbar, korrigierbar und demokratisch verantwortbar werden.</w:t>
      </w:r>
    </w:p>
    <w:p>
      <w:pPr>
        <w:pStyle w:val="Heading2"/>
      </w:pPr>
      <w:r>
        <w:t>Die sechs Funktionen des Wirkungsstaates</w:t>
      </w:r>
    </w:p>
    <w:p>
      <w:pPr/>
      <w:r>
        <w:t>Die staatliche Wirkungsarchitektur lässt sich in sechs Funktionen gliedern. Keine dieser Funktionen ersetzt demokratische Entscheidung. Sie sorgen dafür, dass politische Entscheidung realitätsfähiger wird.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Funktion</w:t>
            </w:r>
          </w:p>
        </w:tc>
        <w:tc>
          <w:tcPr>
            <w:tcW w:type="dxa" w:w="3175"/>
            <w:shd w:fill="F6F1E8"/>
          </w:tcPr>
          <w:p>
            <w:pPr>
              <w:pStyle w:val="TableText"/>
            </w:pPr>
            <w:r>
              <w:rPr>
                <w:rFonts w:ascii="Source Sans 3" w:hAnsi="Source Sans 3" w:eastAsia="Source Sans 3"/>
                <w:b/>
                <w:color w:val="0B1020"/>
                <w:sz w:val="18"/>
              </w:rPr>
              <w:t>Aufgabe</w:t>
            </w:r>
          </w:p>
        </w:tc>
        <w:tc>
          <w:tcPr>
            <w:tcW w:type="dxa" w:w="3175"/>
            <w:shd w:fill="F6F1E8"/>
          </w:tcPr>
          <w:p>
            <w:pPr>
              <w:pStyle w:val="TableText"/>
            </w:pPr>
            <w:r>
              <w:rPr>
                <w:rFonts w:ascii="Source Sans 3" w:hAnsi="Source Sans 3" w:eastAsia="Source Sans 3"/>
                <w:b/>
                <w:color w:val="0B1020"/>
                <w:sz w:val="18"/>
              </w:rPr>
              <w:t>WÖk-Instrumente</w:t>
            </w:r>
          </w:p>
        </w:tc>
      </w:tr>
      <w:tr>
        <w:tc>
          <w:tcPr>
            <w:tcW w:type="dxa" w:w="3175"/>
          </w:tcPr>
          <w:p>
            <w:pPr>
              <w:pStyle w:val="TableText"/>
            </w:pPr>
            <w:r>
              <w:t>Normsetzung</w:t>
            </w:r>
          </w:p>
        </w:tc>
        <w:tc>
          <w:tcPr>
            <w:tcW w:type="dxa" w:w="3175"/>
          </w:tcPr>
          <w:p>
            <w:pPr>
              <w:pStyle w:val="TableText"/>
            </w:pPr>
            <w:r>
              <w:t>Ziele, rote Linien und Grundrechte sichern</w:t>
            </w:r>
          </w:p>
        </w:tc>
        <w:tc>
          <w:tcPr>
            <w:tcW w:type="dxa" w:w="3175"/>
          </w:tcPr>
          <w:p>
            <w:pPr>
              <w:pStyle w:val="TableText"/>
            </w:pPr>
            <w:r>
              <w:t>WStG, Art.-20a-Bezug, SDG+/Demokratiebezug</w:t>
            </w:r>
          </w:p>
        </w:tc>
      </w:tr>
      <w:tr>
        <w:tc>
          <w:tcPr>
            <w:tcW w:type="dxa" w:w="3175"/>
          </w:tcPr>
          <w:p>
            <w:pPr>
              <w:pStyle w:val="TableText"/>
            </w:pPr>
            <w:r>
              <w:t>Dateninfrastruktur</w:t>
            </w:r>
          </w:p>
        </w:tc>
        <w:tc>
          <w:tcPr>
            <w:tcW w:type="dxa" w:w="3175"/>
          </w:tcPr>
          <w:p>
            <w:pPr>
              <w:pStyle w:val="TableText"/>
            </w:pPr>
            <w:r>
              <w:t>Wirkungsdaten erfassbar und prüfbar machen</w:t>
            </w:r>
          </w:p>
        </w:tc>
        <w:tc>
          <w:tcPr>
            <w:tcW w:type="dxa" w:w="3175"/>
          </w:tcPr>
          <w:p>
            <w:pPr>
              <w:pStyle w:val="TableText"/>
            </w:pPr>
            <w:r>
              <w:t>WÖk-IDs, Register, Datenräume, DPP, öffentliche Statistik</w:t>
            </w:r>
          </w:p>
        </w:tc>
      </w:tr>
      <w:tr>
        <w:tc>
          <w:tcPr>
            <w:tcW w:type="dxa" w:w="3175"/>
          </w:tcPr>
          <w:p>
            <w:pPr>
              <w:pStyle w:val="TableText"/>
            </w:pPr>
            <w:r>
              <w:t>Rückkopplung</w:t>
            </w:r>
          </w:p>
        </w:tc>
        <w:tc>
          <w:tcPr>
            <w:tcW w:type="dxa" w:w="3175"/>
          </w:tcPr>
          <w:p>
            <w:pPr>
              <w:pStyle w:val="TableText"/>
            </w:pPr>
            <w:r>
              <w:t>Wirkung in Anreize übersetzen</w:t>
            </w:r>
          </w:p>
        </w:tc>
        <w:tc>
          <w:tcPr>
            <w:tcW w:type="dxa" w:w="3175"/>
          </w:tcPr>
          <w:p>
            <w:pPr>
              <w:pStyle w:val="TableText"/>
            </w:pPr>
            <w:r>
              <w:t>Steuern, Haushalt, Beschaffung, Förderung, Kapitalzugang</w:t>
            </w:r>
          </w:p>
        </w:tc>
      </w:tr>
      <w:tr>
        <w:tc>
          <w:tcPr>
            <w:tcW w:type="dxa" w:w="3175"/>
          </w:tcPr>
          <w:p>
            <w:pPr>
              <w:pStyle w:val="TableText"/>
            </w:pPr>
            <w:r>
              <w:t>Schutz</w:t>
            </w:r>
          </w:p>
        </w:tc>
        <w:tc>
          <w:tcPr>
            <w:tcW w:type="dxa" w:w="3175"/>
          </w:tcPr>
          <w:p>
            <w:pPr>
              <w:pStyle w:val="TableText"/>
            </w:pPr>
            <w:r>
              <w:t>Menschenwürde, Grundrechte, Rechtsschutz, Datenschutz sichern</w:t>
            </w:r>
          </w:p>
        </w:tc>
        <w:tc>
          <w:tcPr>
            <w:tcW w:type="dxa" w:w="3175"/>
          </w:tcPr>
          <w:p>
            <w:pPr>
              <w:pStyle w:val="TableText"/>
            </w:pPr>
            <w:r>
              <w:t>Verhältnismäßigkeit, Einspruch, Gericht, Technokratieschutz</w:t>
            </w:r>
          </w:p>
        </w:tc>
      </w:tr>
      <w:tr>
        <w:tc>
          <w:tcPr>
            <w:tcW w:type="dxa" w:w="3175"/>
          </w:tcPr>
          <w:p>
            <w:pPr>
              <w:pStyle w:val="TableText"/>
            </w:pPr>
            <w:r>
              <w:t>Resilienz</w:t>
            </w:r>
          </w:p>
        </w:tc>
        <w:tc>
          <w:tcPr>
            <w:tcW w:type="dxa" w:w="3175"/>
          </w:tcPr>
          <w:p>
            <w:pPr>
              <w:pStyle w:val="TableText"/>
            </w:pPr>
            <w:r>
              <w:t>kritische Funktionen vorsorgend stabilisieren</w:t>
            </w:r>
          </w:p>
        </w:tc>
        <w:tc>
          <w:tcPr>
            <w:tcW w:type="dxa" w:w="3175"/>
          </w:tcPr>
          <w:p>
            <w:pPr>
              <w:pStyle w:val="TableText"/>
            </w:pPr>
            <w:r>
              <w:t>Resilienzstrategie, Frühwarnindikatoren, kommunale Wirkungshaushalte</w:t>
            </w:r>
          </w:p>
        </w:tc>
      </w:tr>
      <w:tr>
        <w:tc>
          <w:tcPr>
            <w:tcW w:type="dxa" w:w="3175"/>
          </w:tcPr>
          <w:p>
            <w:pPr>
              <w:pStyle w:val="TableText"/>
            </w:pPr>
            <w:r>
              <w:t>Lernen</w:t>
            </w:r>
          </w:p>
        </w:tc>
        <w:tc>
          <w:tcPr>
            <w:tcW w:type="dxa" w:w="3175"/>
          </w:tcPr>
          <w:p>
            <w:pPr>
              <w:pStyle w:val="TableText"/>
            </w:pPr>
            <w:r>
              <w:t>Evaluation und Korrektur institutionalisieren</w:t>
            </w:r>
          </w:p>
        </w:tc>
        <w:tc>
          <w:tcPr>
            <w:tcW w:type="dxa" w:w="3175"/>
          </w:tcPr>
          <w:p>
            <w:pPr>
              <w:pStyle w:val="TableText"/>
            </w:pPr>
            <w:r>
              <w:t>Wirkungsrat, Wirkungsberichte, Revision, Pilotierung</w:t>
            </w:r>
          </w:p>
        </w:tc>
      </w:tr>
    </w:tbl>
    <w:p>
      <w:pPr>
        <w:pStyle w:val="Heading2"/>
      </w:pPr>
      <w:r>
        <w:t>Resilienzstaat: Schutz kritischer Wirkungsfunktionen</w:t>
      </w:r>
    </w:p>
    <w:p>
      <w:pPr/>
      <w:r>
        <w:t>Resilienz bedeutet in der Wirkungsökonomie nicht bloß Krisenmanagement. Es bedeutet, die Funktionsfähigkeit von Systemen so zu erhalten, dass Menschenwürde, öffentliche Sicherheit, Versorgung, demokratische Kommunikation und ökologische Tragfähigkeit auch unter Belastung bestehen bleiben.</w:t>
      </w:r>
    </w:p>
    <w:p>
      <w:pPr/>
      <w:r>
        <w:t>Der Resilienzstaat denkt daher nicht nur in Katastrophenschutz. Er denkt in dauerhaften Wirkungsfunktionen: Können Menschen wohnen? Haben Kinder Zugang zu Bildung? Funktionieren Pflege, Wasser, Energie, digitale Identität, Gerichte, lokale Verwaltung, öffentliche Information und wissenschaftliche Beratung auch bei Krisen, Hitze, Cyberangriffen, Pandemien, Lieferkettenbrüchen oder Vertrauensverlust?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Kritische Wirkungsfunktion</w:t>
            </w:r>
          </w:p>
        </w:tc>
        <w:tc>
          <w:tcPr>
            <w:tcW w:type="dxa" w:w="3175"/>
            <w:shd w:fill="F6F1E8"/>
          </w:tcPr>
          <w:p>
            <w:pPr>
              <w:pStyle w:val="TableText"/>
            </w:pPr>
            <w:r>
              <w:rPr>
                <w:rFonts w:ascii="Source Sans 3" w:hAnsi="Source Sans 3" w:eastAsia="Source Sans 3"/>
                <w:b/>
                <w:color w:val="0B1020"/>
                <w:sz w:val="18"/>
              </w:rPr>
              <w:t>Risiko ohne Wirkungslogik</w:t>
            </w:r>
          </w:p>
        </w:tc>
        <w:tc>
          <w:tcPr>
            <w:tcW w:type="dxa" w:w="3175"/>
            <w:shd w:fill="F6F1E8"/>
          </w:tcPr>
          <w:p>
            <w:pPr>
              <w:pStyle w:val="TableText"/>
            </w:pPr>
            <w:r>
              <w:rPr>
                <w:rFonts w:ascii="Source Sans 3" w:hAnsi="Source Sans 3" w:eastAsia="Source Sans 3"/>
                <w:b/>
                <w:color w:val="0B1020"/>
                <w:sz w:val="18"/>
              </w:rPr>
              <w:t>WÖk-Resilienzansatz</w:t>
            </w:r>
          </w:p>
        </w:tc>
      </w:tr>
      <w:tr>
        <w:tc>
          <w:tcPr>
            <w:tcW w:type="dxa" w:w="3175"/>
          </w:tcPr>
          <w:p>
            <w:pPr>
              <w:pStyle w:val="TableText"/>
            </w:pPr>
            <w:r>
              <w:t>Energie und Wasser</w:t>
            </w:r>
          </w:p>
        </w:tc>
        <w:tc>
          <w:tcPr>
            <w:tcW w:type="dxa" w:w="3175"/>
          </w:tcPr>
          <w:p>
            <w:pPr>
              <w:pStyle w:val="TableText"/>
            </w:pPr>
            <w:r>
              <w:t>Versorgungsengpässe, Preis- und Verteilungskrisen</w:t>
            </w:r>
          </w:p>
        </w:tc>
        <w:tc>
          <w:tcPr>
            <w:tcW w:type="dxa" w:w="3175"/>
          </w:tcPr>
          <w:p>
            <w:pPr>
              <w:pStyle w:val="TableText"/>
            </w:pPr>
            <w:r>
              <w:t>Resilienzindikatoren, lokale Redundanz, Wirkungshaushalt</w:t>
            </w:r>
          </w:p>
        </w:tc>
      </w:tr>
      <w:tr>
        <w:tc>
          <w:tcPr>
            <w:tcW w:type="dxa" w:w="3175"/>
          </w:tcPr>
          <w:p>
            <w:pPr>
              <w:pStyle w:val="TableText"/>
            </w:pPr>
            <w:r>
              <w:t>Gesundheit und Pflege</w:t>
            </w:r>
          </w:p>
        </w:tc>
        <w:tc>
          <w:tcPr>
            <w:tcW w:type="dxa" w:w="3175"/>
          </w:tcPr>
          <w:p>
            <w:pPr>
              <w:pStyle w:val="TableText"/>
            </w:pPr>
            <w:r>
              <w:t>Überlastung, Reparaturmedizin, Fachkräftemangel</w:t>
            </w:r>
          </w:p>
        </w:tc>
        <w:tc>
          <w:tcPr>
            <w:tcW w:type="dxa" w:w="3175"/>
          </w:tcPr>
          <w:p>
            <w:pPr>
              <w:pStyle w:val="TableText"/>
            </w:pPr>
            <w:r>
              <w:t>Prävention, Pflegeökosystem, Gesundheitswirkungsdaten</w:t>
            </w:r>
          </w:p>
        </w:tc>
      </w:tr>
      <w:tr>
        <w:tc>
          <w:tcPr>
            <w:tcW w:type="dxa" w:w="3175"/>
          </w:tcPr>
          <w:p>
            <w:pPr>
              <w:pStyle w:val="TableText"/>
            </w:pPr>
            <w:r>
              <w:t>Bildung</w:t>
            </w:r>
          </w:p>
        </w:tc>
        <w:tc>
          <w:tcPr>
            <w:tcW w:type="dxa" w:w="3175"/>
          </w:tcPr>
          <w:p>
            <w:pPr>
              <w:pStyle w:val="TableText"/>
            </w:pPr>
            <w:r>
              <w:t>Kompetenzverlust, Ungleichheit, Demokratieschwäche</w:t>
            </w:r>
          </w:p>
        </w:tc>
        <w:tc>
          <w:tcPr>
            <w:tcW w:type="dxa" w:w="3175"/>
          </w:tcPr>
          <w:p>
            <w:pPr>
              <w:pStyle w:val="TableText"/>
            </w:pPr>
            <w:r>
              <w:t>Wirkungsschule, Wirkungskompetenz, frühe Förderung</w:t>
            </w:r>
          </w:p>
        </w:tc>
      </w:tr>
      <w:tr>
        <w:tc>
          <w:tcPr>
            <w:tcW w:type="dxa" w:w="3175"/>
          </w:tcPr>
          <w:p>
            <w:pPr>
              <w:pStyle w:val="TableText"/>
            </w:pPr>
            <w:r>
              <w:t>Öffentliche Wahrheit</w:t>
            </w:r>
          </w:p>
        </w:tc>
        <w:tc>
          <w:tcPr>
            <w:tcW w:type="dxa" w:w="3175"/>
          </w:tcPr>
          <w:p>
            <w:pPr>
              <w:pStyle w:val="TableText"/>
            </w:pPr>
            <w:r>
              <w:t>Desinformation, Polarisierung, Vertrauensverlust</w:t>
            </w:r>
          </w:p>
        </w:tc>
        <w:tc>
          <w:tcPr>
            <w:tcW w:type="dxa" w:w="3175"/>
          </w:tcPr>
          <w:p>
            <w:pPr>
              <w:pStyle w:val="TableText"/>
            </w:pPr>
            <w:r>
              <w:t>Medienqualität, Quellenklarheit, Plattformverantwortung</w:t>
            </w:r>
          </w:p>
        </w:tc>
      </w:tr>
      <w:tr>
        <w:tc>
          <w:tcPr>
            <w:tcW w:type="dxa" w:w="3175"/>
          </w:tcPr>
          <w:p>
            <w:pPr>
              <w:pStyle w:val="TableText"/>
            </w:pPr>
            <w:r>
              <w:t>Rechtsschutz</w:t>
            </w:r>
          </w:p>
        </w:tc>
        <w:tc>
          <w:tcPr>
            <w:tcW w:type="dxa" w:w="3175"/>
          </w:tcPr>
          <w:p>
            <w:pPr>
              <w:pStyle w:val="TableText"/>
            </w:pPr>
            <w:r>
              <w:t>lange Verfahren, Ohnmacht, Misstrauen</w:t>
            </w:r>
          </w:p>
        </w:tc>
        <w:tc>
          <w:tcPr>
            <w:tcW w:type="dxa" w:w="3175"/>
          </w:tcPr>
          <w:p>
            <w:pPr>
              <w:pStyle w:val="TableText"/>
            </w:pPr>
            <w:r>
              <w:t>Zugang, Fristen, digitale Verfahren, Transparenz</w:t>
            </w:r>
          </w:p>
        </w:tc>
      </w:tr>
    </w:tbl>
    <w:p>
      <w:pPr>
        <w:pStyle w:val="Heading2"/>
      </w:pPr>
      <w:r>
        <w:t>Institutionen und Rollenverteilung</w:t>
      </w:r>
    </w:p>
    <w:p>
      <w:pPr/>
      <w:r>
        <w:t>Eine Wirkungsarchitektur entsteht nicht durch eine einzelne Behörde. Sie braucht eine klare Rollenverteilung. Der Bundestag entscheidet politisch. Die Bundesregierung gestaltet Umsetzung. Länder und Kommunen operationalisieren große Teile der Daseinsvorsorge. Verwaltung prüft und vollzieht. Wissenschaft liefert Datenqualität und Unsicherheitslogik. Der Wirkungsrat evaluiert Indikatoren und Methodik. Gerichte sichern Rechtsschutz. Zivilgesellschaft kontrolliert, widerspricht und ergänzt.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Rolle in der Wirkungsarchitektur</w:t>
            </w:r>
          </w:p>
        </w:tc>
        <w:tc>
          <w:tcPr>
            <w:tcW w:type="dxa" w:w="3175"/>
            <w:shd w:fill="F6F1E8"/>
          </w:tcPr>
          <w:p>
            <w:pPr>
              <w:pStyle w:val="TableText"/>
            </w:pPr>
            <w:r>
              <w:rPr>
                <w:rFonts w:ascii="Source Sans 3" w:hAnsi="Source Sans 3" w:eastAsia="Source Sans 3"/>
                <w:b/>
                <w:color w:val="0B1020"/>
                <w:sz w:val="18"/>
              </w:rPr>
              <w:t>Schutz gegen Fehlsteuerung</w:t>
            </w:r>
          </w:p>
        </w:tc>
      </w:tr>
      <w:tr>
        <w:tc>
          <w:tcPr>
            <w:tcW w:type="dxa" w:w="3175"/>
          </w:tcPr>
          <w:p>
            <w:pPr>
              <w:pStyle w:val="TableText"/>
            </w:pPr>
            <w:r>
              <w:t>Parlament</w:t>
            </w:r>
          </w:p>
        </w:tc>
        <w:tc>
          <w:tcPr>
            <w:tcW w:type="dxa" w:w="3175"/>
          </w:tcPr>
          <w:p>
            <w:pPr>
              <w:pStyle w:val="TableText"/>
            </w:pPr>
            <w:r>
              <w:t>Budget, Gesetze, politische Priorisierung</w:t>
            </w:r>
          </w:p>
        </w:tc>
        <w:tc>
          <w:tcPr>
            <w:tcW w:type="dxa" w:w="3175"/>
          </w:tcPr>
          <w:p>
            <w:pPr>
              <w:pStyle w:val="TableText"/>
            </w:pPr>
            <w:r>
              <w:t>öffentliches Verfahren, Opposition, Anhörungen</w:t>
            </w:r>
          </w:p>
        </w:tc>
      </w:tr>
      <w:tr>
        <w:tc>
          <w:tcPr>
            <w:tcW w:type="dxa" w:w="3175"/>
          </w:tcPr>
          <w:p>
            <w:pPr>
              <w:pStyle w:val="TableText"/>
            </w:pPr>
            <w:r>
              <w:t>Regierung/Ministerien</w:t>
            </w:r>
          </w:p>
        </w:tc>
        <w:tc>
          <w:tcPr>
            <w:tcW w:type="dxa" w:w="3175"/>
          </w:tcPr>
          <w:p>
            <w:pPr>
              <w:pStyle w:val="TableText"/>
            </w:pPr>
            <w:r>
              <w:t>Umsetzung, Programme, Verordnungen</w:t>
            </w:r>
          </w:p>
        </w:tc>
        <w:tc>
          <w:tcPr>
            <w:tcW w:type="dxa" w:w="3175"/>
          </w:tcPr>
          <w:p>
            <w:pPr>
              <w:pStyle w:val="TableText"/>
            </w:pPr>
            <w:r>
              <w:t>Wirkungsfolgenabschätzung, Evaluation</w:t>
            </w:r>
          </w:p>
        </w:tc>
      </w:tr>
      <w:tr>
        <w:tc>
          <w:tcPr>
            <w:tcW w:type="dxa" w:w="3175"/>
          </w:tcPr>
          <w:p>
            <w:pPr>
              <w:pStyle w:val="TableText"/>
            </w:pPr>
            <w:r>
              <w:t>Länder und Kommunen</w:t>
            </w:r>
          </w:p>
        </w:tc>
        <w:tc>
          <w:tcPr>
            <w:tcW w:type="dxa" w:w="3175"/>
          </w:tcPr>
          <w:p>
            <w:pPr>
              <w:pStyle w:val="TableText"/>
            </w:pPr>
            <w:r>
              <w:t>Bildung, Verwaltung, Wohnen, Gesundheit, Kultur, Infrastruktur</w:t>
            </w:r>
          </w:p>
        </w:tc>
        <w:tc>
          <w:tcPr>
            <w:tcW w:type="dxa" w:w="3175"/>
          </w:tcPr>
          <w:p>
            <w:pPr>
              <w:pStyle w:val="TableText"/>
            </w:pPr>
            <w:r>
              <w:t>kommunale Beteiligung, lokale Daten, Wirkungshaushalte</w:t>
            </w:r>
          </w:p>
        </w:tc>
      </w:tr>
      <w:tr>
        <w:tc>
          <w:tcPr>
            <w:tcW w:type="dxa" w:w="3175"/>
          </w:tcPr>
          <w:p>
            <w:pPr>
              <w:pStyle w:val="TableText"/>
            </w:pPr>
            <w:r>
              <w:t>Wirkungsrat</w:t>
            </w:r>
          </w:p>
        </w:tc>
        <w:tc>
          <w:tcPr>
            <w:tcW w:type="dxa" w:w="3175"/>
          </w:tcPr>
          <w:p>
            <w:pPr>
              <w:pStyle w:val="TableText"/>
            </w:pPr>
            <w:r>
              <w:t>Indikatoren, Benchmarks, Berichte, Missbrauchsschutz</w:t>
            </w:r>
          </w:p>
        </w:tc>
        <w:tc>
          <w:tcPr>
            <w:tcW w:type="dxa" w:w="3175"/>
          </w:tcPr>
          <w:p>
            <w:pPr>
              <w:pStyle w:val="TableText"/>
            </w:pPr>
            <w:r>
              <w:t>plural, unabhängig, transparent</w:t>
            </w:r>
          </w:p>
        </w:tc>
      </w:tr>
      <w:tr>
        <w:tc>
          <w:tcPr>
            <w:tcW w:type="dxa" w:w="3175"/>
          </w:tcPr>
          <w:p>
            <w:pPr>
              <w:pStyle w:val="TableText"/>
            </w:pPr>
            <w:r>
              <w:t>Gerichte</w:t>
            </w:r>
          </w:p>
        </w:tc>
        <w:tc>
          <w:tcPr>
            <w:tcW w:type="dxa" w:w="3175"/>
          </w:tcPr>
          <w:p>
            <w:pPr>
              <w:pStyle w:val="TableText"/>
            </w:pPr>
            <w:r>
              <w:t>Grundrechte, Verhältnismäßigkeit, Rechtsschutz</w:t>
            </w:r>
          </w:p>
        </w:tc>
        <w:tc>
          <w:tcPr>
            <w:tcW w:type="dxa" w:w="3175"/>
          </w:tcPr>
          <w:p>
            <w:pPr>
              <w:pStyle w:val="TableText"/>
            </w:pPr>
            <w:r>
              <w:t>unabhängige Kontrolle</w:t>
            </w:r>
          </w:p>
        </w:tc>
      </w:tr>
      <w:tr>
        <w:tc>
          <w:tcPr>
            <w:tcW w:type="dxa" w:w="3175"/>
          </w:tcPr>
          <w:p>
            <w:pPr>
              <w:pStyle w:val="TableText"/>
            </w:pPr>
            <w:r>
              <w:t>Bürger:innen/Zivilgesellschaft</w:t>
            </w:r>
          </w:p>
        </w:tc>
        <w:tc>
          <w:tcPr>
            <w:tcW w:type="dxa" w:w="3175"/>
          </w:tcPr>
          <w:p>
            <w:pPr>
              <w:pStyle w:val="TableText"/>
            </w:pPr>
            <w:r>
              <w:t>Feedback, Beteiligung, Kontrolle</w:t>
            </w:r>
          </w:p>
        </w:tc>
        <w:tc>
          <w:tcPr>
            <w:tcW w:type="dxa" w:w="3175"/>
          </w:tcPr>
          <w:p>
            <w:pPr>
              <w:pStyle w:val="TableText"/>
            </w:pPr>
            <w:r>
              <w:t>Transparenz, Beschwerdewege, Zugang zu Daten</w:t>
            </w:r>
          </w:p>
        </w:tc>
      </w:tr>
    </w:tbl>
    <w:p>
      <w:pPr>
        <w:pStyle w:val="Heading2"/>
      </w:pPr>
      <w:r>
        <w:t>Wirkungsarchitektur und bestehende Steuerlogik</w:t>
      </w:r>
    </w:p>
    <w:p>
      <w:pPr/>
      <w:r>
        <w:t>Der Wirkungsstaat führt nicht zwingend neue Steuerarten ohne Anschluss ein. Er überlagert bestehende Steuerarten mit einer Wirkungslogik. Umsatz, Einkommen, Körperschaft, Gewerbe, Kapital, Vermögen oder Erbschaften bleiben politisch ausgestaltbar. Die WÖk fragt, ob und wie diese Größen nach ihrer Wirkung differenziert werden können.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Steuer-/Finanzfeld</w:t>
            </w:r>
          </w:p>
        </w:tc>
        <w:tc>
          <w:tcPr>
            <w:tcW w:type="dxa" w:w="3175"/>
            <w:shd w:fill="F6F1E8"/>
          </w:tcPr>
          <w:p>
            <w:pPr>
              <w:pStyle w:val="TableText"/>
            </w:pPr>
            <w:r>
              <w:rPr>
                <w:rFonts w:ascii="Source Sans 3" w:hAnsi="Source Sans 3" w:eastAsia="Source Sans 3"/>
                <w:b/>
                <w:color w:val="0B1020"/>
                <w:sz w:val="18"/>
              </w:rPr>
              <w:t>Wirkungsökonomische Frage</w:t>
            </w:r>
          </w:p>
        </w:tc>
        <w:tc>
          <w:tcPr>
            <w:tcW w:type="dxa" w:w="3175"/>
            <w:shd w:fill="F6F1E8"/>
          </w:tcPr>
          <w:p>
            <w:pPr>
              <w:pStyle w:val="TableText"/>
            </w:pPr>
            <w:r>
              <w:rPr>
                <w:rFonts w:ascii="Source Sans 3" w:hAnsi="Source Sans 3" w:eastAsia="Source Sans 3"/>
                <w:b/>
                <w:color w:val="0B1020"/>
                <w:sz w:val="18"/>
              </w:rPr>
              <w:t>Verknüpfung</w:t>
            </w:r>
          </w:p>
        </w:tc>
      </w:tr>
      <w:tr>
        <w:tc>
          <w:tcPr>
            <w:tcW w:type="dxa" w:w="3175"/>
          </w:tcPr>
          <w:p>
            <w:pPr>
              <w:pStyle w:val="TableText"/>
            </w:pPr>
            <w:r>
              <w:t>Umsatz/Produkte</w:t>
            </w:r>
          </w:p>
        </w:tc>
        <w:tc>
          <w:tcPr>
            <w:tcW w:type="dxa" w:w="3175"/>
          </w:tcPr>
          <w:p>
            <w:pPr>
              <w:pStyle w:val="TableText"/>
            </w:pPr>
            <w:r>
              <w:t>Welche Wirkung trägt ein Produkt über Lebenszyklus und Lieferkette?</w:t>
            </w:r>
          </w:p>
        </w:tc>
        <w:tc>
          <w:tcPr>
            <w:tcW w:type="dxa" w:w="3175"/>
          </w:tcPr>
          <w:p>
            <w:pPr>
              <w:pStyle w:val="TableText"/>
            </w:pPr>
            <w:r>
              <w:t>WUStG, Produktscorecards, DPP</w:t>
            </w:r>
          </w:p>
        </w:tc>
      </w:tr>
      <w:tr>
        <w:tc>
          <w:tcPr>
            <w:tcW w:type="dxa" w:w="3175"/>
          </w:tcPr>
          <w:p>
            <w:pPr>
              <w:pStyle w:val="TableText"/>
            </w:pPr>
            <w:r>
              <w:t>Einkommen</w:t>
            </w:r>
          </w:p>
        </w:tc>
        <w:tc>
          <w:tcPr>
            <w:tcW w:type="dxa" w:w="3175"/>
          </w:tcPr>
          <w:p>
            <w:pPr>
              <w:pStyle w:val="TableText"/>
            </w:pPr>
            <w:r>
              <w:t>Welche Wirkung erzeugt eine Tätigkeit oder Einkommensquelle?</w:t>
            </w:r>
          </w:p>
        </w:tc>
        <w:tc>
          <w:tcPr>
            <w:tcW w:type="dxa" w:w="3175"/>
          </w:tcPr>
          <w:p>
            <w:pPr>
              <w:pStyle w:val="TableText"/>
            </w:pPr>
            <w:r>
              <w:t>WEstG, Wirkungseinkommen, Arbeit</w:t>
            </w:r>
          </w:p>
        </w:tc>
      </w:tr>
      <w:tr>
        <w:tc>
          <w:tcPr>
            <w:tcW w:type="dxa" w:w="3175"/>
          </w:tcPr>
          <w:p>
            <w:pPr>
              <w:pStyle w:val="TableText"/>
            </w:pPr>
            <w:r>
              <w:t>Unternehmensgewinne</w:t>
            </w:r>
          </w:p>
        </w:tc>
        <w:tc>
          <w:tcPr>
            <w:tcW w:type="dxa" w:w="3175"/>
          </w:tcPr>
          <w:p>
            <w:pPr>
              <w:pStyle w:val="TableText"/>
            </w:pPr>
            <w:r>
              <w:t>Ist Gewinn Resultat positiver Wirkung oder externalisierter Kosten?</w:t>
            </w:r>
          </w:p>
        </w:tc>
        <w:tc>
          <w:tcPr>
            <w:tcW w:type="dxa" w:w="3175"/>
          </w:tcPr>
          <w:p>
            <w:pPr>
              <w:pStyle w:val="TableText"/>
            </w:pPr>
            <w:r>
              <w:t>Unternehmen, KSt/GewSt-Logik, Finanzmarkt</w:t>
            </w:r>
          </w:p>
        </w:tc>
      </w:tr>
      <w:tr>
        <w:tc>
          <w:tcPr>
            <w:tcW w:type="dxa" w:w="3175"/>
          </w:tcPr>
          <w:p>
            <w:pPr>
              <w:pStyle w:val="TableText"/>
            </w:pPr>
            <w:r>
              <w:t>Kapital/Vermögen</w:t>
            </w:r>
          </w:p>
        </w:tc>
        <w:tc>
          <w:tcPr>
            <w:tcW w:type="dxa" w:w="3175"/>
          </w:tcPr>
          <w:p>
            <w:pPr>
              <w:pStyle w:val="TableText"/>
            </w:pPr>
            <w:r>
              <w:t>Stabilisiert Kapital Mensch, Planet und Demokratie oder destabilisiert es?</w:t>
            </w:r>
          </w:p>
        </w:tc>
        <w:tc>
          <w:tcPr>
            <w:tcW w:type="dxa" w:w="3175"/>
          </w:tcPr>
          <w:p>
            <w:pPr>
              <w:pStyle w:val="TableText"/>
            </w:pPr>
            <w:r>
              <w:t>Finanzsystem, Wirkungsfonds, Vermögensteuerlogik</w:t>
            </w:r>
          </w:p>
        </w:tc>
      </w:tr>
      <w:tr>
        <w:tc>
          <w:tcPr>
            <w:tcW w:type="dxa" w:w="3175"/>
          </w:tcPr>
          <w:p>
            <w:pPr>
              <w:pStyle w:val="TableText"/>
            </w:pPr>
            <w:r>
              <w:t>Öffentliche Mittel</w:t>
            </w:r>
          </w:p>
        </w:tc>
        <w:tc>
          <w:tcPr>
            <w:tcW w:type="dxa" w:w="3175"/>
          </w:tcPr>
          <w:p>
            <w:pPr>
              <w:pStyle w:val="TableText"/>
            </w:pPr>
            <w:r>
              <w:t>Welche Netto-Wirkung erzeugt ein Haushalts-Euro?</w:t>
            </w:r>
          </w:p>
        </w:tc>
        <w:tc>
          <w:tcPr>
            <w:tcW w:type="dxa" w:w="3175"/>
          </w:tcPr>
          <w:p>
            <w:pPr>
              <w:pStyle w:val="TableText"/>
            </w:pPr>
            <w:r>
              <w:t>Wirkungshaushalt, T-SROI, NWI</w:t>
            </w:r>
          </w:p>
        </w:tc>
      </w:tr>
    </w:tbl>
    <w:p>
      <w:pPr>
        <w:pStyle w:val="Heading2"/>
      </w:pPr>
      <w:r>
        <w:t>Daten, Digitalisierung und Datenschutz</w:t>
      </w:r>
    </w:p>
    <w:p>
      <w:pPr/>
      <w:r>
        <w:t>Wirkungsarchitektur benötigt Daten, aber sie darf nicht zum Überwachungsstaat werden. Die Datenlogik der WÖk richtet sich auf Produkte, Organisationen, Programme, Kapitalflüsse, Räume und Institutionen - nicht auf die moralische Bewertung einzelner Bürger:innen. Personenbezogene Daten müssen minimiert, zweckgebunden, geschützt und rechtlich überprüfbar verarbeitet werden.</w:t>
      </w:r>
    </w:p>
    <w:p>
      <w:pPr>
        <w:pStyle w:val="ListBullet"/>
      </w:pPr>
      <w:r>
        <w:t>Wirkungsdaten dienen der Verbesserung von Systemen, nicht der Bewertung des Wertes einzelner Menschen.</w:t>
      </w:r>
    </w:p>
    <w:p>
      <w:pPr>
        <w:pStyle w:val="ListBullet"/>
      </w:pPr>
      <w:r>
        <w:t>Wo Personen betroffen sind, gelten Transparenz, Zweckbindung, Widerspruch, Datenminimierung und Rechtsschutz.</w:t>
      </w:r>
    </w:p>
    <w:p>
      <w:pPr>
        <w:pStyle w:val="ListBullet"/>
      </w:pPr>
      <w:r>
        <w:t>Automatisierte Entscheidungen dürfen politische oder gerichtliche Kontrolle nicht ersetzen.</w:t>
      </w:r>
    </w:p>
    <w:p>
      <w:pPr>
        <w:pStyle w:val="ListBullet"/>
      </w:pPr>
      <w:r>
        <w:t>Öffentliche Datenräume brauchen offene Dokumentation, Versionierung und Missbrauchsschutz.</w:t>
      </w:r>
    </w:p>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Rückkopplungen so gestalten, dass Wirkung sichtbar wird, ohne demokratische Entscheidung zu ersetzen.</w:t>
            </w:r>
          </w:p>
        </w:tc>
      </w:tr>
      <w:tr>
        <w:tc>
          <w:tcPr>
            <w:tcW w:type="dxa" w:w="4762"/>
          </w:tcPr>
          <w:p>
            <w:pPr>
              <w:pStyle w:val="TableText"/>
            </w:pPr>
            <w:r>
              <w:t>Politische Rahmenbedingungen</w:t>
            </w:r>
          </w:p>
        </w:tc>
        <w:tc>
          <w:tcPr>
            <w:tcW w:type="dxa" w:w="4762"/>
          </w:tcPr>
          <w:p>
            <w:pPr>
              <w:pStyle w:val="TableText"/>
            </w:pPr>
            <w:r>
              <w:t>WStG, Wirkungshaushalt, Wirkungsfolgenabschätzung, Wirkungsrat, Dateninfrastruktur, kommunale Pilotierung.</w:t>
            </w:r>
          </w:p>
        </w:tc>
      </w:tr>
      <w:tr>
        <w:tc>
          <w:tcPr>
            <w:tcW w:type="dxa" w:w="4762"/>
          </w:tcPr>
          <w:p>
            <w:pPr>
              <w:pStyle w:val="TableText"/>
            </w:pPr>
            <w:r>
              <w:t>Ausgestaltungsspielraum</w:t>
            </w:r>
          </w:p>
        </w:tc>
        <w:tc>
          <w:tcPr>
            <w:tcW w:type="dxa" w:w="4762"/>
          </w:tcPr>
          <w:p>
            <w:pPr>
              <w:pStyle w:val="TableText"/>
            </w:pPr>
            <w:r>
              <w:t>Parteien können unterschiedliche Prioritäten setzen: Marktanreize, öffentliche Investition, Sozialschutz, Tempo, Verbindlichkeit.</w:t>
            </w:r>
          </w:p>
        </w:tc>
      </w:tr>
      <w:tr>
        <w:tc>
          <w:tcPr>
            <w:tcW w:type="dxa" w:w="4762"/>
          </w:tcPr>
          <w:p>
            <w:pPr>
              <w:pStyle w:val="TableText"/>
            </w:pPr>
            <w:r>
              <w:t>Zielkonflikte</w:t>
            </w:r>
          </w:p>
        </w:tc>
        <w:tc>
          <w:tcPr>
            <w:tcW w:type="dxa" w:w="4762"/>
          </w:tcPr>
          <w:p>
            <w:pPr>
              <w:pStyle w:val="TableText"/>
            </w:pPr>
            <w:r>
              <w:t>Freiheit, Datenschutz, Bürokratiearmut, Grundrechte, Kosten, Wettbewerbsfähigkeit, Föderalismus.</w:t>
            </w:r>
          </w:p>
        </w:tc>
      </w:tr>
      <w:tr>
        <w:tc>
          <w:tcPr>
            <w:tcW w:type="dxa" w:w="4762"/>
          </w:tcPr>
          <w:p>
            <w:pPr>
              <w:pStyle w:val="TableText"/>
            </w:pPr>
            <w:r>
              <w:t>Rollenverteilung</w:t>
            </w:r>
          </w:p>
        </w:tc>
        <w:tc>
          <w:tcPr>
            <w:tcW w:type="dxa" w:w="4762"/>
          </w:tcPr>
          <w:p>
            <w:pPr>
              <w:pStyle w:val="TableText"/>
            </w:pPr>
            <w:r>
              <w:t>EU, Bund, Länder, Kommunen, Verwaltung, Wissenschaft, Wirtschaft, Zivilgesellschaft und Gerichte tragen unterschiedliche Verantwortung.</w:t>
            </w:r>
          </w:p>
        </w:tc>
      </w:tr>
      <w:tr>
        <w:tc>
          <w:tcPr>
            <w:tcW w:type="dxa" w:w="4762"/>
          </w:tcPr>
          <w:p>
            <w:pPr>
              <w:pStyle w:val="TableText"/>
            </w:pPr>
            <w:r>
              <w:t>Übergang und Schutz</w:t>
            </w:r>
          </w:p>
        </w:tc>
        <w:tc>
          <w:tcPr>
            <w:tcW w:type="dxa" w:w="4762"/>
          </w:tcPr>
          <w:p>
            <w:pPr>
              <w:pStyle w:val="TableText"/>
            </w:pPr>
            <w:r>
              <w:t>Pilotfelder, Schwellenwerte, KMU-Schutz, Sozialausgleich, Revisionszyklen, keine Schockumstellung.</w:t>
            </w:r>
          </w:p>
        </w:tc>
      </w:tr>
      <w:tr>
        <w:tc>
          <w:tcPr>
            <w:tcW w:type="dxa" w:w="4762"/>
          </w:tcPr>
          <w:p>
            <w:pPr>
              <w:pStyle w:val="TableText"/>
            </w:pPr>
            <w:r>
              <w:t>Schutz vor Technokratie</w:t>
            </w:r>
          </w:p>
        </w:tc>
        <w:tc>
          <w:tcPr>
            <w:tcW w:type="dxa" w:w="4762"/>
          </w:tcPr>
          <w:p>
            <w:pPr>
              <w:pStyle w:val="TableText"/>
            </w:pPr>
            <w:r>
              <w:t>Daten informieren; Parlamente entscheiden; Gerichte kontrollieren; Öffentlichkeit widerspricht.</w:t>
            </w:r>
          </w:p>
        </w:tc>
      </w:tr>
    </w:tbl>
    <w:p>
      <w:pPr>
        <w:pStyle w:val="Heading2"/>
      </w:pPr>
      <w:r>
        <w:t>Quellen und Anschlussdokumente</w:t>
      </w:r>
    </w:p>
    <w:p>
      <w:pPr>
        <w:pStyle w:val="ListBullet"/>
      </w:pPr>
      <w:r>
        <w:t>Natalie Weber: Die neue Ordnung des Wohlstands, insbesondere Teile VI, X, XII, XIII, XIV und XVII.</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Natalie Weber: Systemmodell der Wirkungsökonomie, insbesondere Staat &amp; Recht, Medien &amp; Öffentlichkeit, Finanzsystem &amp; Kapital und Wissen/Digitalisierung.</w:t>
      </w:r>
    </w:p>
    <w:p>
      <w:pPr>
        <w:pStyle w:val="ListBullet"/>
      </w:pPr>
      <w:r>
        <w:t>Führender Begriffsleitfaden der Wirkungsökonomie, v1.0, Stand 21. Mai 2026.</w:t>
      </w:r>
    </w:p>
    <w:p>
      <w:pPr>
        <w:pStyle w:val="ListBullet"/>
      </w:pPr>
      <w:r>
        <w:t>Grundgesetz für die Bundesrepublik Deutschland: Menschenwürde, Demokratie, Rechtsstaat, Sozialstaat, Bundesstaat, Rechtsschutz und Art. 20a.</w:t>
      </w:r>
    </w:p>
    <w:p>
      <w:pPr>
        <w:pStyle w:val="ListBullet"/>
      </w:pPr>
      <w:r>
        <w:t>Bundesregierung: Deutsche Nachhaltigkeitsstrategie 2025 und Agenda-2030-Bezug.</w:t>
      </w:r>
    </w:p>
    <w:p>
      <w:pPr>
        <w:pStyle w:val="ListBullet"/>
      </w:pPr>
      <w:r>
        <w:t>UN Agenda 2030 und SDGs; SDG+ als transparente Erweiterung der Wirkungsökonomie.</w:t>
      </w:r>
    </w:p>
    <w:p>
      <w:pPr>
        <w:pStyle w:val="Heading2"/>
      </w:pPr>
      <w:r>
        <w:t>Fazit</w:t>
      </w:r>
    </w:p>
    <w:p>
      <w:pPr/>
      <w:r>
        <w:t>Der Staat als Wirkungsarchitektur ist kein allmächtiger Steuerstaat. Er ist eine demokratisch begrenzte Rückkopplungsordnung. Seine Stärke liegt nicht darin, alles zu wissen, sondern darin, Wirkung sichtbar zu machen, Fehlsteuerungen korrigierbar zu halten und die Grundlagen von Freiheit, Sicherheit, Wohlstand und Demokratie resilient zu schützen.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