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Demokratie, Rechtsstaat und SDG+ als Wirkungsraum</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Warum demokratische Qualität, Medienqualität, Rechtsstaatlichkeit und institutionelles Vertrauen Voraussetzungen jeder SDG-Umsetzung sind</w:t>
      </w:r>
    </w:p>
    <w:p>
      <w:pPr>
        <w:pStyle w:val="Heading2"/>
      </w:pPr>
      <w:r>
        <w:t>Kurzprofil</w:t>
      </w:r>
    </w:p>
    <w:p>
      <w:pPr>
        <w:pStyle w:val="ListBullet"/>
      </w:pPr>
      <w:r>
        <w:t>Dokumenttyp: Öffentliches Detailkonzept</w:t>
      </w:r>
    </w:p>
    <w:p>
      <w:pPr>
        <w:pStyle w:val="ListBullet"/>
      </w:pPr>
      <w:r>
        <w:t>Portal: Staat, Recht &amp; Demokratie</w:t>
      </w:r>
    </w:p>
    <w:p>
      <w:pPr>
        <w:pStyle w:val="ListBullet"/>
      </w:pPr>
      <w:r>
        <w:t>Unterbereich: Demokratie, Rechtsstaat, SDG+, institutionelles Vertrauen, gesellschaftlicher Zusammenhalt</w:t>
      </w:r>
    </w:p>
    <w:p>
      <w:pPr>
        <w:pStyle w:val="ListBullet"/>
      </w:pPr>
      <w:r>
        <w:t>Autorin: Natalie Weber · Wirkungsökonomie</w:t>
      </w:r>
    </w:p>
    <w:p>
      <w:pPr>
        <w:pStyle w:val="ListBullet"/>
      </w:pPr>
      <w:r>
        <w:t>Version: v1.0</w:t>
      </w:r>
    </w:p>
    <w:p>
      <w:pPr>
        <w:pStyle w:val="ListBullet"/>
      </w:pPr>
      <w:r>
        <w:t>Stand: 24. Mai 2026</w:t>
      </w:r>
    </w:p>
    <w:p>
      <w:pPr>
        <w:pStyle w:val="ListBullet"/>
      </w:pPr>
      <w:r>
        <w:t>Hinweis: keine Rechts-, Steuer-, Anlage- oder Politikberatung</w:t>
      </w:r>
    </w:p>
    <w:p>
      <w:pPr>
        <w:pStyle w:val="Heading2"/>
      </w:pPr>
      <w:r>
        <w:t>Executive Summary</w:t>
      </w:r>
    </w:p>
    <w:p>
      <w:pPr/>
      <w:r>
        <w:t>Dieses Detailkonzept erklärt, warum Demokratie, Rechtsstaatlichkeit, Medienqualität, Diskursfähigkeit, institutionelles Vertrauen, gesellschaftlicher Zusammenhalt und digitale Selbstbestimmung in der Wirkungsökonomie als SDG+ geführt werden. SDG+ ist keine offizielle UN-Kategorie, sondern eine transparente Erweiterung der Wirkungsökonomie. Sie ist notwendig, weil die SDGs ohne funktionierende demokratische und öffentliche Rückkopplung nicht stabil erreicht werden können.</w:t>
      </w:r>
    </w:p>
    <w:p>
      <w:pPr/>
      <w:r>
        <w:t>Die klassische SDG-Logik bildet viele soziale, ökologische und ökonomische Ziele ab. Doch eine digitale, mediale und politisch polarisierte Gesellschaft braucht zusätzliche Schutzdimensionen. Wenn Wahrheit, Vertrauen, Rechtsstaat, Medienqualität und Diskursfähigkeit erodieren, kippen auch Klima-, Bildungs-, Gesundheits-, Armuts- und Infrastrukturpolitik. Demokratie ist daher kein Nebenthema, sondern Wirkungsbedingung.</w:t>
      </w:r>
    </w:p>
    <w:p>
      <w:pPr/>
      <w:r>
        <w:t>Das Konzept unterscheidet Demokratie als Institutionenordnung, Demokratie als öffentlicher Resonanzraum und Demokratie als Korrektursystem. Die WÖk bewertet keine Parteipositionen als gut oder schlecht, sondern fragt: Stärken oder schwächen Handlungen die Bedingungen, unter denen demokratische Korrektur möglich bleibt?</w:t>
      </w:r>
    </w:p>
    <w:p>
      <w:pPr>
        <w:pStyle w:val="Heading2"/>
      </w:pPr>
      <w:r>
        <w:t>Ausgangsdiagnose: Warum SDGs allein nicht vollständig reichen</w:t>
      </w:r>
    </w:p>
    <w:p>
      <w:pPr/>
      <w:r>
        <w:t>Die SDGs sind der globale Zielrahmen. Sie umfassen Armut, Hunger, Gesundheit, Bildung, Gleichstellung, Wasser, Energie, Arbeit, Innovation, Ungleichheit, Städte, Konsum, Klima, Meere, Land, Institutionen und Partnerschaften. Sie sind damit ein enormer Fortschritt. Dennoch reichen sie für die Wirkungsökonomie nicht vollständig aus, weil moderne Risiken häufig im öffentlichen Resonanzraum entstehen: Desinformation, algorithmische Verstärkung, Vertrauensverlust, digitale Manipulation, institutionelle Delegitimierung und Diskurszerfall.</w:t>
      </w:r>
    </w:p>
    <w:p>
      <w:pPr/>
      <w:r>
        <w:t>Diese Risiken sind nicht nur kommunikative Nebenprobleme. Sie verändern politische Handlungsfähigkeit. Eine Gesellschaft kann wissenschaftliche Daten besitzen und dennoch nicht handeln, wenn ihre Öffentlichkeit vergiftet, ihre Institutionen delegitimiert und ihre Bürger:innen in Misstrauen gegeneinander geführt werden.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SDG-Zielbereich</w:t>
            </w:r>
          </w:p>
        </w:tc>
        <w:tc>
          <w:tcPr>
            <w:tcW w:type="dxa" w:w="3175"/>
            <w:shd w:fill="F6F1E8"/>
          </w:tcPr>
          <w:p>
            <w:pPr>
              <w:pStyle w:val="TableText"/>
            </w:pPr>
            <w:r>
              <w:rPr>
                <w:rFonts w:ascii="Source Sans 3" w:hAnsi="Source Sans 3" w:eastAsia="Source Sans 3"/>
                <w:b/>
                <w:color w:val="0B1020"/>
                <w:sz w:val="18"/>
              </w:rPr>
              <w:t>Demokratische Voraussetzung</w:t>
            </w:r>
          </w:p>
        </w:tc>
        <w:tc>
          <w:tcPr>
            <w:tcW w:type="dxa" w:w="3175"/>
            <w:shd w:fill="F6F1E8"/>
          </w:tcPr>
          <w:p>
            <w:pPr>
              <w:pStyle w:val="TableText"/>
            </w:pPr>
            <w:r>
              <w:rPr>
                <w:rFonts w:ascii="Source Sans 3" w:hAnsi="Source Sans 3" w:eastAsia="Source Sans 3"/>
                <w:b/>
                <w:color w:val="0B1020"/>
                <w:sz w:val="18"/>
              </w:rPr>
              <w:t>Risiko ohne SDG+</w:t>
            </w:r>
          </w:p>
        </w:tc>
      </w:tr>
      <w:tr>
        <w:tc>
          <w:tcPr>
            <w:tcW w:type="dxa" w:w="3175"/>
          </w:tcPr>
          <w:p>
            <w:pPr>
              <w:pStyle w:val="TableText"/>
            </w:pPr>
            <w:r>
              <w:t>Klimaschutz</w:t>
            </w:r>
          </w:p>
        </w:tc>
        <w:tc>
          <w:tcPr>
            <w:tcW w:type="dxa" w:w="3175"/>
          </w:tcPr>
          <w:p>
            <w:pPr>
              <w:pStyle w:val="TableText"/>
            </w:pPr>
            <w:r>
              <w:t>Vertrauen in Wissenschaft, faire Verteilung, handlungsfähige Institutionen</w:t>
            </w:r>
          </w:p>
        </w:tc>
        <w:tc>
          <w:tcPr>
            <w:tcW w:type="dxa" w:w="3175"/>
          </w:tcPr>
          <w:p>
            <w:pPr>
              <w:pStyle w:val="TableText"/>
            </w:pPr>
            <w:r>
              <w:t>Blockade, Polarisierung, Verzögerung</w:t>
            </w:r>
          </w:p>
        </w:tc>
      </w:tr>
      <w:tr>
        <w:tc>
          <w:tcPr>
            <w:tcW w:type="dxa" w:w="3175"/>
          </w:tcPr>
          <w:p>
            <w:pPr>
              <w:pStyle w:val="TableText"/>
            </w:pPr>
            <w:r>
              <w:t>Gesundheit</w:t>
            </w:r>
          </w:p>
        </w:tc>
        <w:tc>
          <w:tcPr>
            <w:tcW w:type="dxa" w:w="3175"/>
          </w:tcPr>
          <w:p>
            <w:pPr>
              <w:pStyle w:val="TableText"/>
            </w:pPr>
            <w:r>
              <w:t>Informationsqualität, Prävention, institutionelles Vertrauen</w:t>
            </w:r>
          </w:p>
        </w:tc>
        <w:tc>
          <w:tcPr>
            <w:tcW w:type="dxa" w:w="3175"/>
          </w:tcPr>
          <w:p>
            <w:pPr>
              <w:pStyle w:val="TableText"/>
            </w:pPr>
            <w:r>
              <w:t>Verschwörung, Fehlverhalten, Versorgungskrise</w:t>
            </w:r>
          </w:p>
        </w:tc>
      </w:tr>
      <w:tr>
        <w:tc>
          <w:tcPr>
            <w:tcW w:type="dxa" w:w="3175"/>
          </w:tcPr>
          <w:p>
            <w:pPr>
              <w:pStyle w:val="TableText"/>
            </w:pPr>
            <w:r>
              <w:t>Bildung</w:t>
            </w:r>
          </w:p>
        </w:tc>
        <w:tc>
          <w:tcPr>
            <w:tcW w:type="dxa" w:w="3175"/>
          </w:tcPr>
          <w:p>
            <w:pPr>
              <w:pStyle w:val="TableText"/>
            </w:pPr>
            <w:r>
              <w:t>Medienkompetenz, digitale Selbstbestimmung, Demokratiekompetenz</w:t>
            </w:r>
          </w:p>
        </w:tc>
        <w:tc>
          <w:tcPr>
            <w:tcW w:type="dxa" w:w="3175"/>
          </w:tcPr>
          <w:p>
            <w:pPr>
              <w:pStyle w:val="TableText"/>
            </w:pPr>
            <w:r>
              <w:t>Manipulierbarkeit, Desinformation, Teilhabeverlust</w:t>
            </w:r>
          </w:p>
        </w:tc>
      </w:tr>
      <w:tr>
        <w:tc>
          <w:tcPr>
            <w:tcW w:type="dxa" w:w="3175"/>
          </w:tcPr>
          <w:p>
            <w:pPr>
              <w:pStyle w:val="TableText"/>
            </w:pPr>
            <w:r>
              <w:t>Armut/Soziales</w:t>
            </w:r>
          </w:p>
        </w:tc>
        <w:tc>
          <w:tcPr>
            <w:tcW w:type="dxa" w:w="3175"/>
          </w:tcPr>
          <w:p>
            <w:pPr>
              <w:pStyle w:val="TableText"/>
            </w:pPr>
            <w:r>
              <w:t>Rechtsstaat, faire Verwaltung, gesellschaftlicher Zusammenhalt</w:t>
            </w:r>
          </w:p>
        </w:tc>
        <w:tc>
          <w:tcPr>
            <w:tcW w:type="dxa" w:w="3175"/>
          </w:tcPr>
          <w:p>
            <w:pPr>
              <w:pStyle w:val="TableText"/>
            </w:pPr>
            <w:r>
              <w:t>Misstrauen, Ressentiment, Entsolidarisierung</w:t>
            </w:r>
          </w:p>
        </w:tc>
      </w:tr>
      <w:tr>
        <w:tc>
          <w:tcPr>
            <w:tcW w:type="dxa" w:w="3175"/>
          </w:tcPr>
          <w:p>
            <w:pPr>
              <w:pStyle w:val="TableText"/>
            </w:pPr>
            <w:r>
              <w:t>Partnerschaften</w:t>
            </w:r>
          </w:p>
        </w:tc>
        <w:tc>
          <w:tcPr>
            <w:tcW w:type="dxa" w:w="3175"/>
          </w:tcPr>
          <w:p>
            <w:pPr>
              <w:pStyle w:val="TableText"/>
            </w:pPr>
            <w:r>
              <w:t>Kooperationsfähigkeit, Rechtsstaatlichkeit, Verlässlichkeit</w:t>
            </w:r>
          </w:p>
        </w:tc>
        <w:tc>
          <w:tcPr>
            <w:tcW w:type="dxa" w:w="3175"/>
          </w:tcPr>
          <w:p>
            <w:pPr>
              <w:pStyle w:val="TableText"/>
            </w:pPr>
            <w:r>
              <w:t>Nullsummendenken, geopolitische Blockade</w:t>
            </w:r>
          </w:p>
        </w:tc>
      </w:tr>
    </w:tbl>
    <w:p>
      <w:pPr>
        <w:pStyle w:val="Heading2"/>
      </w:pPr>
      <w:r>
        <w:t>SDG+ als transparente Erweiterung</w:t>
      </w:r>
    </w:p>
    <w:p>
      <w:pPr/>
      <w:r>
        <w:t>SDG+ ist in der Wirkungsökonomie kein Ersatz der SDGs und keine offizielle UN-Kategorie. Es ist eine zusätzliche Referenzebene für jene demokratischen, medialen und digitalen Systembedingungen, ohne die SDG-Umsetzung instabil bleibt. Diese Transparenz ist wichtig, damit keine Verwechslung mit dem UN-Rahmen entsteht.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SDG+-Dimension</w:t>
            </w:r>
          </w:p>
        </w:tc>
        <w:tc>
          <w:tcPr>
            <w:tcW w:type="dxa" w:w="3175"/>
            <w:shd w:fill="F6F1E8"/>
          </w:tcPr>
          <w:p>
            <w:pPr>
              <w:pStyle w:val="TableText"/>
            </w:pPr>
            <w:r>
              <w:rPr>
                <w:rFonts w:ascii="Source Sans 3" w:hAnsi="Source Sans 3" w:eastAsia="Source Sans 3"/>
                <w:b/>
                <w:color w:val="0B1020"/>
                <w:sz w:val="18"/>
              </w:rPr>
              <w:t>Kernfrage</w:t>
            </w:r>
          </w:p>
        </w:tc>
        <w:tc>
          <w:tcPr>
            <w:tcW w:type="dxa" w:w="3175"/>
            <w:shd w:fill="F6F1E8"/>
          </w:tcPr>
          <w:p>
            <w:pPr>
              <w:pStyle w:val="TableText"/>
            </w:pPr>
            <w:r>
              <w:rPr>
                <w:rFonts w:ascii="Source Sans 3" w:hAnsi="Source Sans 3" w:eastAsia="Source Sans 3"/>
                <w:b/>
                <w:color w:val="0B1020"/>
                <w:sz w:val="18"/>
              </w:rPr>
              <w:t>Typische Wirkungsrisiken</w:t>
            </w:r>
          </w:p>
        </w:tc>
      </w:tr>
      <w:tr>
        <w:tc>
          <w:tcPr>
            <w:tcW w:type="dxa" w:w="3175"/>
          </w:tcPr>
          <w:p>
            <w:pPr>
              <w:pStyle w:val="TableText"/>
            </w:pPr>
            <w:r>
              <w:t>Demokratie</w:t>
            </w:r>
          </w:p>
        </w:tc>
        <w:tc>
          <w:tcPr>
            <w:tcW w:type="dxa" w:w="3175"/>
          </w:tcPr>
          <w:p>
            <w:pPr>
              <w:pStyle w:val="TableText"/>
            </w:pPr>
            <w:r>
              <w:t>Bleibt politische Korrektur möglich?</w:t>
            </w:r>
          </w:p>
        </w:tc>
        <w:tc>
          <w:tcPr>
            <w:tcW w:type="dxa" w:w="3175"/>
          </w:tcPr>
          <w:p>
            <w:pPr>
              <w:pStyle w:val="TableText"/>
            </w:pPr>
            <w:r>
              <w:t>Autoritarismus, Wahlmanipulation, Entmündigung</w:t>
            </w:r>
          </w:p>
        </w:tc>
      </w:tr>
      <w:tr>
        <w:tc>
          <w:tcPr>
            <w:tcW w:type="dxa" w:w="3175"/>
          </w:tcPr>
          <w:p>
            <w:pPr>
              <w:pStyle w:val="TableText"/>
            </w:pPr>
            <w:r>
              <w:t>Rechtsstaatlichkeit</w:t>
            </w:r>
          </w:p>
        </w:tc>
        <w:tc>
          <w:tcPr>
            <w:tcW w:type="dxa" w:w="3175"/>
          </w:tcPr>
          <w:p>
            <w:pPr>
              <w:pStyle w:val="TableText"/>
            </w:pPr>
            <w:r>
              <w:t>Sind Rechte durchsetzbar und Macht begrenzt?</w:t>
            </w:r>
          </w:p>
        </w:tc>
        <w:tc>
          <w:tcPr>
            <w:tcW w:type="dxa" w:w="3175"/>
          </w:tcPr>
          <w:p>
            <w:pPr>
              <w:pStyle w:val="TableText"/>
            </w:pPr>
            <w:r>
              <w:t>Willkür, Korruption, fehlender Rechtsschutz</w:t>
            </w:r>
          </w:p>
        </w:tc>
      </w:tr>
      <w:tr>
        <w:tc>
          <w:tcPr>
            <w:tcW w:type="dxa" w:w="3175"/>
          </w:tcPr>
          <w:p>
            <w:pPr>
              <w:pStyle w:val="TableText"/>
            </w:pPr>
            <w:r>
              <w:t>Medienqualität</w:t>
            </w:r>
          </w:p>
        </w:tc>
        <w:tc>
          <w:tcPr>
            <w:tcW w:type="dxa" w:w="3175"/>
          </w:tcPr>
          <w:p>
            <w:pPr>
              <w:pStyle w:val="TableText"/>
            </w:pPr>
            <w:r>
              <w:t>Erhalten Menschen verlässliche Information?</w:t>
            </w:r>
          </w:p>
        </w:tc>
        <w:tc>
          <w:tcPr>
            <w:tcW w:type="dxa" w:w="3175"/>
          </w:tcPr>
          <w:p>
            <w:pPr>
              <w:pStyle w:val="TableText"/>
            </w:pPr>
            <w:r>
              <w:t>Desinformation, Oligopole, Klicklogik</w:t>
            </w:r>
          </w:p>
        </w:tc>
      </w:tr>
      <w:tr>
        <w:tc>
          <w:tcPr>
            <w:tcW w:type="dxa" w:w="3175"/>
          </w:tcPr>
          <w:p>
            <w:pPr>
              <w:pStyle w:val="TableText"/>
            </w:pPr>
            <w:r>
              <w:t>Diskursfähigkeit</w:t>
            </w:r>
          </w:p>
        </w:tc>
        <w:tc>
          <w:tcPr>
            <w:tcW w:type="dxa" w:w="3175"/>
          </w:tcPr>
          <w:p>
            <w:pPr>
              <w:pStyle w:val="TableText"/>
            </w:pPr>
            <w:r>
              <w:t>Kann Streit ohne Feindvernichtung geführt werden?</w:t>
            </w:r>
          </w:p>
        </w:tc>
        <w:tc>
          <w:tcPr>
            <w:tcW w:type="dxa" w:w="3175"/>
          </w:tcPr>
          <w:p>
            <w:pPr>
              <w:pStyle w:val="TableText"/>
            </w:pPr>
            <w:r>
              <w:t>Polarisierung, Hass, Eskalation</w:t>
            </w:r>
          </w:p>
        </w:tc>
      </w:tr>
      <w:tr>
        <w:tc>
          <w:tcPr>
            <w:tcW w:type="dxa" w:w="3175"/>
          </w:tcPr>
          <w:p>
            <w:pPr>
              <w:pStyle w:val="TableText"/>
            </w:pPr>
            <w:r>
              <w:t>Institutionelles Vertrauen</w:t>
            </w:r>
          </w:p>
        </w:tc>
        <w:tc>
          <w:tcPr>
            <w:tcW w:type="dxa" w:w="3175"/>
          </w:tcPr>
          <w:p>
            <w:pPr>
              <w:pStyle w:val="TableText"/>
            </w:pPr>
            <w:r>
              <w:t>Sind Institutionen glaubwürdig und überprüfbar?</w:t>
            </w:r>
          </w:p>
        </w:tc>
        <w:tc>
          <w:tcPr>
            <w:tcW w:type="dxa" w:w="3175"/>
          </w:tcPr>
          <w:p>
            <w:pPr>
              <w:pStyle w:val="TableText"/>
            </w:pPr>
            <w:r>
              <w:t>Delegitimierung, Intransparenz, Zynismus</w:t>
            </w:r>
          </w:p>
        </w:tc>
      </w:tr>
      <w:tr>
        <w:tc>
          <w:tcPr>
            <w:tcW w:type="dxa" w:w="3175"/>
          </w:tcPr>
          <w:p>
            <w:pPr>
              <w:pStyle w:val="TableText"/>
            </w:pPr>
            <w:r>
              <w:t>Gesellschaftlicher Zusammenhalt</w:t>
            </w:r>
          </w:p>
        </w:tc>
        <w:tc>
          <w:tcPr>
            <w:tcW w:type="dxa" w:w="3175"/>
          </w:tcPr>
          <w:p>
            <w:pPr>
              <w:pStyle w:val="TableText"/>
            </w:pPr>
            <w:r>
              <w:t>Bleibt Zugehörigkeit trotz Differenz möglich?</w:t>
            </w:r>
          </w:p>
        </w:tc>
        <w:tc>
          <w:tcPr>
            <w:tcW w:type="dxa" w:w="3175"/>
          </w:tcPr>
          <w:p>
            <w:pPr>
              <w:pStyle w:val="TableText"/>
            </w:pPr>
            <w:r>
              <w:t>Entsolidarisierung, Spaltung, Sündenböcke</w:t>
            </w:r>
          </w:p>
        </w:tc>
      </w:tr>
      <w:tr>
        <w:tc>
          <w:tcPr>
            <w:tcW w:type="dxa" w:w="3175"/>
          </w:tcPr>
          <w:p>
            <w:pPr>
              <w:pStyle w:val="TableText"/>
            </w:pPr>
            <w:r>
              <w:t>Digitale Selbstbestimmung</w:t>
            </w:r>
          </w:p>
        </w:tc>
        <w:tc>
          <w:tcPr>
            <w:tcW w:type="dxa" w:w="3175"/>
          </w:tcPr>
          <w:p>
            <w:pPr>
              <w:pStyle w:val="TableText"/>
            </w:pPr>
            <w:r>
              <w:t>Können Menschen in digitalen Räumen frei und geschützt handeln?</w:t>
            </w:r>
          </w:p>
        </w:tc>
        <w:tc>
          <w:tcPr>
            <w:tcW w:type="dxa" w:w="3175"/>
          </w:tcPr>
          <w:p>
            <w:pPr>
              <w:pStyle w:val="TableText"/>
            </w:pPr>
            <w:r>
              <w:t>Manipulation, Überwachung, algorithmische Abhängigkeit</w:t>
            </w:r>
          </w:p>
        </w:tc>
      </w:tr>
    </w:tbl>
    <w:p>
      <w:pPr>
        <w:pStyle w:val="Heading2"/>
      </w:pPr>
      <w:r>
        <w:t>Demokratie als Wirkungsraum</w:t>
      </w:r>
    </w:p>
    <w:p>
      <w:pPr/>
      <w:r>
        <w:t>Demokratie ist in der WÖk mehr als eine Wahlordnung. Sie ist ein Wirkungsraum, in dem Informationen, Erfahrungen, Konflikte, Werte, Bedürfnisse und Korrekturen öffentlich verhandelt werden. Wenn dieser Raum beschädigt wird, verliert eine Gesellschaft die Fähigkeit, ihre eigenen Fehlentwicklungen zu korrigieren.</w:t>
      </w:r>
    </w:p>
    <w:p>
      <w:pPr/>
      <w:r>
        <w:t>Deshalb wirken auch Sprache, Medien, Plattformlogiken, politische Programme, Kampagnen, Talkformate, Gerüchte, Deepfakes und öffentliche Framing-Strukturen. Nicht jede Äußerung ist bereits eingetretene Wirkung. Häufig entsteht zunächst Wirkungspotenzial. Aber Wirkungspotenziale können Zustände verändern, wenn sie Vertrauen, Angst, Zugehörigkeit, Feindbilder oder institutionelle Legitimation verschieben.</w:t>
      </w:r>
    </w:p>
    <w:p>
      <w:pPr>
        <w:pStyle w:val="Quote"/>
      </w:pPr>
      <w:r>
        <w:t>Demokratie als Korrekturraum</w:t>
      </w:r>
    </w:p>
    <w:p>
      <w:pPr>
        <w:pStyle w:val="Quote"/>
      </w:pPr>
      <w:r>
        <w:t>Eine Demokratie ist wirkungsökonomisch gesund, wenn sie Fehler erkennen, öffentlich bearbeiten, rechtlich kontrollieren und politisch korrigieren kann.</w:t>
      </w:r>
    </w:p>
    <w:p>
      <w:pPr>
        <w:pStyle w:val="Heading2"/>
      </w:pPr>
      <w:r>
        <w:t>Rechtsstaat als Wirkungsbedingung</w:t>
      </w:r>
    </w:p>
    <w:p>
      <w:pPr/>
      <w:r>
        <w:t>Rechtsstaatlichkeit ist keine Formalie. Sie ist die Bedingung dafür, dass Wirkungsmessung nicht zur Machttechnik wird. Ohne unabhängige Gerichte, begründete Entscheidungen, Rechtsschutz, Transparenz und Minderheitenschutz könnte jede Wirkungslogik politisch vereinnahmt werden.</w:t>
      </w:r>
    </w:p>
    <w:p>
      <w:pPr/>
      <w:r>
        <w:t>Die WÖk braucht daher einen starken Rechtsstaat, nicht weniger Rechtsstaat. Je mehr Wirkung in Steuerung einfließt, desto wichtiger werden Verfahren, Begründungen, Akteneinsicht, Datenqualität, Widerspruch und gerichtliche Kontrolle. Rechtsstaatlichkeit schützt Bürger:innen vor Staat, schützt Unternehmen vor Willkür und schützt die Wirkungsökonomie vor dem Missbrauch durch wechselnde Machtinteressen.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Rechtsstaatsfunktion</w:t>
            </w:r>
          </w:p>
        </w:tc>
        <w:tc>
          <w:tcPr>
            <w:tcW w:type="dxa" w:w="3175"/>
            <w:shd w:fill="F6F1E8"/>
          </w:tcPr>
          <w:p>
            <w:pPr>
              <w:pStyle w:val="TableText"/>
            </w:pPr>
            <w:r>
              <w:rPr>
                <w:rFonts w:ascii="Source Sans 3" w:hAnsi="Source Sans 3" w:eastAsia="Source Sans 3"/>
                <w:b/>
                <w:color w:val="0B1020"/>
                <w:sz w:val="18"/>
              </w:rPr>
              <w:t>WÖk-Bedeutung</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Begrenzung von Macht</w:t>
            </w:r>
          </w:p>
        </w:tc>
        <w:tc>
          <w:tcPr>
            <w:tcW w:type="dxa" w:w="3175"/>
          </w:tcPr>
          <w:p>
            <w:pPr>
              <w:pStyle w:val="TableText"/>
            </w:pPr>
            <w:r>
              <w:t>Wirkungsdaten dürfen nicht beliebig eingesetzt werden</w:t>
            </w:r>
          </w:p>
        </w:tc>
        <w:tc>
          <w:tcPr>
            <w:tcW w:type="dxa" w:w="3175"/>
          </w:tcPr>
          <w:p>
            <w:pPr>
              <w:pStyle w:val="TableText"/>
            </w:pPr>
            <w:r>
              <w:t>Rechtsschutz gegen Score-Fehler</w:t>
            </w:r>
          </w:p>
        </w:tc>
      </w:tr>
      <w:tr>
        <w:tc>
          <w:tcPr>
            <w:tcW w:type="dxa" w:w="3175"/>
          </w:tcPr>
          <w:p>
            <w:pPr>
              <w:pStyle w:val="TableText"/>
            </w:pPr>
            <w:r>
              <w:t>Verfahrenssicherheit</w:t>
            </w:r>
          </w:p>
        </w:tc>
        <w:tc>
          <w:tcPr>
            <w:tcW w:type="dxa" w:w="3175"/>
          </w:tcPr>
          <w:p>
            <w:pPr>
              <w:pStyle w:val="TableText"/>
            </w:pPr>
            <w:r>
              <w:t>Betroffene kennen Regeln und Nachweise</w:t>
            </w:r>
          </w:p>
        </w:tc>
        <w:tc>
          <w:tcPr>
            <w:tcW w:type="dxa" w:w="3175"/>
          </w:tcPr>
          <w:p>
            <w:pPr>
              <w:pStyle w:val="TableText"/>
            </w:pPr>
            <w:r>
              <w:t>transparentes WÖk-ID-Register</w:t>
            </w:r>
          </w:p>
        </w:tc>
      </w:tr>
      <w:tr>
        <w:tc>
          <w:tcPr>
            <w:tcW w:type="dxa" w:w="3175"/>
          </w:tcPr>
          <w:p>
            <w:pPr>
              <w:pStyle w:val="TableText"/>
            </w:pPr>
            <w:r>
              <w:t>Minderheitenschutz</w:t>
            </w:r>
          </w:p>
        </w:tc>
        <w:tc>
          <w:tcPr>
            <w:tcW w:type="dxa" w:w="3175"/>
          </w:tcPr>
          <w:p>
            <w:pPr>
              <w:pStyle w:val="TableText"/>
            </w:pPr>
            <w:r>
              <w:t>Mehrheitswirkung darf Würde nicht verletzen</w:t>
            </w:r>
          </w:p>
        </w:tc>
        <w:tc>
          <w:tcPr>
            <w:tcW w:type="dxa" w:w="3175"/>
          </w:tcPr>
          <w:p>
            <w:pPr>
              <w:pStyle w:val="TableText"/>
            </w:pPr>
            <w:r>
              <w:t>rote Linien bei Grundrechten</w:t>
            </w:r>
          </w:p>
        </w:tc>
      </w:tr>
      <w:tr>
        <w:tc>
          <w:tcPr>
            <w:tcW w:type="dxa" w:w="3175"/>
          </w:tcPr>
          <w:p>
            <w:pPr>
              <w:pStyle w:val="TableText"/>
            </w:pPr>
            <w:r>
              <w:t>Unabhängige Kontrolle</w:t>
            </w:r>
          </w:p>
        </w:tc>
        <w:tc>
          <w:tcPr>
            <w:tcW w:type="dxa" w:w="3175"/>
          </w:tcPr>
          <w:p>
            <w:pPr>
              <w:pStyle w:val="TableText"/>
            </w:pPr>
            <w:r>
              <w:t>Messung und Rechtsfolge werden überprüfbar</w:t>
            </w:r>
          </w:p>
        </w:tc>
        <w:tc>
          <w:tcPr>
            <w:tcW w:type="dxa" w:w="3175"/>
          </w:tcPr>
          <w:p>
            <w:pPr>
              <w:pStyle w:val="TableText"/>
            </w:pPr>
            <w:r>
              <w:t>Gerichte, Wirkungsrat, parlamentarische Kontrolle</w:t>
            </w:r>
          </w:p>
        </w:tc>
      </w:tr>
    </w:tbl>
    <w:p>
      <w:pPr>
        <w:pStyle w:val="Heading2"/>
      </w:pPr>
      <w:r>
        <w:t>Medienqualität und öffentliche Wahrheit</w:t>
      </w:r>
    </w:p>
    <w:p>
      <w:pPr/>
      <w:r>
        <w:t>Öffentliche Wahrheit ist keine absolute Wahrheitshoheit. Sie bedeutet, dass eine Gesellschaft über verlässliche Verfahren verfügt, um Tatsachen zu prüfen, Unsicherheit zu markieren, Fehler zu korrigieren und bewusste Manipulation zu begrenzen. Ohne solche Verfahren kann keine Wirkungspolitik stabil werden.</w:t>
      </w:r>
    </w:p>
    <w:p>
      <w:pPr/>
      <w:r>
        <w:t>Medienqualität ist deshalb eine SDG+-Dimension. Sie betrifft Quellenklarheit, Korrekturfähigkeit, Trennung von Nachricht und Meinung, journalistische Verantwortung, Plattformtransparenz, algorithmische Verstärkung und Schutz vor Desinformation. Die WÖk bewertet dabei nicht Meinungen. Sie bewertet die Bedingungen öffentlicher Rückkopplung.</w:t>
      </w:r>
    </w:p>
    <w:p>
      <w:pPr>
        <w:pStyle w:val="ListBullet"/>
      </w:pPr>
      <w:r>
        <w:t>Quellenklarheit: Bürger:innen müssen nachvollziehen können, woher Informationen kommen.</w:t>
      </w:r>
    </w:p>
    <w:p>
      <w:pPr>
        <w:pStyle w:val="ListBullet"/>
      </w:pPr>
      <w:r>
        <w:t>Korrekturfähigkeit: Fehler müssen sichtbar berichtigt werden können.</w:t>
      </w:r>
    </w:p>
    <w:p>
      <w:pPr>
        <w:pStyle w:val="ListBullet"/>
      </w:pPr>
      <w:r>
        <w:t>Pluralität: Öffentlichkeit darf nicht durch Monopole oder Oligopole verengt werden.</w:t>
      </w:r>
    </w:p>
    <w:p>
      <w:pPr>
        <w:pStyle w:val="ListBullet"/>
      </w:pPr>
      <w:r>
        <w:t>Algorithmische Transparenz: Reichweite darf nicht nur Erregung, Hass und Manipulation belohnen.</w:t>
      </w:r>
    </w:p>
    <w:p>
      <w:pPr>
        <w:pStyle w:val="ListBullet"/>
      </w:pPr>
      <w:r>
        <w:t>Schutz vor hybrider Einflussnahme: Demokratien brauchen Resilienz gegen systematische Desinformation.</w:t>
      </w:r>
    </w:p>
    <w:p>
      <w:pPr>
        <w:pStyle w:val="Heading2"/>
      </w:pPr>
      <w:r>
        <w:t>Politische Programme als Wirkungsversprechen</w:t>
      </w:r>
    </w:p>
    <w:p>
      <w:pPr/>
      <w:r>
        <w:t>Parteien wirken nicht erst, wenn sie regieren. Sie wirken durch Sprache, Programme, Prioritäten, Frames, Normalisierung, Mobilisierung und die Art, wie sie Konflikte strukturieren. Ein wirkungsökonomischer Blick auf Politik heißt aber nicht, Parteien zu ranken oder eine Wahrheitspolitik zu verordnen. Er fragt, ob Programme ihre Wirkungsannahmen offenlegen und ob sie Mensch, Planet und Demokratie stärken oder schwächen können.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Prüffeld</w:t>
            </w:r>
          </w:p>
        </w:tc>
        <w:tc>
          <w:tcPr>
            <w:tcW w:type="dxa" w:w="3175"/>
            <w:shd w:fill="F6F1E8"/>
          </w:tcPr>
          <w:p>
            <w:pPr>
              <w:pStyle w:val="TableText"/>
            </w:pPr>
            <w:r>
              <w:rPr>
                <w:rFonts w:ascii="Source Sans 3" w:hAnsi="Source Sans 3" w:eastAsia="Source Sans 3"/>
                <w:b/>
                <w:color w:val="0B1020"/>
                <w:sz w:val="18"/>
              </w:rPr>
              <w:t>Leitfrage</w:t>
            </w:r>
          </w:p>
        </w:tc>
        <w:tc>
          <w:tcPr>
            <w:tcW w:type="dxa" w:w="3175"/>
            <w:shd w:fill="F6F1E8"/>
          </w:tcPr>
          <w:p>
            <w:pPr>
              <w:pStyle w:val="TableText"/>
            </w:pPr>
            <w:r>
              <w:rPr>
                <w:rFonts w:ascii="Source Sans 3" w:hAnsi="Source Sans 3" w:eastAsia="Source Sans 3"/>
                <w:b/>
                <w:color w:val="0B1020"/>
                <w:sz w:val="18"/>
              </w:rPr>
              <w:t>Keine WÖk-Aufgabe</w:t>
            </w:r>
          </w:p>
        </w:tc>
      </w:tr>
      <w:tr>
        <w:tc>
          <w:tcPr>
            <w:tcW w:type="dxa" w:w="3175"/>
          </w:tcPr>
          <w:p>
            <w:pPr>
              <w:pStyle w:val="TableText"/>
            </w:pPr>
            <w:r>
              <w:t>Programmwirkung</w:t>
            </w:r>
          </w:p>
        </w:tc>
        <w:tc>
          <w:tcPr>
            <w:tcW w:type="dxa" w:w="3175"/>
          </w:tcPr>
          <w:p>
            <w:pPr>
              <w:pStyle w:val="TableText"/>
            </w:pPr>
            <w:r>
              <w:t>Welche Zustandsveränderung wird versprochen?</w:t>
            </w:r>
          </w:p>
        </w:tc>
        <w:tc>
          <w:tcPr>
            <w:tcW w:type="dxa" w:w="3175"/>
          </w:tcPr>
          <w:p>
            <w:pPr>
              <w:pStyle w:val="TableText"/>
            </w:pPr>
            <w:r>
              <w:t>Parteipolitische Präferenz vorgeben</w:t>
            </w:r>
          </w:p>
        </w:tc>
      </w:tr>
      <w:tr>
        <w:tc>
          <w:tcPr>
            <w:tcW w:type="dxa" w:w="3175"/>
          </w:tcPr>
          <w:p>
            <w:pPr>
              <w:pStyle w:val="TableText"/>
            </w:pPr>
            <w:r>
              <w:t>Finanzierung</w:t>
            </w:r>
          </w:p>
        </w:tc>
        <w:tc>
          <w:tcPr>
            <w:tcW w:type="dxa" w:w="3175"/>
          </w:tcPr>
          <w:p>
            <w:pPr>
              <w:pStyle w:val="TableText"/>
            </w:pPr>
            <w:r>
              <w:t>Wie wird Wirkung finanziert und abgesichert?</w:t>
            </w:r>
          </w:p>
        </w:tc>
        <w:tc>
          <w:tcPr>
            <w:tcW w:type="dxa" w:w="3175"/>
          </w:tcPr>
          <w:p>
            <w:pPr>
              <w:pStyle w:val="TableText"/>
            </w:pPr>
            <w:r>
              <w:t>einzig richtige Steuerpolitik behaupten</w:t>
            </w:r>
          </w:p>
        </w:tc>
      </w:tr>
      <w:tr>
        <w:tc>
          <w:tcPr>
            <w:tcW w:type="dxa" w:w="3175"/>
          </w:tcPr>
          <w:p>
            <w:pPr>
              <w:pStyle w:val="TableText"/>
            </w:pPr>
            <w:r>
              <w:t>Sprache</w:t>
            </w:r>
          </w:p>
        </w:tc>
        <w:tc>
          <w:tcPr>
            <w:tcW w:type="dxa" w:w="3175"/>
          </w:tcPr>
          <w:p>
            <w:pPr>
              <w:pStyle w:val="TableText"/>
            </w:pPr>
            <w:r>
              <w:t>Stärkt Sprache Korrektur, Vertrauen und Streitfähigkeit?</w:t>
            </w:r>
          </w:p>
        </w:tc>
        <w:tc>
          <w:tcPr>
            <w:tcW w:type="dxa" w:w="3175"/>
          </w:tcPr>
          <w:p>
            <w:pPr>
              <w:pStyle w:val="TableText"/>
            </w:pPr>
            <w:r>
              <w:t>Meinungen zensieren</w:t>
            </w:r>
          </w:p>
        </w:tc>
      </w:tr>
      <w:tr>
        <w:tc>
          <w:tcPr>
            <w:tcW w:type="dxa" w:w="3175"/>
          </w:tcPr>
          <w:p>
            <w:pPr>
              <w:pStyle w:val="TableText"/>
            </w:pPr>
            <w:r>
              <w:t>Zielkonflikte</w:t>
            </w:r>
          </w:p>
        </w:tc>
        <w:tc>
          <w:tcPr>
            <w:tcW w:type="dxa" w:w="3175"/>
          </w:tcPr>
          <w:p>
            <w:pPr>
              <w:pStyle w:val="TableText"/>
            </w:pPr>
            <w:r>
              <w:t>Wer trägt Kosten, wer profitiert, wer wird geschützt?</w:t>
            </w:r>
          </w:p>
        </w:tc>
        <w:tc>
          <w:tcPr>
            <w:tcW w:type="dxa" w:w="3175"/>
          </w:tcPr>
          <w:p>
            <w:pPr>
              <w:pStyle w:val="TableText"/>
            </w:pPr>
            <w:r>
              <w:t>politischen Streit abschaffen</w:t>
            </w:r>
          </w:p>
        </w:tc>
      </w:tr>
      <w:tr>
        <w:tc>
          <w:tcPr>
            <w:tcW w:type="dxa" w:w="3175"/>
          </w:tcPr>
          <w:p>
            <w:pPr>
              <w:pStyle w:val="TableText"/>
            </w:pPr>
            <w:r>
              <w:t>Datenlage</w:t>
            </w:r>
          </w:p>
        </w:tc>
        <w:tc>
          <w:tcPr>
            <w:tcW w:type="dxa" w:w="3175"/>
          </w:tcPr>
          <w:p>
            <w:pPr>
              <w:pStyle w:val="TableText"/>
            </w:pPr>
            <w:r>
              <w:t>Welche Annahmen sind belegt, unsicher oder umstritten?</w:t>
            </w:r>
          </w:p>
        </w:tc>
        <w:tc>
          <w:tcPr>
            <w:tcW w:type="dxa" w:w="3175"/>
          </w:tcPr>
          <w:p>
            <w:pPr>
              <w:pStyle w:val="TableText"/>
            </w:pPr>
            <w:r>
              <w:t>Expertenherrschaft errichten</w:t>
            </w:r>
          </w:p>
        </w:tc>
      </w:tr>
    </w:tbl>
    <w:p>
      <w:pPr>
        <w:pStyle w:val="Heading2"/>
      </w:pPr>
      <w:r>
        <w:t>Messung ohne Demokratie-Ranking</w:t>
      </w:r>
    </w:p>
    <w:p>
      <w:pPr/>
      <w:r>
        <w:t>Demokratische Wirkungen lassen sich nicht so messen wie CO2 pro Kilowattstunde. Viele Wirkungen entstehen als Potenziale, Resonanzräume, Vertrauensverschiebungen und institutionelle Prozesse. Deshalb braucht dieser Bereich besonders sorgfältige Sprache: Nicht jede politische Aussage erzeugt sofort Wirkung. Aber wiederholte Frames, Desinformation oder Delegitimierung können Wirkungsrisiken erzeugen.</w:t>
      </w:r>
    </w:p>
    <w:p>
      <w:pPr/>
      <w:r>
        <w:t>Wichtig ist: Die WÖk soll keine Bürger:innen, Parteien oder Meinungen sozial krediten. Sie soll Wirkungsbedingungen sichtbar machen. Bewertet werden Strukturen, Programme, Informationsqualität, Transparenz, Korrekturfähigkeit und institutionelle Risiken - nicht die moralische Würde politischer Gegner.</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Messbar eher quantitativ</w:t>
            </w:r>
          </w:p>
        </w:tc>
        <w:tc>
          <w:tcPr>
            <w:tcW w:type="dxa" w:w="3175"/>
            <w:shd w:fill="F6F1E8"/>
          </w:tcPr>
          <w:p>
            <w:pPr>
              <w:pStyle w:val="TableText"/>
            </w:pPr>
            <w:r>
              <w:rPr>
                <w:rFonts w:ascii="Source Sans 3" w:hAnsi="Source Sans 3" w:eastAsia="Source Sans 3"/>
                <w:b/>
                <w:color w:val="0B1020"/>
                <w:sz w:val="18"/>
              </w:rPr>
              <w:t>Messbar eher qualitativ</w:t>
            </w:r>
          </w:p>
        </w:tc>
        <w:tc>
          <w:tcPr>
            <w:tcW w:type="dxa" w:w="3175"/>
            <w:shd w:fill="F6F1E8"/>
          </w:tcPr>
          <w:p>
            <w:pPr>
              <w:pStyle w:val="TableText"/>
            </w:pPr>
            <w:r>
              <w:rPr>
                <w:rFonts w:ascii="Source Sans 3" w:hAnsi="Source Sans 3" w:eastAsia="Source Sans 3"/>
                <w:b/>
                <w:color w:val="0B1020"/>
                <w:sz w:val="18"/>
              </w:rPr>
              <w:t>Schutzregel</w:t>
            </w:r>
          </w:p>
        </w:tc>
      </w:tr>
      <w:tr>
        <w:tc>
          <w:tcPr>
            <w:tcW w:type="dxa" w:w="3175"/>
          </w:tcPr>
          <w:p>
            <w:pPr>
              <w:pStyle w:val="TableText"/>
            </w:pPr>
            <w:r>
              <w:t>Transparenzdaten, Beteiligung, Beschwerdewege</w:t>
            </w:r>
          </w:p>
        </w:tc>
        <w:tc>
          <w:tcPr>
            <w:tcW w:type="dxa" w:w="3175"/>
          </w:tcPr>
          <w:p>
            <w:pPr>
              <w:pStyle w:val="TableText"/>
            </w:pPr>
            <w:r>
              <w:t>Diskursqualität, Vertrauenslage, Polarisierung</w:t>
            </w:r>
          </w:p>
        </w:tc>
        <w:tc>
          <w:tcPr>
            <w:tcW w:type="dxa" w:w="3175"/>
          </w:tcPr>
          <w:p>
            <w:pPr>
              <w:pStyle w:val="TableText"/>
            </w:pPr>
            <w:r>
              <w:t>Methoden offenlegen</w:t>
            </w:r>
          </w:p>
        </w:tc>
      </w:tr>
      <w:tr>
        <w:tc>
          <w:tcPr>
            <w:tcW w:type="dxa" w:w="3175"/>
          </w:tcPr>
          <w:p>
            <w:pPr>
              <w:pStyle w:val="TableText"/>
            </w:pPr>
            <w:r>
              <w:t>Medienkonzentration, Quellenangaben, Korrekturen</w:t>
            </w:r>
          </w:p>
        </w:tc>
        <w:tc>
          <w:tcPr>
            <w:tcW w:type="dxa" w:w="3175"/>
          </w:tcPr>
          <w:p>
            <w:pPr>
              <w:pStyle w:val="TableText"/>
            </w:pPr>
            <w:r>
              <w:t>Framing, Tonalität, Resonanzräume</w:t>
            </w:r>
          </w:p>
        </w:tc>
        <w:tc>
          <w:tcPr>
            <w:tcW w:type="dxa" w:w="3175"/>
          </w:tcPr>
          <w:p>
            <w:pPr>
              <w:pStyle w:val="TableText"/>
            </w:pPr>
            <w:r>
              <w:t>keine Inhaltszensur</w:t>
            </w:r>
          </w:p>
        </w:tc>
      </w:tr>
      <w:tr>
        <w:tc>
          <w:tcPr>
            <w:tcW w:type="dxa" w:w="3175"/>
          </w:tcPr>
          <w:p>
            <w:pPr>
              <w:pStyle w:val="TableText"/>
            </w:pPr>
            <w:r>
              <w:t>Verfahrensdauer, Rechtsschutzzugang</w:t>
            </w:r>
          </w:p>
        </w:tc>
        <w:tc>
          <w:tcPr>
            <w:tcW w:type="dxa" w:w="3175"/>
          </w:tcPr>
          <w:p>
            <w:pPr>
              <w:pStyle w:val="TableText"/>
            </w:pPr>
            <w:r>
              <w:t>institutionelle Glaubwürdigkeit</w:t>
            </w:r>
          </w:p>
        </w:tc>
        <w:tc>
          <w:tcPr>
            <w:tcW w:type="dxa" w:w="3175"/>
          </w:tcPr>
          <w:p>
            <w:pPr>
              <w:pStyle w:val="TableText"/>
            </w:pPr>
            <w:r>
              <w:t>gerichtliche Kontrolle sichern</w:t>
            </w:r>
          </w:p>
        </w:tc>
      </w:tr>
      <w:tr>
        <w:tc>
          <w:tcPr>
            <w:tcW w:type="dxa" w:w="3175"/>
          </w:tcPr>
          <w:p>
            <w:pPr>
              <w:pStyle w:val="TableText"/>
            </w:pPr>
            <w:r>
              <w:t>Plattformdaten, Reichweitenlogik</w:t>
            </w:r>
          </w:p>
        </w:tc>
        <w:tc>
          <w:tcPr>
            <w:tcW w:type="dxa" w:w="3175"/>
          </w:tcPr>
          <w:p>
            <w:pPr>
              <w:pStyle w:val="TableText"/>
            </w:pPr>
            <w:r>
              <w:t>hybride Einflussnahme, Manipulationsrisiken</w:t>
            </w:r>
          </w:p>
        </w:tc>
        <w:tc>
          <w:tcPr>
            <w:tcW w:type="dxa" w:w="3175"/>
          </w:tcPr>
          <w:p>
            <w:pPr>
              <w:pStyle w:val="TableText"/>
            </w:pPr>
            <w:r>
              <w:t>unabhängige Prüfung</w:t>
            </w:r>
          </w:p>
        </w:tc>
      </w:tr>
    </w:tbl>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Demokratische Systemqualität als Voraussetzung von SDG-Umsetzung sichtbar und schützbar machen.</w:t>
            </w:r>
          </w:p>
        </w:tc>
      </w:tr>
      <w:tr>
        <w:tc>
          <w:tcPr>
            <w:tcW w:type="dxa" w:w="4762"/>
          </w:tcPr>
          <w:p>
            <w:pPr>
              <w:pStyle w:val="TableText"/>
            </w:pPr>
            <w:r>
              <w:t>Politische Rahmenbedingungen</w:t>
            </w:r>
          </w:p>
        </w:tc>
        <w:tc>
          <w:tcPr>
            <w:tcW w:type="dxa" w:w="4762"/>
          </w:tcPr>
          <w:p>
            <w:pPr>
              <w:pStyle w:val="TableText"/>
            </w:pPr>
            <w:r>
              <w:t>Medienqualität, Rechtsstaatlichkeit, Diskursschutz, Plattformtransparenz, Beteiligung, institutionelle Integrität.</w:t>
            </w:r>
          </w:p>
        </w:tc>
      </w:tr>
      <w:tr>
        <w:tc>
          <w:tcPr>
            <w:tcW w:type="dxa" w:w="4762"/>
          </w:tcPr>
          <w:p>
            <w:pPr>
              <w:pStyle w:val="TableText"/>
            </w:pPr>
            <w:r>
              <w:t>Ausgestaltungsspielraum</w:t>
            </w:r>
          </w:p>
        </w:tc>
        <w:tc>
          <w:tcPr>
            <w:tcW w:type="dxa" w:w="4762"/>
          </w:tcPr>
          <w:p>
            <w:pPr>
              <w:pStyle w:val="TableText"/>
            </w:pPr>
            <w:r>
              <w:t>Konservative, liberale, sozialdemokratische, grüne, linke und kommunale Perspektiven können unterschiedliche Instrumente wählen.</w:t>
            </w:r>
          </w:p>
        </w:tc>
      </w:tr>
      <w:tr>
        <w:tc>
          <w:tcPr>
            <w:tcW w:type="dxa" w:w="4762"/>
          </w:tcPr>
          <w:p>
            <w:pPr>
              <w:pStyle w:val="TableText"/>
            </w:pPr>
            <w:r>
              <w:t>Zielkonflikte</w:t>
            </w:r>
          </w:p>
        </w:tc>
        <w:tc>
          <w:tcPr>
            <w:tcW w:type="dxa" w:w="4762"/>
          </w:tcPr>
          <w:p>
            <w:pPr>
              <w:pStyle w:val="TableText"/>
            </w:pPr>
            <w:r>
              <w:t>Meinungsfreiheit vs. Manipulationsschutz, Transparenz vs. Datenschutz, Plattformregulierung vs. offene Debatte.</w:t>
            </w:r>
          </w:p>
        </w:tc>
      </w:tr>
      <w:tr>
        <w:tc>
          <w:tcPr>
            <w:tcW w:type="dxa" w:w="4762"/>
          </w:tcPr>
          <w:p>
            <w:pPr>
              <w:pStyle w:val="TableText"/>
            </w:pPr>
            <w:r>
              <w:t>Übergang und Schutz</w:t>
            </w:r>
          </w:p>
        </w:tc>
        <w:tc>
          <w:tcPr>
            <w:tcW w:type="dxa" w:w="4762"/>
          </w:tcPr>
          <w:p>
            <w:pPr>
              <w:pStyle w:val="TableText"/>
            </w:pPr>
            <w:r>
              <w:t>Keine Zensurarchitektur, klare Abgrenzung Meinung/Manipulation, gerichtliche Kontrolle, offene Standards.</w:t>
            </w:r>
          </w:p>
        </w:tc>
      </w:tr>
      <w:tr>
        <w:tc>
          <w:tcPr>
            <w:tcW w:type="dxa" w:w="4762"/>
          </w:tcPr>
          <w:p>
            <w:pPr>
              <w:pStyle w:val="TableText"/>
            </w:pPr>
            <w:r>
              <w:t>Evaluation und Korrektur</w:t>
            </w:r>
          </w:p>
        </w:tc>
        <w:tc>
          <w:tcPr>
            <w:tcW w:type="dxa" w:w="4762"/>
          </w:tcPr>
          <w:p>
            <w:pPr>
              <w:pStyle w:val="TableText"/>
            </w:pPr>
            <w:r>
              <w:t>Wirkungsberichte, öffentliche Konsultation, unabhängige Forschung, Medien- und Plattformdaten.</w:t>
            </w:r>
          </w:p>
        </w:tc>
      </w:tr>
      <w:tr>
        <w:tc>
          <w:tcPr>
            <w:tcW w:type="dxa" w:w="4762"/>
          </w:tcPr>
          <w:p>
            <w:pPr>
              <w:pStyle w:val="TableText"/>
            </w:pPr>
            <w:r>
              <w:t>Schutz vor Technokratie</w:t>
            </w:r>
          </w:p>
        </w:tc>
        <w:tc>
          <w:tcPr>
            <w:tcW w:type="dxa" w:w="4762"/>
          </w:tcPr>
          <w:p>
            <w:pPr>
              <w:pStyle w:val="TableText"/>
            </w:pPr>
            <w:r>
              <w:t>Demokratie wird nicht durch Scores ersetzt; Scores zeigen Risikobedingungen und blinde Flecken.</w:t>
            </w:r>
          </w:p>
        </w:tc>
      </w:tr>
    </w:tbl>
    <w:p>
      <w:pPr>
        <w:pStyle w:val="Heading2"/>
      </w:pPr>
      <w:r>
        <w:t>Quellen und Anschlussdokumente</w:t>
      </w:r>
    </w:p>
    <w:p>
      <w:pPr>
        <w:pStyle w:val="ListBullet"/>
      </w:pPr>
      <w:r>
        <w:t>Natalie Weber: Die neue Ordnung des Wohlstands, insbesondere Teile VI, X, XII, XIII, XIV und XVII.</w:t>
      </w:r>
    </w:p>
    <w:p>
      <w:pPr>
        <w:pStyle w:val="ListBullet"/>
      </w:pPr>
      <w:r>
        <w:t>Natalie Weber: Working-Paper Wirkungssteuergesetz (WStG), Oktober 2025.</w:t>
      </w:r>
    </w:p>
    <w:p>
      <w:pPr>
        <w:pStyle w:val="ListBullet"/>
      </w:pPr>
      <w:r>
        <w:t>Natalie Weber: Der Wirkungsrat - Institutionelle Verankerung der Wirkungsökonomie, September 2025.</w:t>
      </w:r>
    </w:p>
    <w:p>
      <w:pPr>
        <w:pStyle w:val="ListBullet"/>
      </w:pPr>
      <w:r>
        <w:t>Natalie Weber: Systemmodell der Wirkungsökonomie, insbesondere Staat &amp; Recht, Medien &amp; Öffentlichkeit, Finanzsystem &amp; Kapital und Wissen/Digitalisierung.</w:t>
      </w:r>
    </w:p>
    <w:p>
      <w:pPr>
        <w:pStyle w:val="ListBullet"/>
      </w:pPr>
      <w:r>
        <w:t>Führender Begriffsleitfaden der Wirkungsökonomie, v1.0, Stand 21. Mai 2026.</w:t>
      </w:r>
    </w:p>
    <w:p>
      <w:pPr>
        <w:pStyle w:val="ListBullet"/>
      </w:pPr>
      <w:r>
        <w:t>Grundgesetz für die Bundesrepublik Deutschland: Menschenwürde, Demokratie, Rechtsstaat, Sozialstaat, Bundesstaat, Rechtsschutz und Art. 20a.</w:t>
      </w:r>
    </w:p>
    <w:p>
      <w:pPr>
        <w:pStyle w:val="ListBullet"/>
      </w:pPr>
      <w:r>
        <w:t>Bundesregierung: Deutsche Nachhaltigkeitsstrategie 2025 und Agenda-2030-Bezug.</w:t>
      </w:r>
    </w:p>
    <w:p>
      <w:pPr>
        <w:pStyle w:val="ListBullet"/>
      </w:pPr>
      <w:r>
        <w:t>UN Agenda 2030 und SDGs; SDG+ als transparente Erweiterung der Wirkungsökonomie.</w:t>
      </w:r>
    </w:p>
    <w:p>
      <w:pPr>
        <w:pStyle w:val="Heading2"/>
      </w:pPr>
      <w:r>
        <w:t>Fazit</w:t>
      </w:r>
    </w:p>
    <w:p>
      <w:pPr/>
      <w:r>
        <w:t>SDG+ macht sichtbar, dass demokratische Qualität, Rechtsstaatlichkeit, Medienqualität und institutionelles Vertrauen keine weichen Zusatzwerte sind. Sie sind die Infrastruktur, ohne die eine Gesellschaft ihre SDG-Ziele nicht dauerhaft erreichen, korrigieren oder verteidigen kann. Demokratie ist damit selbst ein Wirkungsraum - und zugleich der Schutzraum, der Wirkungsökonomie vor Dogma, Technokratie und Machtmissbrauch bewahrt.</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