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Governance, Boni und Anreizsysteme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Vergütung und Governance richten sich oft an Umsatz, Marge, Aktienkurs, Kostenreduktion oder kurzfristigen Wachstumszielen aus.</w:t>
      </w:r>
    </w:p>
    <w:p>
      <w:pPr>
        <w:pStyle w:val="Heading1"/>
      </w:pPr>
      <w:r>
        <w:t>2. Wirkungsökonomischer Perspektivwechsel</w:t>
      </w:r>
    </w:p>
    <w:p>
      <w:pPr/>
      <w:r>
        <w:t>Wirkungsorientierte Governance koppelt Managementziele und Boni an Netto-Wirkung, Transformation, Lieferkettenqualität, Resilienz, Produktwirkung, Mitarbeitendengesundheit, Datenqualität und demokratische Integrität.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Governance, Boni und Anreizsysteme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/wirkungsfelder/wirtschaft-unternehmen/detailkonzepte/governance_boni_anreizsysteme/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