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Impact Controlling im Unternehmen: KII statt nur KPI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Klassisches Controlling misst Umsatz, Kosten, Marge, Effizienz und Planabweichung. Nachhaltigkeitsdaten bleiben daneben und gelangen selten in operative Entscheidungen.</w:t>
      </w:r>
    </w:p>
    <w:p>
      <w:pPr>
        <w:pStyle w:val="Heading1"/>
      </w:pPr>
      <w:r>
        <w:t>2. Wirkungsökonomischer Perspektivwechsel</w:t>
      </w:r>
    </w:p>
    <w:p>
      <w:pPr/>
      <w:r>
        <w:t>Impact Controlling verbindet KPI mit Key Impact Indicators. Scorecards, NWI, T-SROI und WÖk-IDs werden in Strategie, Investitionen, Budgetierung, Einkauf, Risiko, Boni und Finanzkommunikation rückgekoppelt.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Impact Controlling im Unternehmen: KII statt nur KPI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/wirkungsfelder/wirtschaft-unternehmen/detailkonzepte/impact_controlling_im_unternehmen/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