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Organisation, Kultur und Verantwortung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Organisationen arbeiten oft in Silos. Verantwortung endet an Abteilungsgrenzen, während Wirkungen gerade zwischen Funktionen entstehen.</w:t>
      </w:r>
    </w:p>
    <w:p>
      <w:pPr>
        <w:pStyle w:val="Heading1"/>
      </w:pPr>
      <w:r>
        <w:t>2. Wirkungsökonomischer Perspektivwechsel</w:t>
      </w:r>
    </w:p>
    <w:p>
      <w:pPr/>
      <w:r>
        <w:t>Wirkungsorganisationen schaffen Schnittstellenverantwortung. Rollen, Prozesse, Daten, Fehlerkultur und Entscheidungsrechte werden so gestaltet, dass Wirkungskompetenz im gesamten Unternehmen entsteht.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Organisation, Kultur und Verantwortung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/wirkungsfelder/wirtschaft-unternehmen/detailkonzepte/organisation_kultur_verantwortung/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