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Resiliente Wertschöpfungskette und Lieferantenentwicklung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Lieferketten werden häufig über Preis, Qualität und Verfügbarkeit gesteuert. Soziale und ökologische Wirkungen bleiben vorgelagert, ausgelagert oder schwer vergleichbar.</w:t>
      </w:r>
    </w:p>
    <w:p>
      <w:pPr>
        <w:pStyle w:val="Heading1"/>
      </w:pPr>
      <w:r>
        <w:t>2. Wirkungsökonomischer Perspektivwechsel</w:t>
      </w:r>
    </w:p>
    <w:p>
      <w:pPr/>
      <w:r>
        <w:t>Wertschöpfungsketten sind Wirkungsräume. Beschaffung, Lieferantenbewertung, Lieferantenentwicklung, Datenflüsse und Vorleistungen werden so gestaltet, dass Resilienz, Menschenrechte, Klima, Wasser, Biodiversität und Versorgungssicherheit sichtbar werden.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Resiliente Wertschöpfungskette und Lieferantenentwicklung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/wirkungsfelder/wirtschaft-unternehmen/detailkonzepte/resiliente_wertschoepfungskette/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