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 statt Kapital. Für Mensch, Planet und Demokratie.</w:t>
      </w:r>
    </w:p>
    <w:p>
      <w:pPr/>
      <w:r>
        <w:t>Wirkungsorientierte Unternehmensführung</w:t>
      </w:r>
    </w:p>
    <w:p>
      <w:pPr/>
      <w:r>
        <w:t>Detailkonzept im Portal Wirtschaft &amp; Unternehmen</w:t>
      </w:r>
    </w:p>
    <w:p>
      <w:pPr/>
      <w:r>
        <w:t>Arbeitsfassung für Online-Volltext, Dossier, Portal und Codex-Umsetzung.</w:t>
      </w:r>
    </w:p>
    <w:p>
      <w:pPr>
        <w:pStyle w:val="Heading1"/>
      </w:pPr>
      <w:r>
        <w:t>Kurzfassung</w:t>
      </w:r>
    </w:p>
    <w:p>
      <w:pPr>
        <w:pStyle w:val="Heading1"/>
      </w:pPr>
      <w:r>
        <w:t>1. Ausgangslage und alte Logik</w:t>
      </w:r>
    </w:p>
    <w:p>
      <w:pPr/>
      <w:r>
        <w:t>Führung wird oft als Zielvorgabe, Kontrolle, Effizienzsteigerung und Durchsetzung verstanden. Diese Logik kann Rückkopplungen blockieren und blinde Flecken stabilisieren.</w:t>
      </w:r>
    </w:p>
    <w:p>
      <w:pPr>
        <w:pStyle w:val="Heading1"/>
      </w:pPr>
      <w:r>
        <w:t>2. Wirkungsökonomischer Perspektivwechsel</w:t>
      </w:r>
    </w:p>
    <w:p>
      <w:pPr/>
      <w:r>
        <w:t>Wirkungsorientierte Führung gestaltet Orientierung, Entscheidung, Beziehung, Rückkopplung und Korrektur. Sie kontrolliert nicht jedes Detail, sondern schafft Lernräume, in denen Menschen, Daten, Prozesse und Lieferanten auf positive Netto-Wirkung ausgerichtet werden.</w:t>
      </w:r>
    </w:p>
    <w:p>
      <w:pPr>
        <w:pStyle w:val="Heading1"/>
      </w:pPr>
      <w:r>
        <w:t>3. Anforderungen an Politik und Rahmenbedingungen</w:t>
      </w:r>
    </w:p>
    <w:p>
      <w:pPr/>
      <w: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/>
      <w:r>
        <w:t>Rahmen statt Detailsteuerung: Politik setzt Mindeststandards, Datenregeln, Schutzlinien und Anreize, ohne operative Führung zu ersetzen.</w:t>
      </w:r>
    </w:p>
    <w:p>
      <w:pPr/>
      <w:r>
        <w:t>Ausgestaltungsspielraum: Parteien können unterschiedliche Gewichtungen setzen - etwa zwischen Förderung, Steuerung, Berichtspflichten, Entlastung, Branchenpfaden und ordnungsrechtlichen Grenzen.</w:t>
      </w:r>
    </w:p>
    <w:p>
      <w:pPr/>
      <w:r>
        <w:t>Verhältnismäßigkeit: Konzern, Mittelstand und Kleinstunternehmen brauchen unterschiedliche Tiefen der Nachweisführung.</w:t>
      </w:r>
    </w:p>
    <w:p>
      <w:pPr/>
      <w:r>
        <w:t>Lernende Regulierung: Wirkungsindikatoren, Benchmarks und Übergangsfristen müssen regelmäßig überprüft werden.</w:t>
      </w:r>
    </w:p>
    <w:p>
      <w:pPr>
        <w:pStyle w:val="Heading1"/>
      </w:pPr>
      <w:r>
        <w:t>4. Architektur des Unterbereichs</w:t>
      </w:r>
    </w:p>
    <w:p>
      <w:pPr/>
      <w:r>
        <w:t>Kernfrage: Wie wird Wirkungsorientierte Unternehmensführung in Entscheidungen, Rollen, Daten und Rückkopplungen verankert?</w:t>
      </w:r>
    </w:p>
    <w:p>
      <w:pPr/>
      <w:r>
        <w:t>Ebenen: Strategie, Governance, Prozesse, Daten, Menschen, Lieferketten, Produkte, Kapital und Kommunikation.</w:t>
      </w:r>
    </w:p>
    <w:p>
      <w:pPr/>
      <w:r>
        <w:t>Schnittstellen: Impact Controlling, WÖk-IDs, Scorecards, Risikomanagement, Wirkungsrat, SDG-/SDG+-Referenzrahmen.</w:t>
      </w:r>
    </w:p>
    <w:p>
      <w:pPr>
        <w:pStyle w:val="Heading1"/>
      </w:pPr>
      <w:r>
        <w:t>5. Online- und Tool-Anschluss</w:t>
      </w:r>
    </w:p>
    <w:p>
      <w:pPr/>
      <w:r>
        <w:t>Online-Volltext unter /wirkungsfelder/wirtschaft-unternehmen/detailkonzepte/wirkungsorientierte_unternehmensfuehrung/</w:t>
      </w:r>
    </w:p>
    <w:p>
      <w:pPr/>
      <w:r>
        <w:t>Kontext-Werkzeuge: Unternehmens-Wirkungscheck, KII-Dashboard, Wirkungsrisiko-Check, Lieferketten-Scorecard, 5P-Marketing-Check.</w:t>
      </w:r>
    </w:p>
    <w:p>
      <w:pPr/>
      <w:r>
        <w:t>Download: Word/PDF ergänzend; Hauptzugang bleibt die Online-Fassung.</w:t>
      </w:r>
    </w:p>
    <w:p>
      <w:pPr>
        <w:pStyle w:val="Heading1"/>
      </w:pPr>
      <w:r>
        <w:t>Interne und externe Referenzen</w:t>
      </w:r>
    </w:p>
    <w:p>
      <w:pPr/>
      <w:r>
        <w:t>Natalie Weber: Die neue Ordnung des Wohlstands, Manuskriptfassung 2026, Teil VII: Unternehmen, Management und Wertschöpfung, Kapitel 42-47.</w:t>
      </w:r>
    </w:p>
    <w:p>
      <w:pPr/>
      <w:r>
        <w:t>Natalie Weber: Systemmodell der Wirkungsökonomie, 2025, Dimension Wirtschaft &amp; Unternehmen.</w:t>
      </w:r>
    </w:p>
    <w:p>
      <w:pPr/>
      <w:r>
        <w:t>Natalie Weber: Wirkungsökonomie in der Lieferkette, September 2025.</w:t>
      </w:r>
    </w:p>
    <w:p>
      <w:pPr/>
      <w:r>
        <w:t>Natalie Weber: Produktbesteuerung durch Wirkung, 2025.</w:t>
      </w:r>
    </w:p>
    <w:p>
      <w:pPr/>
      <w:r>
        <w:t>Natalie Weber: Whitepaper T-SROI, 2025.</w:t>
      </w:r>
    </w:p>
    <w:p>
      <w:pPr/>
      <w:r>
        <w:t>EU: Corporate Sustainability Reporting Directive (CSRD) und European Sustainability Reporting Standards (ESRS).</w:t>
      </w:r>
    </w:p>
    <w:p>
      <w:pPr/>
      <w:r>
        <w:t>EU: Corporate Sustainability Due Diligence Directive (CSDDD), Directive (EU) 2024/1760.</w:t>
      </w:r>
    </w:p>
    <w:p>
      <w:pPr/>
      <w:r>
        <w:t>OECD: Due Diligence Guidance for Responsible Business Conduct.</w:t>
      </w:r>
    </w:p>
    <w:p>
      <w:pPr/>
      <w:r>
        <w:t>UN OHCHR: Guiding Principles on Business and Human Rights.</w:t>
      </w:r>
    </w:p>
    <w:p>
      <w:pPr/>
      <w: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