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 statt Kapital. Für Mensch, Planet und Demokratie.</w:t>
      </w:r>
    </w:p>
    <w:p>
      <w:pPr/>
      <w:r>
        <w:t>Wirtschaft &amp; Unternehmen</w:t>
      </w:r>
    </w:p>
    <w:p>
      <w:pPr/>
      <w:r>
        <w:t>Gesamtdossier: Beispiele, Datenquellen, Berechnungslogik, Tools und politische Anschlussfähigkeit</w:t>
      </w:r>
    </w:p>
    <w:p>
      <w:pPr/>
      <w:r>
        <w:t>Arbeitsfassung für Online-Volltext, Dossier, Portal und Codex-Umsetzung.</w:t>
      </w:r>
    </w:p>
    <w:p>
      <w:pPr>
        <w:pStyle w:val="Heading1"/>
      </w:pPr>
      <w:r>
        <w:t>Zweck des Gesamtdossiers</w:t>
      </w:r>
    </w:p>
    <w:p>
      <w:pPr/>
      <w:r>
        <w:t>Dieses Dossier übersetzt das Konzept Wirtschaft &amp; Unternehmen in Anwendung: Es zeigt, welche Daten Unternehmen brauchen, wie Wirkungsrisiko, Lieferkettenwirkung, Produktwirkung und Führungswirkung gelesen werden können, welche Tool-Logik daraus entsteht und welche politischen Rahmenbedingungen nötig sind.</w:t>
      </w:r>
    </w:p>
    <w:p>
      <w:pPr>
        <w:pStyle w:val="Heading1"/>
      </w:pPr>
      <w:r>
        <w:t>Beispielhafte Unternehmens-Scorecard</w:t>
      </w:r>
    </w:p>
    <w:p>
      <w:pPr>
        <w:pStyle w:val="Heading1"/>
      </w:pPr>
      <w:r>
        <w:t>Beispielrechnung: Wirkungsrisiko im ERM</w:t>
      </w:r>
    </w:p>
    <w:p>
      <w:pPr/>
      <w:r>
        <w:t>Eine vereinfachte Arbeitsformel für ein nicht-amtliches Demonstrationstool lautet: Wirkungsrisiko = Eintrittswahrscheinlichkeit x Wirkungsschwere x Rückkopplungsnähe x Datenunsicherheit. Die Skala reicht jeweils von 1 bis 5. Ein Risiko mit 4 x 5 x 4 x 3 ergibt 240 Punkte und gehört in den roten Risikobereich. Die Formel ersetzt keine ERM-Methodik, sondern ergänzt sie um Wirkungsnähe und Datenqualität.</w:t>
      </w:r>
    </w:p>
    <w:p>
      <w:pPr>
        <w:pStyle w:val="Heading1"/>
      </w:pPr>
      <w:r>
        <w:t>Datenquellenregister</w:t>
      </w:r>
    </w:p>
    <w:p>
      <w:pPr/>
      <w:r>
        <w:t>CSRD/ESRS: Nachhaltigkeitsberichtsdaten zu Klima, Umwelt, Sozialem und Governance.</w:t>
      </w:r>
    </w:p>
    <w:p>
      <w:pPr/>
      <w:r>
        <w:t>CSDDD/OECD/UNGPs: Sorgfaltspflichten, Risiken, Prävention, Abhilfe und Beschwerdemechanismen.</w:t>
      </w:r>
    </w:p>
    <w:p>
      <w:pPr/>
      <w:r>
        <w:t>WÖk-IDs: Indikatorenadresse nach SDG/SDG+, Target, Indikatorfamilie und Datenquelle.</w:t>
      </w:r>
    </w:p>
    <w:p>
      <w:pPr/>
      <w:r>
        <w:t>Produktscorecards und digitale Produktpässe: Produktbezogene Daten, Lebenszyklus, Lieferketten und FinalScore.</w:t>
      </w:r>
    </w:p>
    <w:p>
      <w:pPr/>
      <w:r>
        <w:t>Interne Daten: Einkauf, Qualitätsmanagement, HR, ERM, Compliance, Controlling, Produktentwicklung, Kund:innenfeedback.</w:t>
      </w:r>
    </w:p>
    <w:p>
      <w:pPr>
        <w:pStyle w:val="Heading1"/>
      </w:pPr>
      <w:r>
        <w:t>Tool-Logik</w:t>
      </w:r>
    </w:p>
    <w:p>
      <w:pPr/>
      <w:r>
        <w:t>Unternehmens-Wirkungscheck: prüft Portalreife und Wirkungsfelder.</w:t>
      </w:r>
    </w:p>
    <w:p>
      <w:pPr/>
      <w:r>
        <w:t>ERM-Wirkungsrisiko-Check: verbindet Wirkungsschwere und Unternehmensrückkopplung.</w:t>
      </w:r>
    </w:p>
    <w:p>
      <w:pPr/>
      <w:r>
        <w:t>Lieferketten-Resilienzscore: bewertet Risiken, Datenqualität und Lieferantenentwicklung.</w:t>
      </w:r>
    </w:p>
    <w:p>
      <w:pPr/>
      <w:r>
        <w:t>Marketing-5P-Check: prüft Product, Price, Place, Promotion und Planet.</w:t>
      </w:r>
    </w:p>
    <w:p>
      <w:pPr/>
      <w:r>
        <w:t>KII-Dashboard: verbindet KPI mit Key Impact Indicators.</w:t>
      </w:r>
    </w:p>
    <w:p>
      <w:pPr>
        <w:pStyle w:val="Heading1"/>
      </w:pPr>
      <w:r>
        <w:t>Politische Anschlussfähigkeit</w:t>
      </w:r>
    </w:p>
    <w:p>
      <w:pPr/>
      <w:r>
        <w:t>Politik muss Rahmen setzen, ohne Unternehmen in ein einziges Detailmodell zu zwingen. Entscheidend sind gemeinsame Datenstandards, KMU-taugliche Verfahren, Schutz vor Greenwashing, faire Übergangsfristen, öffentliche Beschaffung nach Wirkung, Investitionshilfen für Transformation und eine klare Abgrenzung zwischen Berichtspflicht und echter Steuerungswirkung.</w:t>
      </w:r>
    </w:p>
    <w:p>
      <w:pPr>
        <w:pStyle w:val="Heading1"/>
      </w:pPr>
      <w:r>
        <w:t>Interne und externe Referenzen</w:t>
      </w:r>
    </w:p>
    <w:p>
      <w:pPr/>
      <w:r>
        <w:t>Natalie Weber: Die neue Ordnung des Wohlstands, Manuskriptfassung 2026, Teil VII: Unternehmen, Management und Wertschöpfung, Kapitel 42-47.</w:t>
      </w:r>
    </w:p>
    <w:p>
      <w:pPr/>
      <w:r>
        <w:t>Natalie Weber: Systemmodell der Wirkungsökonomie, 2025, Dimension Wirtschaft &amp; Unternehmen.</w:t>
      </w:r>
    </w:p>
    <w:p>
      <w:pPr/>
      <w:r>
        <w:t>Natalie Weber: Wirkungsökonomie in der Lieferkette, September 2025.</w:t>
      </w:r>
    </w:p>
    <w:p>
      <w:pPr/>
      <w:r>
        <w:t>Natalie Weber: Produktbesteuerung durch Wirkung, 2025.</w:t>
      </w:r>
    </w:p>
    <w:p>
      <w:pPr/>
      <w:r>
        <w:t>Natalie Weber: Whitepaper T-SROI, 2025.</w:t>
      </w:r>
    </w:p>
    <w:p>
      <w:pPr/>
      <w:r>
        <w:t>EU: Corporate Sustainability Reporting Directive (CSRD) und European Sustainability Reporting Standards (ESRS).</w:t>
      </w:r>
    </w:p>
    <w:p>
      <w:pPr/>
      <w:r>
        <w:t>EU: Corporate Sustainability Due Diligence Directive (CSDDD), Directive (EU) 2024/1760.</w:t>
      </w:r>
    </w:p>
    <w:p>
      <w:pPr/>
      <w:r>
        <w:t>OECD: Due Diligence Guidance for Responsible Business Conduct.</w:t>
      </w:r>
    </w:p>
    <w:p>
      <w:pPr/>
      <w:r>
        <w:t>UN OHCHR: Guiding Principles on Business and Human Rights.</w:t>
      </w:r>
    </w:p>
    <w:p>
      <w:pPr/>
      <w: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