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658368" cy="5444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" cy="54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left"/>
      </w:pPr>
      <w:r>
        <w:t>Codex-Anweisung: Rang 5 – Wohnen &amp; Stadt / Wohnwirkungsindex / Wohnwirkungsrechner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Autorin: </w:t>
      </w:r>
      <w:r>
        <w:rPr>
          <w:rFonts w:ascii="Source Sans 3" w:hAnsi="Source Sans 3" w:eastAsia="Source Sans 3"/>
          <w:color w:val="22242C"/>
          <w:sz w:val="18"/>
        </w:rPr>
        <w:t>Natalie Weber</w:t>
      </w:r>
    </w:p>
    <w:p>
      <w:pPr/>
      <w:r>
        <w:rPr>
          <w:rFonts w:ascii="Source Sans 3" w:hAnsi="Source Sans 3" w:eastAsia="Source Sans 3"/>
          <w:b/>
          <w:color w:val="2F7D5C"/>
          <w:sz w:val="18"/>
        </w:rPr>
        <w:t xml:space="preserve">Referenz: </w:t>
      </w:r>
      <w:r>
        <w:rPr>
          <w:rFonts w:ascii="Source Sans 3" w:hAnsi="Source Sans 3" w:eastAsia="Source Sans 3"/>
          <w:color w:val="22242C"/>
          <w:sz w:val="18"/>
        </w:rPr>
        <w:t>Wirkungsökonomie</w:t>
      </w:r>
    </w:p>
    <w:p>
      <w:pPr>
        <w:sectPr>
          <w:headerReference w:type="default" r:id="rId9"/>
          <w:footerReference w:type="default" r:id="rId10"/>
          <w:pgSz w:w="11906" w:h="16838"/>
          <w:pgMar w:top="1020" w:right="1191" w:bottom="907" w:left="1191" w:header="720" w:footer="720" w:gutter="0"/>
          <w:cols w:space="720"/>
          <w:titlePg/>
          <w:docGrid w:linePitch="360"/>
        </w:sectPr>
      </w:pPr>
    </w:p>
    <w:p>
      <w:pPr/>
      <w:r>
        <w:t>Du arbeitest im Repository von www.wirkungsoekonomie.de.</w:t>
      </w:r>
    </w:p>
    <w:p>
      <w:pPr>
        <w:pStyle w:val="Heading2"/>
      </w:pPr>
      <w:r>
        <w:t>Ziel</w:t>
      </w:r>
    </w:p>
    <w:p>
      <w:pPr/>
      <w:r>
        <w:t>Setze den nächsten Portalbereich Wohnen &amp; Stadt um. Die Umsetzung folgt dem verbindlichen Veröffentlichungsstandard:</w:t>
      </w:r>
    </w:p>
    <w:p>
      <w:pPr>
        <w:pStyle w:val="ListBullet"/>
      </w:pPr>
      <w:r>
        <w:t>Portal-Startseite</w:t>
      </w:r>
    </w:p>
    <w:p>
      <w:pPr>
        <w:pStyle w:val="ListBullet"/>
      </w:pPr>
      <w:r>
        <w:t>Konzeptpapier online lesbar</w:t>
      </w:r>
    </w:p>
    <w:p>
      <w:pPr>
        <w:pStyle w:val="ListBullet"/>
      </w:pPr>
      <w:r>
        <w:t>Gesamtdossier online lesbar</w:t>
      </w:r>
    </w:p>
    <w:p>
      <w:pPr>
        <w:pStyle w:val="ListBullet"/>
      </w:pPr>
      <w:r>
        <w:t>Detailkonzepte je Unterbereich online lesbar</w:t>
      </w:r>
    </w:p>
    <w:p>
      <w:pPr>
        <w:pStyle w:val="ListBullet"/>
      </w:pPr>
      <w:r>
        <w:t>Einzeldossiers je Unterbereich online lesbar</w:t>
      </w:r>
    </w:p>
    <w:p>
      <w:pPr>
        <w:pStyle w:val="ListBullet"/>
      </w:pPr>
      <w:r>
        <w:t>Word/PDF-Downloads nur ergänzend als Export/Archiv</w:t>
      </w:r>
    </w:p>
    <w:p>
      <w:pPr>
        <w:pStyle w:val="ListBullet"/>
      </w:pPr>
      <w:r>
        <w:t>Tool/Demo/Rechner kontextbezogen einbinden</w:t>
      </w:r>
    </w:p>
    <w:p>
      <w:pPr>
        <w:pStyle w:val="ListBullet"/>
      </w:pPr>
      <w:r>
        <w:t>Buchanker</w:t>
      </w:r>
    </w:p>
    <w:p>
      <w:pPr>
        <w:pStyle w:val="ListBullet"/>
      </w:pPr>
      <w:r>
        <w:t>SDG-/SDG+-Block</w:t>
      </w:r>
    </w:p>
    <w:p>
      <w:pPr>
        <w:pStyle w:val="ListBullet"/>
      </w:pPr>
      <w:r>
        <w:t>WÖk-ID-/Indikatorenbezug</w:t>
      </w:r>
    </w:p>
    <w:p>
      <w:pPr>
        <w:pStyle w:val="ListBullet"/>
      </w:pPr>
      <w:r>
        <w:t>politische Anschlussfähigkeit als Kernbestandteil</w:t>
      </w:r>
    </w:p>
    <w:p>
      <w:pPr>
        <w:pStyle w:val="ListBullet"/>
      </w:pPr>
      <w:r>
        <w:t>Dossier &amp; Export</w:t>
      </w:r>
    </w:p>
    <w:p>
      <w:pPr>
        <w:pStyle w:val="ListBullet"/>
      </w:pPr>
      <w:r>
        <w:t>Glossar- und Querverlinkung</w:t>
      </w:r>
    </w:p>
    <w:p>
      <w:pPr>
        <w:pStyle w:val="Heading2"/>
      </w:pPr>
      <w:r>
        <w:t>Rückwirkend nachholen</w:t>
      </w:r>
    </w:p>
    <w:p>
      <w:pPr/>
      <w:r>
        <w:t>Falls in Rang 1 bis 4 noch Detailkonzepte, Einzeldossiers oder Online-Volltexte fehlen, bitte nachholen und in der Website-Struktur ergänzen:</w:t>
      </w:r>
    </w:p>
    <w:p>
      <w:pPr>
        <w:pStyle w:val="ListNumber"/>
      </w:pPr>
      <w:r>
        <w:t>Produkte &amp; Konsum / Wirkungsumsatzsteuer</w:t>
      </w:r>
    </w:p>
    <w:p>
      <w:pPr>
        <w:pStyle w:val="ListNumber"/>
      </w:pPr>
      <w:r>
        <w:t>Impact Controlling / T-SROI / NWI / WÖk-IDs / Scorecards</w:t>
      </w:r>
    </w:p>
    <w:p>
      <w:pPr>
        <w:pStyle w:val="ListNumber"/>
      </w:pPr>
      <w:r>
        <w:t>Staat, Recht &amp; Demokratie / WStG / Wirkungsrat</w:t>
      </w:r>
    </w:p>
    <w:p>
      <w:pPr>
        <w:pStyle w:val="ListNumber"/>
      </w:pPr>
      <w:r>
        <w:t>Wirtschaft &amp; Unternehmen</w:t>
      </w:r>
    </w:p>
    <w:p>
      <w:pPr/>
      <w:r>
        <w:t>Dabei gilt: Jedes Unterthema braucht Detailkonzept + Einzeldossier + Online-Volltext + Download + Dossier-Export.</w:t>
      </w:r>
    </w:p>
    <w:p>
      <w:pPr>
        <w:pStyle w:val="Heading2"/>
      </w:pPr>
      <w:r>
        <w:t>Neue Seitenstruktur</w:t>
      </w:r>
    </w:p>
    <w:p>
      <w:pPr/>
      <w:r>
        <w:t>Lege an oder aktualisiere:</w:t>
      </w:r>
    </w:p>
    <w:p>
      <w:pPr>
        <w:pStyle w:val="ListBullet"/>
      </w:pPr>
      <w:r>
        <w:t>/wirkungsfelder/wohnen-stadt/</w:t>
      </w:r>
    </w:p>
    <w:p>
      <w:pPr>
        <w:pStyle w:val="ListBullet"/>
      </w:pPr>
      <w:r>
        <w:t>/wirkungsfelder/wohnen-stadt/konzept/</w:t>
      </w:r>
    </w:p>
    <w:p>
      <w:pPr>
        <w:pStyle w:val="ListBullet"/>
      </w:pPr>
      <w:r>
        <w:t>/wirkungsfelder/wohnen-stadt/dossier/</w:t>
      </w:r>
    </w:p>
    <w:p>
      <w:pPr>
        <w:pStyle w:val="ListBullet"/>
      </w:pPr>
      <w:r>
        <w:t>/wirkungsfelder/wohnen-stadt/detailkonzepte/</w:t>
      </w:r>
    </w:p>
    <w:p>
      <w:pPr>
        <w:pStyle w:val="ListBullet"/>
      </w:pPr>
      <w:r>
        <w:t>/wirkungsfelder/wohnen-stadt/dossiers/</w:t>
      </w:r>
    </w:p>
    <w:p>
      <w:pPr>
        <w:pStyle w:val="ListBullet"/>
      </w:pPr>
      <w:r>
        <w:t>/erleben/wohnwirkungsrechner/ oder bestehende Erleben-Struktur entsprechend</w:t>
      </w:r>
    </w:p>
    <w:p>
      <w:pPr>
        <w:pStyle w:val="ListBullet"/>
      </w:pPr>
      <w:r>
        <w:t>/werkstatt/arbeitsbibliothek/wirkungsfelder/wohnen-stadt/</w:t>
      </w:r>
    </w:p>
    <w:p>
      <w:pPr>
        <w:pStyle w:val="Heading2"/>
      </w:pPr>
      <w:r>
        <w:t>Unterbereiche</w:t>
      </w:r>
    </w:p>
    <w:p>
      <w:pPr/>
      <w:r>
        <w:t>Für jeden Unterbereich eigene Detailkonzept- und Dossierseite:</w:t>
      </w:r>
    </w:p>
    <w:p>
      <w:pPr>
        <w:pStyle w:val="ListNumber"/>
      </w:pPr>
      <w:r>
        <w:t>Wohnen als Wirkungsraum</w:t>
      </w:r>
    </w:p>
    <w:p>
      <w:pPr>
        <w:pStyle w:val="ListNumber"/>
      </w:pPr>
      <w:r>
        <w:t>Mietwirkung und Bezahlbarkeit</w:t>
      </w:r>
    </w:p>
    <w:p>
      <w:pPr>
        <w:pStyle w:val="ListNumber"/>
      </w:pPr>
      <w:r>
        <w:t>Wohnwirkungsindex WIX-Wohn</w:t>
      </w:r>
    </w:p>
    <w:p>
      <w:pPr>
        <w:pStyle w:val="ListNumber"/>
      </w:pPr>
      <w:r>
        <w:t>Sanierung, Energie und Warmmietenneutralität</w:t>
      </w:r>
    </w:p>
    <w:p>
      <w:pPr>
        <w:pStyle w:val="ListNumber"/>
      </w:pPr>
      <w:r>
        <w:t>Eigentum, Vermietung und Wirkungspflicht</w:t>
      </w:r>
    </w:p>
    <w:p>
      <w:pPr>
        <w:pStyle w:val="ListNumber"/>
      </w:pPr>
      <w:r>
        <w:t>Boden, Leerstand und Spekulation</w:t>
      </w:r>
    </w:p>
    <w:p>
      <w:pPr>
        <w:pStyle w:val="ListNumber"/>
      </w:pPr>
      <w:r>
        <w:t>Quartier, Stadt und Sozialraumprofil</w:t>
      </w:r>
    </w:p>
    <w:p>
      <w:pPr>
        <w:pStyle w:val="ListNumber"/>
      </w:pPr>
      <w:r>
        <w:t>Verdrängung, Gentrifizierung und Teilhabe</w:t>
      </w:r>
    </w:p>
    <w:p>
      <w:pPr>
        <w:pStyle w:val="ListNumber"/>
      </w:pPr>
      <w:r>
        <w:t>Kommunale Wohnwirkungspolitik</w:t>
      </w:r>
    </w:p>
    <w:p>
      <w:pPr>
        <w:pStyle w:val="ListNumber"/>
      </w:pPr>
      <w:r>
        <w:t>Finanzierung, Förderlogik und Wirkungsfonds</w:t>
      </w:r>
    </w:p>
    <w:p>
      <w:pPr>
        <w:pStyle w:val="ListNumber"/>
      </w:pPr>
      <w:r>
        <w:t>Mieterstrom und Energie-Gemeinschaften</w:t>
      </w:r>
    </w:p>
    <w:p>
      <w:pPr>
        <w:pStyle w:val="ListNumber"/>
      </w:pPr>
      <w:r>
        <w:t>Gesundes, barrierefreies und resilientes Wohnen</w:t>
      </w:r>
    </w:p>
    <w:p>
      <w:pPr>
        <w:pStyle w:val="Heading2"/>
      </w:pPr>
      <w:r>
        <w:t>Politische Anschlussfähigkeit</w:t>
      </w:r>
    </w:p>
    <w:p>
      <w:pPr/>
      <w:r>
        <w:t>Auf jeder Portal-, Konzept-, Dossier- und Toolseite muss ein Abschnitt enthalten sein:</w:t>
      </w:r>
    </w:p>
    <w:p>
      <w:pPr/>
      <w:r>
        <w:t>Politische Anschlussfähigkeit und Ausgestaltungsspielraum</w:t>
      </w:r>
    </w:p>
    <w:p>
      <w:pPr/>
      <w:r>
        <w:t>Inhalt:</w:t>
      </w:r>
    </w:p>
    <w:p>
      <w:pPr>
        <w:pStyle w:val="ListBullet"/>
      </w:pPr>
      <w:r>
        <w:t>Die Wirkungsökonomie ersetzt demokratische Aushandlung nicht.</w:t>
      </w:r>
    </w:p>
    <w:p>
      <w:pPr>
        <w:pStyle w:val="ListBullet"/>
      </w:pPr>
      <w:r>
        <w:t>Sie macht Wirkungen, Zielkonflikte, Nebenwirkungen und Schutzgrenzen sichtbar.</w:t>
      </w:r>
    </w:p>
    <w:p>
      <w:pPr>
        <w:pStyle w:val="ListBullet"/>
      </w:pPr>
      <w:r>
        <w:t>Parteien können unterschiedliche Ausgestaltungen wählen: Marktanreize, öffentliche Förderung, kommunale Wohnungswirtschaft, Genossenschaften, Mieterschutz, Eigentumsförderung, Bodenpolitik, Sanierungspflichten, steuerliche Entlastung oder direkte Unterstützung.</w:t>
      </w:r>
    </w:p>
    <w:p>
      <w:pPr>
        <w:pStyle w:val="ListBullet"/>
      </w:pPr>
      <w:r>
        <w:t>Entscheidend ist, dass Wirkung auf Mensch, Planet und Demokratie transparent wird.</w:t>
      </w:r>
    </w:p>
    <w:p>
      <w:pPr>
        <w:pStyle w:val="ListBullet"/>
      </w:pPr>
      <w:r>
        <w:t>Kein Portal darf so formuliert sein, als gäbe es nur eine einzig wahre politische Lösung.</w:t>
      </w:r>
    </w:p>
    <w:p>
      <w:pPr>
        <w:pStyle w:val="Heading2"/>
      </w:pPr>
      <w:r>
        <w:t>Tool: Wohnwirkungsrechner / WIX-Wohn</w:t>
      </w:r>
    </w:p>
    <w:p>
      <w:pPr/>
      <w:r>
        <w:t>Implementiere oder bereite vor:</w:t>
      </w:r>
    </w:p>
    <w:p>
      <w:pPr>
        <w:pStyle w:val="ListBullet"/>
      </w:pPr>
      <w:r>
        <w:t>Mietbelastungsrechner</w:t>
      </w:r>
    </w:p>
    <w:p>
      <w:pPr>
        <w:pStyle w:val="ListBullet"/>
      </w:pPr>
      <w:r>
        <w:t>Energie- und Gebäudescore</w:t>
      </w:r>
    </w:p>
    <w:p>
      <w:pPr>
        <w:pStyle w:val="ListBullet"/>
      </w:pPr>
      <w:r>
        <w:t>Sanierungswirkungsrechner</w:t>
      </w:r>
    </w:p>
    <w:p>
      <w:pPr>
        <w:pStyle w:val="ListBullet"/>
      </w:pPr>
      <w:r>
        <w:t>Warmmietenneutralitätsprüfung</w:t>
      </w:r>
    </w:p>
    <w:p>
      <w:pPr>
        <w:pStyle w:val="ListBullet"/>
      </w:pPr>
      <w:r>
        <w:t>Quartierswirkungscheck</w:t>
      </w:r>
    </w:p>
    <w:p>
      <w:pPr>
        <w:pStyle w:val="ListBullet"/>
      </w:pPr>
      <w:r>
        <w:t>WIX-Wohn-Berechnung</w:t>
      </w:r>
    </w:p>
    <w:p>
      <w:pPr>
        <w:pStyle w:val="ListBullet"/>
      </w:pPr>
      <w:r>
        <w:t>Politikvariantenansicht</w:t>
      </w:r>
    </w:p>
    <w:p>
      <w:pPr>
        <w:pStyle w:val="ListBullet"/>
      </w:pPr>
      <w:r>
        <w:t>Dossier-Export</w:t>
      </w:r>
    </w:p>
    <w:p>
      <w:pPr/>
      <w:r>
        <w:t>Formel Arbeitsmatrix v0.1:</w:t>
      </w:r>
    </w:p>
    <w:p>
      <w:pPr/>
      <w:r>
        <w:t>WIX-Wohn = 0.35  KlimaEnergieScore + 0.40  MietfairnessScore + 0.25 * SozialraumScore</w:t>
      </w:r>
    </w:p>
    <w:p>
      <w:pPr/>
      <w:r>
        <w:t>Rote Linien / Nicht-Kompensation:</w:t>
      </w:r>
    </w:p>
    <w:p>
      <w:pPr>
        <w:pStyle w:val="ListBullet"/>
      </w:pPr>
      <w:r>
        <w:t>Mietbelastung über 60 Prozent</w:t>
      </w:r>
    </w:p>
    <w:p>
      <w:pPr>
        <w:pStyle w:val="ListBullet"/>
      </w:pPr>
      <w:r>
        <w:t>gesundheitsgefährdender Schimmel</w:t>
      </w:r>
    </w:p>
    <w:p>
      <w:pPr>
        <w:pStyle w:val="ListBullet"/>
      </w:pPr>
      <w:r>
        <w:t>aktive Verdrängung</w:t>
      </w:r>
    </w:p>
    <w:p>
      <w:pPr>
        <w:pStyle w:val="ListBullet"/>
      </w:pPr>
      <w:r>
        <w:t>extreme Energiearmut</w:t>
      </w:r>
    </w:p>
    <w:p>
      <w:pPr>
        <w:pStyle w:val="ListBullet"/>
      </w:pPr>
      <w:r>
        <w:t>fehlender Rechtsschutz / Intransparenz</w:t>
      </w:r>
    </w:p>
    <w:p>
      <w:pPr/>
      <w:r>
        <w:t>Hinweis anzeigen:</w:t>
      </w:r>
    </w:p>
    <w:p>
      <w:pPr/>
      <w:r>
        <w:t>„Modellhafte Demonstration. Keine amtliche Einstufung, keine Rechts-, Steuer- oder Förderberatung.“</w:t>
      </w:r>
    </w:p>
    <w:p>
      <w:pPr>
        <w:pStyle w:val="Heading2"/>
      </w:pPr>
      <w:r>
        <w:t>Inhaltliche Leitplanken</w:t>
      </w:r>
    </w:p>
    <w:p>
      <w:pPr>
        <w:pStyle w:val="ListBullet"/>
      </w:pPr>
      <w:r>
        <w:t>Wirkung ist neutral und relational.</w:t>
      </w:r>
    </w:p>
    <w:p>
      <w:pPr>
        <w:pStyle w:val="ListBullet"/>
      </w:pPr>
      <w:r>
        <w:t>Positive Zielgröße heißt positive Netto-Wirkung für Mensch, Planet und Demokratie.</w:t>
      </w:r>
    </w:p>
    <w:p>
      <w:pPr>
        <w:pStyle w:val="ListBullet"/>
      </w:pPr>
      <w:r>
        <w:t>Keine Personenbewertung. Bewertet werden Wohnbedingungen, Gebäude, Strukturen, Regeln, Finanzierung und Quartierswirkung.</w:t>
      </w:r>
    </w:p>
    <w:p>
      <w:pPr>
        <w:pStyle w:val="ListBullet"/>
      </w:pPr>
      <w:r>
        <w:t>SDG+ ist WÖk-Erweiterung, keine offizielle UN-Kategorie.</w:t>
      </w:r>
    </w:p>
    <w:p>
      <w:pPr>
        <w:pStyle w:val="ListBullet"/>
      </w:pPr>
      <w:r>
        <w:t>Keine politischen Einheitslösungen behaupten.</w:t>
      </w:r>
    </w:p>
    <w:p>
      <w:pPr>
        <w:pStyle w:val="Heading2"/>
      </w:pPr>
      <w:r>
        <w:t>Quellen und Verweise</w:t>
      </w:r>
    </w:p>
    <w:p>
      <w:pPr/>
      <w:r>
        <w:t>Integriere Quellenblöcke mit:</w:t>
      </w:r>
    </w:p>
    <w:p>
      <w:pPr>
        <w:pStyle w:val="ListBullet"/>
      </w:pPr>
      <w:r>
        <w:t>Destatis Wohnen in Deutschland</w:t>
      </w:r>
    </w:p>
    <w:p>
      <w:pPr>
        <w:pStyle w:val="ListBullet"/>
      </w:pPr>
      <w:r>
        <w:t>Destatis / Eurostat Wohnkostenüberbelastung</w:t>
      </w:r>
    </w:p>
    <w:p>
      <w:pPr>
        <w:pStyle w:val="ListBullet"/>
      </w:pPr>
      <w:r>
        <w:t>BBSR Wohnungsbedarfsprognose</w:t>
      </w:r>
    </w:p>
    <w:p>
      <w:pPr>
        <w:pStyle w:val="ListBullet"/>
      </w:pPr>
      <w:r>
        <w:t>Umweltbundesamt Emissionsdaten Gebäude</w:t>
      </w:r>
    </w:p>
    <w:p>
      <w:pPr>
        <w:pStyle w:val="ListBullet"/>
      </w:pPr>
      <w:r>
        <w:t>EU Energy Performance of Buildings Directive</w:t>
      </w:r>
    </w:p>
    <w:p>
      <w:pPr>
        <w:pStyle w:val="ListBullet"/>
      </w:pPr>
      <w:r>
        <w:t>WÖk Working-Paper Wohnungsmarkt</w:t>
      </w:r>
    </w:p>
    <w:p>
      <w:pPr>
        <w:pStyle w:val="ListBullet"/>
      </w:pPr>
      <w:r>
        <w:t>Systemmodell der Wirkungsökonomie</w:t>
      </w:r>
    </w:p>
    <w:p>
      <w:pPr>
        <w:pStyle w:val="ListBullet"/>
      </w:pPr>
      <w:r>
        <w:t>Buchanker Kapitel 70 Wohnen als Wirkungsfaktor</w:t>
      </w:r>
    </w:p>
    <w:p>
      <w:pPr>
        <w:pStyle w:val="ListBullet"/>
      </w:pPr>
      <w:r>
        <w:t>Begriffsleitfaden</w:t>
      </w:r>
    </w:p>
    <w:p>
      <w:pPr>
        <w:pStyle w:val="Heading2"/>
      </w:pPr>
      <w:r>
        <w:t>Website-Komponenten</w:t>
      </w:r>
    </w:p>
    <w:p>
      <w:pPr/>
      <w:r>
        <w:t>Nutze vorhandene Komponenten, falls vorhanden:</w:t>
      </w:r>
    </w:p>
    <w:p>
      <w:pPr>
        <w:pStyle w:val="ListBullet"/>
      </w:pPr>
      <w:r>
        <w:t>SDGRef</w:t>
      </w:r>
    </w:p>
    <w:p>
      <w:pPr>
        <w:pStyle w:val="ListBullet"/>
      </w:pPr>
      <w:r>
        <w:t>ToolRef</w:t>
      </w:r>
    </w:p>
    <w:p>
      <w:pPr>
        <w:pStyle w:val="ListBullet"/>
      </w:pPr>
      <w:r>
        <w:t>LawReference</w:t>
      </w:r>
    </w:p>
    <w:p>
      <w:pPr>
        <w:pStyle w:val="ListBullet"/>
      </w:pPr>
      <w:r>
        <w:t>ReferenceFrameBlock</w:t>
      </w:r>
    </w:p>
    <w:p>
      <w:pPr>
        <w:pStyle w:val="ListBullet"/>
      </w:pPr>
      <w:r>
        <w:t>ContextualTools</w:t>
      </w:r>
    </w:p>
    <w:p>
      <w:pPr>
        <w:pStyle w:val="ListBullet"/>
      </w:pPr>
      <w:r>
        <w:t>DossierCard</w:t>
      </w:r>
    </w:p>
    <w:p>
      <w:pPr>
        <w:pStyle w:val="ListBullet"/>
      </w:pPr>
      <w:r>
        <w:t>PrintButton</w:t>
      </w:r>
    </w:p>
    <w:p>
      <w:pPr>
        <w:pStyle w:val="ListBullet"/>
      </w:pPr>
      <w:r>
        <w:t>DownloadCard</w:t>
      </w:r>
    </w:p>
    <w:p>
      <w:pPr/>
      <w:r>
        <w:t>Keine neue Designarchitektur bauen.</w:t>
      </w:r>
    </w:p>
    <w:p>
      <w:pPr>
        <w:pStyle w:val="Heading2"/>
      </w:pPr>
      <w:r>
        <w:t>Mindestlieferung</w:t>
      </w:r>
    </w:p>
    <w:p>
      <w:pPr/>
      <w:r>
        <w:t>Am Ende sollen existieren:</w:t>
      </w:r>
    </w:p>
    <w:p>
      <w:pPr>
        <w:pStyle w:val="ListBullet"/>
      </w:pPr>
      <w:r>
        <w:t>Portal Wohnen &amp; Stadt</w:t>
      </w:r>
    </w:p>
    <w:p>
      <w:pPr>
        <w:pStyle w:val="ListBullet"/>
      </w:pPr>
      <w:r>
        <w:t>Konzept online</w:t>
      </w:r>
    </w:p>
    <w:p>
      <w:pPr>
        <w:pStyle w:val="ListBullet"/>
      </w:pPr>
      <w:r>
        <w:t>Gesamtdossier online</w:t>
      </w:r>
    </w:p>
    <w:p>
      <w:pPr>
        <w:pStyle w:val="ListBullet"/>
      </w:pPr>
      <w:r>
        <w:t>alle 12 Detailkonzepte online</w:t>
      </w:r>
    </w:p>
    <w:p>
      <w:pPr>
        <w:pStyle w:val="ListBullet"/>
      </w:pPr>
      <w:r>
        <w:t>alle 12 Einzeldossiers online</w:t>
      </w:r>
    </w:p>
    <w:p>
      <w:pPr>
        <w:pStyle w:val="ListBullet"/>
      </w:pPr>
      <w:r>
        <w:t>Downloadkarten für Word/PDF</w:t>
      </w:r>
    </w:p>
    <w:p>
      <w:pPr>
        <w:pStyle w:val="ListBullet"/>
      </w:pPr>
      <w:r>
        <w:t>Wohnwirkungsrechner-Spezifikation und, wenn möglich, erste Demo</w:t>
      </w:r>
    </w:p>
    <w:p>
      <w:pPr>
        <w:pStyle w:val="ListBullet"/>
      </w:pPr>
      <w:r>
        <w:t>SDG-/SDG+-Block</w:t>
      </w:r>
    </w:p>
    <w:p>
      <w:pPr>
        <w:pStyle w:val="ListBullet"/>
      </w:pPr>
      <w:r>
        <w:t>Buchanker-Block</w:t>
      </w:r>
    </w:p>
    <w:p>
      <w:pPr>
        <w:pStyle w:val="ListBullet"/>
      </w:pPr>
      <w:r>
        <w:t>politische Anschlussfähigkeit</w:t>
      </w:r>
    </w:p>
    <w:p>
      <w:pPr>
        <w:pStyle w:val="ListBullet"/>
      </w:pPr>
      <w:r>
        <w:t>Dossier-Export / Druckfunktion</w:t>
      </w:r>
    </w:p>
    <w:p>
      <w:pPr>
        <w:pStyle w:val="ListBullet"/>
      </w:pPr>
      <w:r>
        <w:t>Glossarverlinkung</w:t>
      </w:r>
    </w:p>
    <w:p>
      <w:pPr>
        <w:pStyle w:val="ListBullet"/>
      </w:pPr>
      <w:r>
        <w:t>Suchindex / Sitemap aktualisiert</w:t>
      </w:r>
    </w:p>
    <w:p>
      <w:pPr>
        <w:pStyle w:val="Heading2"/>
      </w:pPr>
      <w:r>
        <w:t>Abschlussbericht</w:t>
      </w:r>
    </w:p>
    <w:p>
      <w:pPr/>
      <w:r>
        <w:t>Bitte berichten:</w:t>
      </w:r>
    </w:p>
    <w:p>
      <w:pPr>
        <w:pStyle w:val="ListBullet"/>
      </w:pPr>
      <w:r>
        <w:t>neue Seiten</w:t>
      </w:r>
    </w:p>
    <w:p>
      <w:pPr>
        <w:pStyle w:val="ListBullet"/>
      </w:pPr>
      <w:r>
        <w:t>geänderte Seiten</w:t>
      </w:r>
    </w:p>
    <w:p>
      <w:pPr>
        <w:pStyle w:val="ListBullet"/>
      </w:pPr>
      <w:r>
        <w:t>erstellte Komponenten</w:t>
      </w:r>
    </w:p>
    <w:p>
      <w:pPr>
        <w:pStyle w:val="ListBullet"/>
      </w:pPr>
      <w:r>
        <w:t>verlinkte Dokumente</w:t>
      </w:r>
    </w:p>
    <w:p>
      <w:pPr>
        <w:pStyle w:val="ListBullet"/>
      </w:pPr>
      <w:r>
        <w:t>online lesbare Volltexte</w:t>
      </w:r>
    </w:p>
    <w:p>
      <w:pPr>
        <w:pStyle w:val="ListBullet"/>
      </w:pPr>
      <w:r>
        <w:t>rückwirkend nachgeholte Detailkonzepte/Dossiers</w:t>
      </w:r>
    </w:p>
    <w:p>
      <w:pPr>
        <w:pStyle w:val="ListBullet"/>
      </w:pPr>
      <w:r>
        <w:t>offene Punkte</w:t>
      </w:r>
    </w:p>
    <w:p>
      <w:pPr>
        <w:pStyle w:val="ListBullet"/>
      </w:pPr>
      <w:r>
        <w:t>Build/Test-Ergebnis</w:t>
      </w:r>
    </w:p>
    <w:p>
      <w:pPr>
        <w:pStyle w:val="ListBullet"/>
      </w:pPr>
      <w:r>
        <w:t>Druckfunktion geprüft</w:t>
      </w:r>
    </w:p>
    <w:sectPr w:rsidR="00FC693F" w:rsidRPr="0006063C" w:rsidSect="00034616">
      <w:pgSz w:w="11906" w:h="16838"/>
      <w:pgMar w:top="1020" w:right="1191" w:bottom="907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3175"/>
      <w:gridCol w:w="3175"/>
      <w:gridCol w:w="3175"/>
    </w:tblGrid>
    <w:tr>
      <w:tc>
        <w:tcPr>
          <w:tcW w:type="dxa" w:w="3401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lef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{{DOKUMENTTYP}} · {{STAND}}</w:t>
          </w:r>
        </w:p>
      </w:tc>
      <w:tc>
        <w:tcPr>
          <w:tcW w:type="dxa" w:w="2834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center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>Wirkung statt Kapital</w:t>
          </w:r>
        </w:p>
      </w:tc>
      <w:tc>
        <w:tcPr>
          <w:tcW w:type="dxa" w:w="3288"/>
          <w:tcMar>
            <w:top w:w="0" w:type="dxa"/>
            <w:start w:w="0" w:type="dxa"/>
            <w:bottom w:w="0" w:type="dxa"/>
            <w:end w:w="0" w:type="dxa"/>
          </w:tcMar>
          <w:tcBorders>
            <w:top w:val="single" w:color="D8D2C6" w:sz="4"/>
          </w:tcBorders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t xml:space="preserve">Seite </w:t>
          </w: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4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762"/>
      <w:gridCol w:w="4762"/>
    </w:tblGrid>
    <w:tr>
      <w:tc>
        <w:tcPr>
          <w:tcW w:type="dxa" w:w="5385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23200" cy="184569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ek-signe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200" cy="18456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rPr>
              <w:rFonts w:ascii="Playfair Display" w:hAnsi="Playfair Display" w:cs="Playfair Display" w:eastAsia="Playfair Display"/>
              <w:b w:val="0"/>
              <w:i w:val="0"/>
              <w:color w:val="0B1020"/>
              <w:sz w:val="18"/>
              <w:caps/>
              <w:spacing w:val="25"/>
            </w:rPr>
            <w:t xml:space="preserve">  WIRKUNGSÖKONOMIE</w:t>
          </w:r>
        </w:p>
      </w:tc>
      <w:tc>
        <w:tcPr>
          <w:tcW w:type="dxa" w:w="4138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color="D8D2C6" w:sz="4"/>
          </w:tcBorders>
          <w:vAlign w:val="center"/>
        </w:tcPr>
        <w:p>
          <w:pPr>
            <w:jc w:val="right"/>
          </w:pPr>
          <w:r>
            <w:rPr>
              <w:rFonts w:ascii="Source Sans 3" w:hAnsi="Source Sans 3" w:cs="Source Sans 3" w:eastAsia="Source Sans 3"/>
              <w:b w:val="0"/>
              <w:i w:val="0"/>
              <w:color w:val="22242C"/>
              <w:sz w:val="15"/>
            </w:rPr>
            <w:t>{{KURZTITEL}}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40" w:before="0"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0B10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layfair Display" w:hAnsi="Playfair Display" w:cs="Source Sans 3" w:eastAsia="Playfair Display"/>
      <w:b/>
      <w:bCs/>
      <w:i w:val="0"/>
      <w:color w:val="0B102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/>
      <w:outlineLvl w:val="3"/>
    </w:pPr>
    <w:rPr>
      <w:rFonts w:asciiTheme="majorHAnsi" w:eastAsiaTheme="majorEastAsia" w:hAnsiTheme="majorHAnsi" w:cstheme="majorBidi" w:ascii="Source Sans 3" w:hAnsi="Source Sans 3" w:cs="Source Sans 3" w:eastAsia="Source Sans 3"/>
      <w:b/>
      <w:bCs/>
      <w:i w:val="0"/>
      <w:iCs/>
      <w:color w:val="2F7D5C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0B102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Playfair Display" w:hAnsi="Playfair Display" w:cs="Merriweather" w:eastAsia="Playfair Display"/>
      <w:b w:val="0"/>
      <w:i w:val="0"/>
      <w:iCs/>
      <w:color w:val="0B102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40"/>
      <w:contextualSpacing/>
    </w:pPr>
    <w:rPr>
      <w:rFonts w:ascii="Merriweather" w:hAnsi="Merriweather" w:cs="Merriweather" w:eastAsia="Merriweather"/>
      <w:b w:val="0"/>
      <w:i w:val="0"/>
      <w:color w:val="22242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erriweather" w:hAnsi="Merriweather" w:eastAsia="Merriweather"/>
      <w:i/>
      <w:iCs/>
      <w:color w:val="2F7D5C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urce Sans 3" w:hAnsi="Source Sans 3" w:eastAsia="Source Sans 3"/>
      <w:b/>
      <w:bCs/>
      <w:color w:val="2F7D5C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ÖkDokumenttyp">
    <w:name w:val="WÖk Dokumenttyp"/>
    <w:pPr>
      <w:spacing w:after="80" w:line="264" w:lineRule="auto"/>
      <w:jc w:val="center"/>
    </w:pPr>
    <w:rPr>
      <w:rFonts w:ascii="Source Sans 3" w:hAnsi="Source Sans 3" w:cs="Source Sans 3" w:eastAsia="Source Sans 3"/>
      <w:b/>
      <w:i w:val="0"/>
      <w:color w:val="C89B3C"/>
      <w:sz w:val="22"/>
    </w:rPr>
  </w:style>
  <w:style w:type="paragraph" w:customStyle="1" w:styleId="WÖkDeckblattMeta">
    <w:name w:val="WÖk Deckblatt Meta"/>
    <w:pPr>
      <w:spacing w:after="80" w:line="264" w:lineRule="auto"/>
      <w:jc w:val="center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Lead">
    <w:name w:val="WÖk Lead"/>
    <w:pPr>
      <w:spacing w:after="240" w:line="264" w:lineRule="auto"/>
    </w:pPr>
    <w:rPr>
      <w:rFonts w:ascii="Merriweather" w:hAnsi="Merriweather" w:cs="Merriweather" w:eastAsia="Merriweather"/>
      <w:b w:val="0"/>
      <w:i w:val="0"/>
      <w:color w:val="0B1020"/>
      <w:sz w:val="24"/>
    </w:rPr>
  </w:style>
  <w:style w:type="paragraph" w:customStyle="1" w:styleId="WÖkMetadatenLabel">
    <w:name w:val="WÖk Metadaten Label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6"/>
    </w:rPr>
  </w:style>
  <w:style w:type="paragraph" w:customStyle="1" w:styleId="WÖkMetadatenWert">
    <w:name w:val="WÖk Metadaten Wert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8"/>
    </w:rPr>
  </w:style>
  <w:style w:type="paragraph" w:customStyle="1" w:styleId="WÖkLeitformel">
    <w:name w:val="WÖk Leitformel"/>
    <w:pPr>
      <w:spacing w:after="80" w:line="264" w:lineRule="auto"/>
    </w:pPr>
    <w:rPr>
      <w:rFonts w:ascii="Merriweather" w:hAnsi="Merriweather" w:cs="Merriweather" w:eastAsia="Merriweather"/>
      <w:b w:val="0"/>
      <w:i/>
      <w:color w:val="0B1020"/>
      <w:sz w:val="21"/>
    </w:rPr>
  </w:style>
  <w:style w:type="paragraph" w:customStyle="1" w:styleId="WÖkHinweisbox">
    <w:name w:val="WÖk Hinweisbox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9"/>
    </w:rPr>
  </w:style>
  <w:style w:type="paragraph" w:customStyle="1" w:styleId="WÖkQuote">
    <w:name w:val="WÖk Quote"/>
    <w:pPr>
      <w:spacing w:after="160" w:line="264" w:lineRule="auto" w:before="160"/>
      <w:ind w:left="340" w:right="340"/>
    </w:pPr>
    <w:rPr>
      <w:rFonts w:ascii="Merriweather" w:hAnsi="Merriweather" w:cs="Merriweather" w:eastAsia="Merriweather"/>
      <w:b w:val="0"/>
      <w:i/>
      <w:color w:val="0B1020"/>
      <w:sz w:val="22"/>
    </w:rPr>
  </w:style>
  <w:style w:type="paragraph" w:customStyle="1" w:styleId="WÖkTabellenkopf">
    <w:name w:val="WÖk Tabellenkopf"/>
    <w:pPr>
      <w:spacing w:after="80" w:line="264" w:lineRule="auto"/>
    </w:pPr>
    <w:rPr>
      <w:rFonts w:ascii="Source Sans 3" w:hAnsi="Source Sans 3" w:cs="Source Sans 3" w:eastAsia="Source Sans 3"/>
      <w:b/>
      <w:i w:val="0"/>
      <w:color w:val="0B1020"/>
      <w:sz w:val="17"/>
    </w:rPr>
  </w:style>
  <w:style w:type="paragraph" w:customStyle="1" w:styleId="WÖkTabellenzelle">
    <w:name w:val="WÖk Tabellenzel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7"/>
    </w:rPr>
  </w:style>
  <w:style w:type="paragraph" w:customStyle="1" w:styleId="WÖkFußzeile">
    <w:name w:val="WÖk Fußzeile"/>
    <w:pPr>
      <w:spacing w:after="8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Kleindruck">
    <w:name w:val="WÖk Kleindruck"/>
    <w:pPr>
      <w:spacing w:after="40" w:line="264" w:lineRule="auto"/>
    </w:pPr>
    <w:rPr>
      <w:rFonts w:ascii="Source Sans 3" w:hAnsi="Source Sans 3" w:cs="Source Sans 3" w:eastAsia="Source Sans 3"/>
      <w:b w:val="0"/>
      <w:i w:val="0"/>
      <w:color w:val="22242C"/>
      <w:sz w:val="15"/>
    </w:rPr>
  </w:style>
  <w:style w:type="paragraph" w:customStyle="1" w:styleId="WÖkCaption">
    <w:name w:val="WÖk Caption"/>
    <w:pPr>
      <w:spacing w:after="80" w:line="264" w:lineRule="auto"/>
    </w:pPr>
    <w:rPr>
      <w:rFonts w:ascii="Source Sans 3" w:hAnsi="Source Sans 3" w:cs="Source Sans 3" w:eastAsia="Source Sans 3"/>
      <w:b w:val="0"/>
      <w:i/>
      <w:color w:val="22242C"/>
      <w:sz w:val="16"/>
    </w:rPr>
  </w:style>
  <w:style w:type="paragraph" w:customStyle="1" w:styleId="TableText">
    <w:name w:val="Table Text"/>
    <w:rPr>
      <w:rFonts w:ascii="Source Sans 3" w:hAnsi="Source Sans 3" w:eastAsia="Source Sans 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WÖk Dossier- und Konzeptpapier-Template</dc:title>
  <dc:subject>Word-Template für Arbeitspapiere, Konzepte und Dossiers</dc:subject>
  <dc:creator>Natalie Weber / Wirkungsökonomie</dc:creator>
  <cp:keywords>Wirkungsökonomie, WÖk, Dossier, Konzeptpapier, Arbeitspapier, Codex, Template</cp:keywords>
  <dc:description>Template mit Inhaltsschutz: nur Layout vereinheitlichen, Inhalte nicht ändern.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