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Gesundes, barrierefreies und resilientes Wohnen</w:t>
      </w:r>
    </w:p>
    <w:p>
      <w:pPr/>
      <w:r>
        <w:t>Wohnqualität als Gesundheits-, Pflege- und Klimaanpassungsfaktor.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Gesundes, barrierefreies und resilientes Wohnen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Gesundes, barrierefreies und resilientes Wohnen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WirkungslogikWohnqualität als Gesundheits-, Pflege- und Klimaanpassungsfaktor.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/wirkungsfelder/wohnen-stadt/detailkonzepte/gesundes_barrierefreies_resilientes_wohnen/</w:t>
      </w:r>
    </w:p>
    <w:p>
      <w:pPr/>
      <w:r>
        <w:t>• Dossierseite: /wirkungsfelder/wohnen-stadt/dossiers/gesundes_barrierefreies_resilientes_wohnen/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