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Mietwirkung und Bezahlbarkeit</w:t>
      </w:r>
    </w:p>
    <w:p>
      <w:pPr/>
      <w:r>
        <w:t>Miete, Warmkosten und Wohnkostenbelastung als soziale Wirkungsindikatoren.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Mietwirkung und Bezahlbarkeit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Mietwirkung und Bezahlbarkeit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WirkungslogikMiete, Warmkosten und Wohnkostenbelastung als soziale Wirkungsindikatoren.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/wirkungsfelder/wohnen-stadt/detailkonzepte/mietwirkung_bezahlbarkeit/</w:t>
      </w:r>
    </w:p>
    <w:p>
      <w:pPr/>
      <w:r>
        <w:t>• Dossierseite: /wirkungsfelder/wohnen-stadt/dossiers/mietwirkung_bezahlbarkeit/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