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Eigentum, Vermietung und Wirkungspflicht</w:t>
      </w:r>
    </w:p>
    <w:p>
      <w:pPr/>
      <w:r>
        <w:t>Eigentum als Freiheit mit Verantwortung für Wohnwirkung.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Eigentum, Vermietung und Wirkungspflicht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„Eigentum, Vermietung und Wirkungspflicht“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Input</w:t>
      </w:r>
    </w:p>
    <w:p>
      <w:pPr/>
      <w:r>
        <w:t>Arbeitsformel</w:t>
      </w:r>
    </w:p>
    <w:p>
      <w:pPr/>
      <w:r>
        <w:t>Output</w:t>
      </w:r>
    </w:p>
    <w:p>
      <w:pPr/>
      <w:r>
        <w:t>Wohnkosten + Einkommen</w:t>
      </w:r>
    </w:p>
    <w:p>
      <w:pPr/>
      <w:r>
        <w:t>Wohnkosten / Einkommen</w:t>
      </w:r>
    </w:p>
    <w:p>
      <w:pPr/>
      <w:r>
        <w:t>Mietbelastungsquote</w:t>
      </w:r>
    </w:p>
    <w:p>
      <w:pPr/>
      <w:r>
        <w:t>Mietbelastungsquote</w:t>
      </w:r>
    </w:p>
    <w:p>
      <w:pPr/>
      <w:r>
        <w:t>Scorematrix + Härtefallprüfung</w:t>
      </w:r>
    </w:p>
    <w:p>
      <w:pPr/>
      <w:r>
        <w:t>Mietwirkungs-Score</w:t>
      </w:r>
    </w:p>
    <w:p>
      <w:pPr/>
      <w:r>
        <w:t>Score + Haushaltstyp</w:t>
      </w:r>
    </w:p>
    <w:p>
      <w:pPr/>
      <w:r>
        <w:t>Schutzregel gegen Überlastung</w:t>
      </w:r>
    </w:p>
    <w:p>
      <w:pPr/>
      <w:r>
        <w:t>Förder- oder Entlastungsbedarf</w:t>
      </w:r>
    </w:p>
    <w:p>
      <w:pPr/>
      <w: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/wirkungsfelder/wohnen-stadt/dossiers/eigentum_vermietung_wirkungspflicht/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