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Finanzierung, Förderlogik und Wirkungsfonds</w:t>
      </w:r>
    </w:p>
    <w:p>
      <w:pPr/>
      <w:r>
        <w:t>Öffentliche Mittel und Kapitalströme nach Wohnwirkung steuern.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Finanzierung, Förderlogik und Wirkungsfonds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„Finanzierung, Förderlogik und Wirkungsfonds“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/wirkungsfelder/wohnen-stadt/dossiers/finanzierung_foerderlogik_wirkungsfonds/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