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Mietwirkung und Bezahlbarkeit</w:t>
      </w:r>
    </w:p>
    <w:p>
      <w:pPr/>
      <w:r>
        <w:t>Miete, Warmkosten und Wohnkostenbelastung als soziale Wirkungsindikatoren.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Mietwirkung und Bezahlbarkeit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„Mietwirkung und Bezahlbarkeit“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Input</w:t>
      </w:r>
    </w:p>
    <w:p>
      <w:pPr/>
      <w:r>
        <w:t>Arbeitsformel</w:t>
      </w:r>
    </w:p>
    <w:p>
      <w:pPr/>
      <w:r>
        <w:t>Output</w:t>
      </w:r>
    </w:p>
    <w:p>
      <w:pPr/>
      <w:r>
        <w:t>Wohnkosten + Einkommen</w:t>
      </w:r>
    </w:p>
    <w:p>
      <w:pPr/>
      <w:r>
        <w:t>Wohnkosten / Einkommen</w:t>
      </w:r>
    </w:p>
    <w:p>
      <w:pPr/>
      <w:r>
        <w:t>Mietbelastungsquote</w:t>
      </w:r>
    </w:p>
    <w:p>
      <w:pPr/>
      <w:r>
        <w:t>Mietbelastungsquote</w:t>
      </w:r>
    </w:p>
    <w:p>
      <w:pPr/>
      <w:r>
        <w:t>Scorematrix + Härtefallprüfung</w:t>
      </w:r>
    </w:p>
    <w:p>
      <w:pPr/>
      <w:r>
        <w:t>Mietwirkungs-Score</w:t>
      </w:r>
    </w:p>
    <w:p>
      <w:pPr/>
      <w:r>
        <w:t>Score + Haushaltstyp</w:t>
      </w:r>
    </w:p>
    <w:p>
      <w:pPr/>
      <w:r>
        <w:t>Schutzregel gegen Überlastung</w:t>
      </w:r>
    </w:p>
    <w:p>
      <w:pPr/>
      <w:r>
        <w:t>Förder- oder Entlastungsbedarf</w:t>
      </w:r>
    </w:p>
    <w:p>
      <w:pPr/>
      <w:r>
        <w:t>Beispiel: 1.250 Euro Wohnkosten bei 3.200 Euro verfügbarem Einkommen = 39,1 %. Das liegt im Grenzbereich. Eine Mieterhöhung oder Sanierungsumlage müsste durch Energiekosteneinsparung oder Ausgleich kompensiert werden.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/wirkungsfelder/wohnen-stadt/dossiers/mietwirkung_bezahlbarkeit/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