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Wohnwirkungsindex WIX-Wohn</w:t>
      </w:r>
    </w:p>
    <w:p>
      <w:pPr/>
      <w:r>
        <w:t>Indexlogik für Klima/Energie, Fairness/Miete und Sozial-/Quartierswirkung.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Wohnwirkungsindex WIX-Wohn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„Wohnwirkungsindex WIX-Wohn“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Feld</w:t>
      </w:r>
    </w:p>
    <w:p>
      <w:pPr/>
      <w:r>
        <w:t>Gewichtung</w:t>
      </w:r>
    </w:p>
    <w:p>
      <w:pPr/>
      <w:r>
        <w:t>Score</w:t>
      </w:r>
    </w:p>
    <w:p>
      <w:pPr/>
      <w:r>
        <w:t>Klima &amp; Energie</w:t>
      </w:r>
    </w:p>
    <w:p>
      <w:pPr/>
      <w:r>
        <w:t>35 %</w:t>
      </w:r>
    </w:p>
    <w:p>
      <w:pPr/>
      <w:r>
        <w:t>–3 bis +3</w:t>
      </w:r>
    </w:p>
    <w:p>
      <w:pPr/>
      <w:r>
        <w:t>Fairness &amp; Miete</w:t>
      </w:r>
    </w:p>
    <w:p>
      <w:pPr/>
      <w:r>
        <w:t>40 %</w:t>
      </w:r>
    </w:p>
    <w:p>
      <w:pPr/>
      <w:r>
        <w:t>–3 bis +3</w:t>
      </w:r>
    </w:p>
    <w:p>
      <w:pPr/>
      <w:r>
        <w:t>Sozial-/Quartierswirkung</w:t>
      </w:r>
    </w:p>
    <w:p>
      <w:pPr/>
      <w:r>
        <w:t>25 %</w:t>
      </w:r>
    </w:p>
    <w:p>
      <w:pPr/>
      <w:r>
        <w:t>–3 bis +3</w:t>
      </w:r>
    </w:p>
    <w:p>
      <w:pPr/>
      <w:r>
        <w:t>Arbeitsformel: WIX-Wohn = 0,35×Energie + 0,40×Mietfairness + 0,25×Sozialraum. Rote Linien begrenzen Schönrechnung, etwa bei Schimmel, extremer Mietbelastung oder aktiver Verdrängung.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/wirkungsfelder/wohnen-stadt/dossiers/wohnwirkungsindex_wix/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