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WIRKUNGSÖKONOMIE</w:t>
      </w:r>
    </w:p>
    <w:p>
      <w:pPr/>
      <w:r>
        <w:t>GESAMTDOSSIER</w:t>
      </w:r>
    </w:p>
    <w:p>
      <w:pPr/>
      <w:r>
        <w:t>Wohnen &amp; Stadt</w:t>
      </w:r>
    </w:p>
    <w:p>
      <w:pPr/>
      <w:r>
        <w:t>Gesamtdossier mit Beispielen, Berechnungen, Datenquellen, Tool-Logik und politischer Umsetzung</w:t>
      </w:r>
    </w:p>
    <w:p>
      <w:pPr/>
      <w:r>
        <w:t>Autorin: Natalie Weber · Referenz: Wirkungsökonomie</w:t>
      </w:r>
    </w:p>
    <w:p>
      <w:pPr/>
      <w:r>
        <w:t>Version v0.1 · Stand: 24. Mai 2026 · Status: Arbeitsfassung / Diskussionsfassung</w:t>
      </w:r>
    </w:p>
    <w:p>
      <w:pPr/>
      <w:r>
        <w:t>Wirkung statt KapitalWohnen als Lebens- und Vertrauensraum</w:t>
      </w:r>
    </w:p>
    <w:p>
      <w:pPr/>
      <w:r>
        <w:t>Mensch · Planet · DemokratieBezahlbarkeit, Gesundheit, Klima, Teilhabe</w:t>
      </w:r>
    </w:p>
    <w:p>
      <w:pPr/>
      <w:r>
        <w:t>Politische AnschlussfähigkeitRahmen setzen, Ausgestaltung ermöglichen</w:t>
      </w:r>
    </w:p>
    <w:p>
      <w:pPr/>
      <w:r>
        <w:t>Dokumenttyp</w:t>
      </w:r>
    </w:p>
    <w:p>
      <w:pPr/>
      <w:r>
        <w:t>Gesamtdossier</w:t>
      </w:r>
    </w:p>
    <w:p>
      <w:pPr/>
      <w:r>
        <w:t>Themenbereich</w:t>
      </w:r>
    </w:p>
    <w:p>
      <w:pPr/>
      <w:r>
        <w:t>Wirkungsfeld Wohnen &amp; Stadt</w:t>
      </w:r>
    </w:p>
    <w:p>
      <w:pPr/>
      <w:r>
        <w:t>Autorin</w:t>
      </w:r>
    </w:p>
    <w:p>
      <w:pPr/>
      <w:r>
        <w:t>Natalie Weber</w:t>
      </w:r>
    </w:p>
    <w:p>
      <w:pPr/>
      <w:r>
        <w:t>Referenz</w:t>
      </w:r>
    </w:p>
    <w:p>
      <w:pPr/>
      <w:r>
        <w:t>Wirkungsökonomie</w:t>
      </w:r>
    </w:p>
    <w:p>
      <w:pPr/>
      <w:r>
        <w:t>Version</w:t>
      </w:r>
    </w:p>
    <w:p>
      <w:pPr/>
      <w:r>
        <w:t>v0.1</w:t>
      </w:r>
    </w:p>
    <w:p>
      <w:pPr/>
      <w:r>
        <w:t>Stand</w:t>
      </w:r>
    </w:p>
    <w:p>
      <w:pPr>
        <w:pStyle w:val="ListNumber"/>
      </w:pPr>
      <w:r>
        <w:t>Mai 2026</w:t>
      </w:r>
    </w:p>
    <w:p>
      <w:pPr/>
      <w:r>
        <w:t>Status</w:t>
      </w:r>
    </w:p>
    <w:p>
      <w:pPr/>
      <w:r>
        <w:t>Arbeitsfassung / Diskussionsfassung</w:t>
      </w:r>
    </w:p>
    <w:p>
      <w:pPr/>
      <w:r>
        <w:t>Hinweis</w:t>
      </w:r>
    </w:p>
    <w:p>
      <w:pPr/>
      <w:r>
        <w:t>Arbeitsfassung für Konzept-, Website- und Dossierarchitektur; keine Rechts-, Steuer- oder Förderberatung.</w:t>
      </w:r>
    </w:p>
    <w:p>
      <w:pPr>
        <w:pStyle w:val="ListNumber"/>
      </w:pPr>
      <w:r>
        <w:t>Zweck des Dossiers</w:t>
      </w:r>
    </w:p>
    <w:p>
      <w:pPr/>
      <w:r>
        <w:t>Dieses Dossier macht das Wohnkonzept operativ. Es zeigt, wie Wohnwirkung berechnet werden kann, welche Datenquellen genutzt werden, welche Modellannahmen offen zu kennzeichnen sind und wie Politik, Kommunen, Eigentümer:innen, Vermieter:innen, Mieter:innen und Unternehmen damit arbeiten können.</w:t>
      </w:r>
    </w:p>
    <w:p>
      <w:pPr>
        <w:pStyle w:val="ListNumber"/>
      </w:pPr>
      <w:r>
        <w:t>Beispielrechnung: Mietbelastung</w:t>
      </w:r>
    </w:p>
    <w:p>
      <w:pPr/>
      <w:r>
        <w:t>Arbeitsformel: Mietbelastung = monatliche Wohnkosten / verfügbares Haushaltseinkommen. Wohnkosten umfassen je nach Anwendung Bruttokaltmiete, warme Nebenkosten, Energie und weitere wohnbezogene Pflichtkosten. Die Schwellen dienen als Arbeitsmatrix und müssen politisch überprüft werden.</w:t>
      </w:r>
    </w:p>
    <w:p>
      <w:pPr/>
      <w:r>
        <w:t>Mietbelastung</w:t>
      </w:r>
    </w:p>
    <w:p>
      <w:pPr/>
      <w:r>
        <w:t>Wirkungsscore</w:t>
      </w:r>
    </w:p>
    <w:p>
      <w:pPr/>
      <w:r>
        <w:t>Interpretation</w:t>
      </w:r>
    </w:p>
    <w:p>
      <w:pPr/>
      <w:r>
        <w:t>≤ 25 %</w:t>
      </w:r>
    </w:p>
    <w:p>
      <w:pPr/>
      <w:r>
        <w:t>+3</w:t>
      </w:r>
    </w:p>
    <w:p>
      <w:pPr/>
      <w:r>
        <w:t>sehr entlastend / hoher Spielraum</w:t>
      </w:r>
    </w:p>
    <w:p>
      <w:pPr>
        <w:pStyle w:val="Quote"/>
      </w:pPr>
      <w:r>
        <w:t>25–30 %</w:t>
      </w:r>
    </w:p>
    <w:p>
      <w:pPr/>
      <w:r>
        <w:t>+2</w:t>
      </w:r>
    </w:p>
    <w:p>
      <w:pPr/>
      <w:r>
        <w:t>tragfähig</w:t>
      </w:r>
    </w:p>
    <w:p>
      <w:pPr>
        <w:pStyle w:val="Quote"/>
      </w:pPr>
      <w:r>
        <w:t>30–35 %</w:t>
      </w:r>
    </w:p>
    <w:p>
      <w:pPr/>
      <w:r>
        <w:t>+1</w:t>
      </w:r>
    </w:p>
    <w:p>
      <w:pPr/>
      <w:r>
        <w:t>noch stabil</w:t>
      </w:r>
    </w:p>
    <w:p>
      <w:pPr>
        <w:pStyle w:val="Quote"/>
      </w:pPr>
      <w:r>
        <w:t>35–40 %</w:t>
      </w:r>
    </w:p>
    <w:p>
      <w:pPr/>
      <w:r>
        <w:t>0</w:t>
      </w:r>
    </w:p>
    <w:p>
      <w:pPr/>
      <w:r>
        <w:t>Grenzbereich</w:t>
      </w:r>
    </w:p>
    <w:p>
      <w:pPr>
        <w:pStyle w:val="Quote"/>
      </w:pPr>
      <w:r>
        <w:t>40–50 %</w:t>
      </w:r>
    </w:p>
    <w:p>
      <w:pPr/>
      <w:r>
        <w:t>–1</w:t>
      </w:r>
    </w:p>
    <w:p>
      <w:pPr/>
      <w:r>
        <w:t>Überbelastung beginnt</w:t>
      </w:r>
    </w:p>
    <w:p>
      <w:pPr>
        <w:pStyle w:val="Quote"/>
      </w:pPr>
      <w:r>
        <w:t>50–60 %</w:t>
      </w:r>
    </w:p>
    <w:p>
      <w:pPr/>
      <w:r>
        <w:t>–2</w:t>
      </w:r>
    </w:p>
    <w:p>
      <w:pPr/>
      <w:r>
        <w:t>hohe Krisenanfälligkeit</w:t>
      </w:r>
    </w:p>
    <w:p>
      <w:pPr>
        <w:pStyle w:val="Quote"/>
      </w:pPr>
      <w:r>
        <w:t>60 %</w:t>
      </w:r>
    </w:p>
    <w:p>
      <w:pPr/>
      <w:r>
        <w:t>–3</w:t>
      </w:r>
    </w:p>
    <w:p>
      <w:pPr/>
      <w:r>
        <w:t>existenzielle Wohnkostenkrise</w:t>
      </w:r>
    </w:p>
    <w:p>
      <w:pPr/>
      <w:r>
        <w:t>Beispiel: Haushaltseinkommen 3.000 Euro, Wohnkosten 1.140 Euro. Mietbelastung = 1.140 / 3.000 = 38 %. Score 0. Interpretation: Grenzbereich; keine zusätzliche ökologische Sanierung darf die Warmmiete erhöhen, ohne sozialen Ausgleich.</w:t>
      </w:r>
    </w:p>
    <w:p>
      <w:pPr>
        <w:pStyle w:val="ListNumber"/>
      </w:pPr>
      <w:r>
        <w:t>Beispielrechnung: WIX-Wohn</w:t>
      </w:r>
    </w:p>
    <w:p>
      <w:pPr/>
      <w:r>
        <w:t>Feld</w:t>
      </w:r>
    </w:p>
    <w:p>
      <w:pPr/>
      <w:r>
        <w:t>Score</w:t>
      </w:r>
    </w:p>
    <w:p>
      <w:pPr/>
      <w:r>
        <w:t>Gewichtung</w:t>
      </w:r>
    </w:p>
    <w:p>
      <w:pPr/>
      <w:r>
        <w:t>Teilwert</w:t>
      </w:r>
    </w:p>
    <w:p>
      <w:pPr/>
      <w:r>
        <w:t>Klima &amp; Energie</w:t>
      </w:r>
    </w:p>
    <w:p>
      <w:pPr/>
      <w:r>
        <w:t>+1</w:t>
      </w:r>
    </w:p>
    <w:p>
      <w:pPr/>
      <w:r>
        <w:t>35 %</w:t>
      </w:r>
    </w:p>
    <w:p>
      <w:pPr/>
      <w:r>
        <w:t>+0,35</w:t>
      </w:r>
    </w:p>
    <w:p>
      <w:pPr/>
      <w:r>
        <w:t>Fairness &amp; Miete</w:t>
      </w:r>
    </w:p>
    <w:p>
      <w:pPr/>
      <w:r>
        <w:t>0</w:t>
      </w:r>
    </w:p>
    <w:p>
      <w:pPr/>
      <w:r>
        <w:t>40 %</w:t>
      </w:r>
    </w:p>
    <w:p>
      <w:pPr/>
      <w:r>
        <w:t>0,00</w:t>
      </w:r>
    </w:p>
    <w:p>
      <w:pPr/>
      <w:r>
        <w:t>Soziales Umfeld</w:t>
      </w:r>
    </w:p>
    <w:p>
      <w:pPr/>
      <w:r>
        <w:t>+2</w:t>
      </w:r>
    </w:p>
    <w:p>
      <w:pPr/>
      <w:r>
        <w:t>25 %</w:t>
      </w:r>
    </w:p>
    <w:p>
      <w:pPr/>
      <w:r>
        <w:t>+0,50</w:t>
      </w:r>
    </w:p>
    <w:p>
      <w:pPr/>
      <w:r>
        <w:t>Gesamt WIX-Wohn</w:t>
      </w:r>
    </w:p>
    <w:p>
      <w:pPr/>
      <w:r>
        <w:t>+0,85</w:t>
      </w:r>
    </w:p>
    <w:p>
      <w:pPr/>
      <w:r>
        <w:t>Arbeitsinterpretation: +0,85 liegt zwischen neutral und leicht positiv. Ohne negative rote Linie wäre das Objekt förderfähig, aber nicht maximal bonifizierbar. Bei Schimmel, Verdrängung oder Mietbelastung über 60 % würde eine Nicht-Kompensationsregel greifen.</w:t>
      </w:r>
    </w:p>
    <w:p>
      <w:pPr>
        <w:pStyle w:val="ListNumber"/>
      </w:pPr>
      <w:r>
        <w:t>Beispielrechnung: Sanierungswirkung</w:t>
      </w:r>
    </w:p>
    <w:p>
      <w:pPr/>
      <w:r>
        <w:t>Arbeitsannahme: Wohnung 70 m², Endenergie vor Sanierung 180 kWh/m²a, nach Sanierung 70 kWh/m²a, Emissionsfaktor Modellwert 0,20 kg CO₂/kWh. Eingesparte Emissionen = (180-70) × 70 × 0,20 / 1000 = 1,54 t CO₂/Jahr. Datenquelle im realen Tool: Energieausweis, Verbrauchsdaten, Gebäuderegister, CO₂-Faktoren, Wärmeträger.</w:t>
      </w:r>
    </w:p>
    <w:p>
      <w:pPr>
        <w:pStyle w:val="ListNumber"/>
      </w:pPr>
      <w:r>
        <w:t>Warmmietenneutralität</w:t>
      </w:r>
    </w:p>
    <w:p>
      <w:pPr/>
      <w:r>
        <w:t>Eine Sanierung ist sozial positiv, wenn die Summe aus Miete, Umlage und Energiekosten nach der Maßnahme nicht zu einer Wohnkostenkrise führt. Formel: Warmmiete_nach = Kaltmiete_nach + Nebenkosten_nach + Energiekosten_nach. Warmmietenneutralität liegt vor, wenn Warmmiete_nach ≤ Warmmiete_vor oder wenn die Differenz sozial ausgeglichen wird.</w:t>
      </w:r>
    </w:p>
    <w:p>
      <w:pPr>
        <w:pStyle w:val="ListNumber"/>
      </w:pPr>
      <w:r>
        <w:t>Politische Optionen</w:t>
      </w:r>
    </w:p>
    <w:p>
      <w:pPr/>
      <w:r>
        <w:t>Option</w:t>
      </w:r>
    </w:p>
    <w:p>
      <w:pPr/>
      <w:r>
        <w:t>Politischer Spielraum</w:t>
      </w:r>
    </w:p>
    <w:p>
      <w:pPr/>
      <w:r>
        <w:t>Wirkungsrisiko</w:t>
      </w:r>
    </w:p>
    <w:p>
      <w:pPr/>
      <w:r>
        <w:t>Marktanreize</w:t>
      </w:r>
    </w:p>
    <w:p>
      <w:pPr/>
      <w:r>
        <w:t>Steuerklassen, Bonus, Abschläge</w:t>
      </w:r>
    </w:p>
    <w:p>
      <w:pPr/>
      <w:r>
        <w:t>Mitnahmeeffekte ohne Kontrolle</w:t>
      </w:r>
    </w:p>
    <w:p>
      <w:pPr/>
      <w:r>
        <w:t>Förderung</w:t>
      </w:r>
    </w:p>
    <w:p>
      <w:pPr/>
      <w:r>
        <w:t>Sanierungsfonds, Sozialbindung, Zuschüsse</w:t>
      </w:r>
    </w:p>
    <w:p>
      <w:pPr/>
      <w:r>
        <w:t>Bürokratie und Förderlücken</w:t>
      </w:r>
    </w:p>
    <w:p>
      <w:pPr/>
      <w:r>
        <w:t>Kommunale Steuerung</w:t>
      </w:r>
    </w:p>
    <w:p>
      <w:pPr/>
      <w:r>
        <w:t>Bodenfonds, Erbbaurecht, Quartiersprofile</w:t>
      </w:r>
    </w:p>
    <w:p>
      <w:pPr/>
      <w:r>
        <w:t>Überlastung kleiner Kommunen</w:t>
      </w:r>
    </w:p>
    <w:p>
      <w:pPr/>
      <w:r>
        <w:t>Mieterschutz</w:t>
      </w:r>
    </w:p>
    <w:p>
      <w:pPr/>
      <w:r>
        <w:t>Kappung, Härtefall, Transparenz</w:t>
      </w:r>
    </w:p>
    <w:p>
      <w:pPr/>
      <w:r>
        <w:t>Investitionshemmnisse bei falscher Ausgestaltung</w:t>
      </w:r>
    </w:p>
    <w:p>
      <w:pPr/>
      <w:r>
        <w:t>Eigentumsförderung</w:t>
      </w:r>
    </w:p>
    <w:p>
      <w:pPr/>
      <w:r>
        <w:t>Genossenschaften, Baugruppen, Eigenkapitalhilfen</w:t>
      </w:r>
    </w:p>
    <w:p>
      <w:pPr/>
      <w:r>
        <w:t>Vermögensvorteile ohne Sozialbindung</w:t>
      </w:r>
    </w:p>
    <w:p>
      <w:pPr/>
      <w:r>
        <w:t>Politische Anschlussfähigkeit und Ausgestaltungsspielraum</w:t>
      </w:r>
    </w:p>
    <w:p>
      <w:pPr/>
      <w:r>
        <w:t>KernprinzipDie Wirkungsökonomie ersetzt politischen Diskurs nicht. Sie macht Wirkungen, Zielkonflikte, Verteilungsfragen und Risiken sichtbar, damit demokratische Parteien unterschiedliche Ausgestaltungen begründen und vergleichen können.</w:t>
      </w:r>
    </w:p>
    <w:p>
      <w:pPr/>
      <w:r>
        <w:t>• Aufgabe der Politik ist die Festlegung von Zielkorridoren, Schutzgrenzen, Übergangsfristen, sozialer Abfederung, Zuständigkeiten und Prüfverfahren.</w:t>
      </w:r>
    </w:p>
    <w:p>
      <w:pPr/>
      <w:r>
        <w:t>• Parteien können unterschiedliche Schwerpunkte setzen: mehr Marktanreize, stärkere öffentliche Förderung, kommunale Wohnungswirtschaft, Eigentumsförderung, Mieterschutz, Neubau, Bestandssanierung oder Bodenpolitik.</w:t>
      </w:r>
    </w:p>
    <w:p>
      <w:pPr/>
      <w:r>
        <w:t>• Der verbindende Rahmen ist nicht ein einziges „wahres“ Modell, sondern Transparenz über Wirkungen auf Bezahlbarkeit, Gesundheit, Klima, Teilhabe, Eigentumsfreiheit, Investitionsfähigkeit und demokratisches Vertrauen.</w:t>
      </w:r>
    </w:p>
    <w:p>
      <w:pPr/>
      <w:r>
        <w:t>• Politische Umsetzung braucht Piloträume, Evaluation, Rechts- und Datenschutzprüfung, Beteiligung von Mieter:innen, Eigentümer:innen, Kommunen, Bauwirtschaft und Zivilgesellschaft.</w:t>
      </w:r>
    </w:p>
    <w:p>
      <w:pPr/>
      <w:r>
        <w:t>• Jede Seite im Portal muss deshalb nicht nur ein Konzept erklären, sondern auch politische Aufgaben, Entscheidungsoptionen, Zielkonflikte und demokratische Gestaltungsspielräume sichtbar machen.</w:t>
      </w:r>
    </w:p>
    <w:p>
      <w:pPr>
        <w:pStyle w:val="ListNumber"/>
      </w:pPr>
      <w:r>
        <w:t>Tool- und Online-Logik</w:t>
      </w:r>
    </w:p>
    <w:p>
      <w:pPr/>
      <w:r>
        <w:t>• Wohnwirkungsrechner: berechnet Mietbelastung, Energie-Score, Quartierswirkung, WIX-Wohn und Handlungsoptionen.</w:t>
      </w:r>
    </w:p>
    <w:p>
      <w:pPr/>
      <w:r>
        <w:t>• Sanierungswirkungsrechner: zeigt CO₂-Wirkung, Warmmietenwirkung, Amortisation und soziale Abfederung.</w:t>
      </w:r>
    </w:p>
    <w:p>
      <w:pPr/>
      <w:r>
        <w:t>• Quartierswirkungscheck: verbindet Grün, Hitze, Mobilität, Versorgung, Nachbarschaft, Pflege, Bildung und Gesundheit.</w:t>
      </w:r>
    </w:p>
    <w:p>
      <w:pPr/>
      <w:r>
        <w:t>• Politikvariante: zeigt, wie unterschiedliche Gewichtungen verschiedene politische Schwerpunkte sichtbar machen.</w:t>
      </w:r>
    </w:p>
    <w:p>
      <w:pPr/>
      <w:r>
        <w:t>Quellen- und Datenbasis</w:t>
      </w:r>
    </w:p>
    <w:p>
      <w:pPr/>
      <w:r>
        <w:t>Die folgenden Quellen dienen als Ausgangspunkt für die Online-Fassung, die Berechnungsbeispiele und die politische Anschlussfähigkeit. Modellwerte sind als Arbeitsannahmen gekennzeichnet und ersetzen keine amtliche Berechnung.</w:t>
      </w:r>
    </w:p>
    <w:p>
      <w:pPr/>
      <w:r>
        <w:t>• Destatis: Wohnen in Deutschland: https://www.destatis.de/DE/Themen/Gesellschaft-Umwelt/Wohnen/_inhalt.html</w:t>
      </w:r>
    </w:p>
    <w:p>
      <w:pPr/>
      <w:r>
        <w:t>• Destatis/Eurostat: Wohnkostenüberbelastung 2025: https://www.destatis.de/Europa/DE/Thema/Bevoelkerung-Arbeit-Soziales/Soziales-Lebensbedingungen/Wohnkosten.html</w:t>
      </w:r>
    </w:p>
    <w:p>
      <w:pPr/>
      <w:r>
        <w:t>• BBSR: Wohnungsbedarfsprognose 2025: https://www.bbsr.bund.de/BBSR/DE/presse/presseinformationen/2025/wohnungsbedarfsprognose.html</w:t>
      </w:r>
    </w:p>
    <w:p>
      <w:pPr/>
      <w:r>
        <w:t>• Umweltbundesamt: Emissionsdaten 2024 – Gebäude: https://www.umweltbundesamt.de/system/files?file=medien/11867/dokumente/emissionsdaten_2024_-_pressehintergrundinformationen.pdf</w:t>
      </w:r>
    </w:p>
    <w:p>
      <w:pPr/>
      <w:r>
        <w:t>• Europäische Kommission: Energy Performance of Buildings Directive: https://energy.ec.europa.eu/topics/energy-efficiency/energy-performance-buildings/energy-performance-buildings-directive_en</w:t>
      </w:r>
    </w:p>
    <w:p>
      <w:pPr/>
      <w:r>
        <w:t>• Interne WÖk-Basis: Working-Paper Wohnungsmarkt, Systemmodell, Buchfassung 2026, Begriffsleitfaden: /werkstatt/arbeitsbibliothek/wirkungsfelder/wohnen-stadt/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07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75"/>
      <w:gridCol w:w="3175"/>
      <w:gridCol w:w="3175"/>
    </w:tblGrid>
    <w:tr>
      <w:tc>
        <w:tcPr>
          <w:tcW w:type="dxa" w:w="3401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lef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{{DOKUMENTTYP}} · {{STAND}}</w:t>
          </w:r>
        </w:p>
      </w:tc>
      <w:tc>
        <w:tcPr>
          <w:tcW w:type="dxa" w:w="2834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center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Wirkung statt Kapital</w:t>
          </w:r>
        </w:p>
      </w:tc>
      <w:tc>
        <w:tcPr>
          <w:tcW w:type="dxa" w:w="3288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 xml:space="preserve">Seite </w:t>
          </w: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762"/>
      <w:gridCol w:w="4762"/>
    </w:tblGrid>
    <w:tr>
      <w:tc>
        <w:tcPr>
          <w:tcW w:type="dxa" w:w="5385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23200" cy="184569"/>
                <wp:docPr id="1" name="Picture 1" descr="Image: item1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oek-signe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200" cy="18456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Playfair Display" w:hAnsi="Playfair Display" w:cs="Playfair Display" w:eastAsia="Playfair Display"/>
              <w:b w:val="0"/>
              <w:i w:val="0"/>
              <w:color w:val="0B1020"/>
              <w:sz w:val="18"/>
              <w:caps/>
              <w:spacing w:val="25"/>
            </w:rPr>
            <w:t xml:space="preserve">  WIRKUNGSÖKONOMIE</w:t>
          </w:r>
        </w:p>
      </w:tc>
      <w:tc>
        <w:tcPr>
          <w:tcW w:type="dxa" w:w="4138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5"/>
            </w:rPr>
            <w:t>{{KURZTITEL}}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 w:before="0"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bCs/>
      <w:i w:val="0"/>
      <w:color w:val="0B10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Source Sans 3" w:hAnsi="Source Sans 3" w:cs="Source Sans 3" w:eastAsia="Source Sans 3"/>
      <w:b/>
      <w:bCs/>
      <w:i w:val="0"/>
      <w:iCs/>
      <w:color w:val="2F7D5C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  <w:jc w:val="center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i w:val="0"/>
      <w:color w:val="0B102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 w:ascii="Playfair Display" w:hAnsi="Playfair Display" w:cs="Merriweather" w:eastAsia="Playfair Display"/>
      <w:b w:val="0"/>
      <w:i w:val="0"/>
      <w:iCs/>
      <w:color w:val="0B102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40"/>
      <w:contextualSpacing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erriweather" w:hAnsi="Merriweather" w:eastAsia="Merriweather"/>
      <w:i/>
      <w:iCs/>
      <w:color w:val="2F7D5C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urce Sans 3" w:hAnsi="Source Sans 3" w:eastAsia="Source Sans 3"/>
      <w:b/>
      <w:bCs/>
      <w:color w:val="2F7D5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ÖkDokumenttyp">
    <w:name w:val="WÖk Dokumenttyp"/>
    <w:pPr>
      <w:spacing w:after="80" w:line="264" w:lineRule="auto"/>
      <w:jc w:val="center"/>
    </w:pPr>
    <w:rPr>
      <w:rFonts w:ascii="Source Sans 3" w:hAnsi="Source Sans 3" w:cs="Source Sans 3" w:eastAsia="Source Sans 3"/>
      <w:b/>
      <w:i w:val="0"/>
      <w:color w:val="C89B3C"/>
      <w:sz w:val="22"/>
    </w:rPr>
  </w:style>
  <w:style w:type="paragraph" w:customStyle="1" w:styleId="WÖkDeckblattMeta">
    <w:name w:val="WÖk Deckblatt Meta"/>
    <w:pPr>
      <w:spacing w:after="80" w:line="264" w:lineRule="auto"/>
      <w:jc w:val="center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Lead">
    <w:name w:val="WÖk Lead"/>
    <w:pPr>
      <w:spacing w:after="240" w:line="264" w:lineRule="auto"/>
    </w:pPr>
    <w:rPr>
      <w:rFonts w:ascii="Merriweather" w:hAnsi="Merriweather" w:cs="Merriweather" w:eastAsia="Merriweather"/>
      <w:b w:val="0"/>
      <w:i w:val="0"/>
      <w:color w:val="0B1020"/>
      <w:sz w:val="24"/>
    </w:rPr>
  </w:style>
  <w:style w:type="paragraph" w:customStyle="1" w:styleId="WÖkMetadatenLabel">
    <w:name w:val="WÖk Metadaten Label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6"/>
    </w:rPr>
  </w:style>
  <w:style w:type="paragraph" w:customStyle="1" w:styleId="WÖkMetadatenWert">
    <w:name w:val="WÖk Metadaten Wert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8"/>
    </w:rPr>
  </w:style>
  <w:style w:type="paragraph" w:customStyle="1" w:styleId="WÖkLeitformel">
    <w:name w:val="WÖk Leitformel"/>
    <w:pPr>
      <w:spacing w:after="80" w:line="264" w:lineRule="auto"/>
    </w:pPr>
    <w:rPr>
      <w:rFonts w:ascii="Merriweather" w:hAnsi="Merriweather" w:cs="Merriweather" w:eastAsia="Merriweather"/>
      <w:b w:val="0"/>
      <w:i/>
      <w:color w:val="0B1020"/>
      <w:sz w:val="21"/>
    </w:rPr>
  </w:style>
  <w:style w:type="paragraph" w:customStyle="1" w:styleId="WÖkHinweisbox">
    <w:name w:val="WÖk Hinweisbox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9"/>
    </w:rPr>
  </w:style>
  <w:style w:type="paragraph" w:customStyle="1" w:styleId="WÖkQuote">
    <w:name w:val="WÖk Quote"/>
    <w:pPr>
      <w:spacing w:after="160" w:line="264" w:lineRule="auto" w:before="160"/>
      <w:ind w:left="340" w:right="340"/>
    </w:pPr>
    <w:rPr>
      <w:rFonts w:ascii="Merriweather" w:hAnsi="Merriweather" w:cs="Merriweather" w:eastAsia="Merriweather"/>
      <w:b w:val="0"/>
      <w:i/>
      <w:color w:val="0B1020"/>
      <w:sz w:val="22"/>
    </w:rPr>
  </w:style>
  <w:style w:type="paragraph" w:customStyle="1" w:styleId="WÖkTabellenkopf">
    <w:name w:val="WÖk Tabellenkopf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7"/>
    </w:rPr>
  </w:style>
  <w:style w:type="paragraph" w:customStyle="1" w:styleId="WÖkTabellenzelle">
    <w:name w:val="WÖk Tabellenzel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Fußzeile">
    <w:name w:val="WÖk Fußzei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Kleindruck">
    <w:name w:val="WÖk Kleindruck"/>
    <w:pPr>
      <w:spacing w:after="4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Caption">
    <w:name w:val="WÖk Caption"/>
    <w:pPr>
      <w:spacing w:after="80" w:line="264" w:lineRule="auto"/>
    </w:pPr>
    <w:rPr>
      <w:rFonts w:ascii="Source Sans 3" w:hAnsi="Source Sans 3" w:cs="Source Sans 3" w:eastAsia="Source Sans 3"/>
      <w:b w:val="0"/>
      <w:i/>
      <w:color w:val="22242C"/>
      <w:sz w:val="16"/>
    </w:rPr>
  </w:style>
  <w:style w:type="paragraph" w:customStyle="1" w:styleId="TableText">
    <w:name w:val="Table Text"/>
    <w:rPr>
      <w:rFonts w:ascii="Source Sans 3" w:hAnsi="Source Sans 3" w:eastAsia="Source Sans 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WÖk Dossier- und Konzeptpapier-Template</dc:title>
  <dc:subject>Word-Template für Arbeitspapiere, Konzepte und Dossiers</dc:subject>
  <dc:creator>Natalie Weber / Wirkungsökonomie</dc:creator>
  <cp:keywords>Wirkungsökonomie, WÖk, Dossier, Konzeptpapier, Arbeitspapier, Codex, Template</cp:keywords>
  <dc:description>Template mit Inhaltsschutz: nur Layout vereinheitlichen, Inhalte nicht ändern.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