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/Users/hagen/Documents/New project/content/studienskripte/woek-g-v20.md</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Tiefenskript-Sprint 7 · substanzielle Arbeitsfassung, Claude-CI/CD-Finalisierung offen 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Gesellschaftliche Resonanzfaktoren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Gesellschaftliche Resonanzfaktoren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Gesellschaftliche Resonanzfaktoren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Gesellschaftliche Resonanzfaktoren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Gesellschaftliche Resonanzfaktoren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Gesellschaftliche Resonanzfaktoren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Gesellschaftliche Resonanzfaktoren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V20.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