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 /Users/hagen/Documents/New project/content/studienskripte/woek-g-v33.md</w:t>
      </w:r>
    </w:p>
    <w:p>
      <w:r>
        <w:t>Track: Grundstudium Wirkungsökonomie Kurscode: woek-g Vorlesungscode: V33 Modul/Abschnitt: G3.3 Titel: NWI und T-SROI unterscheiden Status: Studienskript V1 · fachlich finale Codex-Fassung, Claude-CI/CD-Satzfreigabe offen Quelle: woek-akademie-app/docs/lehrgaenge/woek-g-v33-nwi-und-t-sroi-unterscheiden.md Ablage: Markdown-Master in content/studienskripte/woek-g-v33.md, Word-Rohfassung in docs/studienskripte/word-rohfassungen/woek-g-v33.docx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V33 NWI und T-SROI unterscheiden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V33.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NWI, T-SROI, Transformationswirkung</w:t>
      </w:r>
    </w:p>
    <w:p>
      <w:pPr>
        <w:pStyle w:val="ListBullet"/>
      </w:pPr>
      <w:r>
        <w:t>source-assets/originals/WOeK_Begriffsleitfaden_fuehrend_v1.0.md</w:t>
      </w:r>
    </w:p>
    <w:p>
      <w:pPr>
        <w:pStyle w:val="ListBullet"/>
      </w:pPr>
      <w:r>
        <w:t>Glossar: begriffe/netto-wirkungs-index, begriffe/t-sroi, 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woek-g-v33-wirkpfad type: wirkpfad reuse_first: true preferred_asset: content/studienskripte/assets/woek-g-v33/woek-g-v33-wirkpfad.svg message: NWI und T-SROI unterscheiden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NWI und T-SROI beantworten unterschiedliche Fragen: Der Netto-Wirkungs-Index verdichtet ein Wirkungsprofil, T-SROI beschreibt Transformationswirkung im Verhältnis zu eingesetzten Ressourcen und langfristigen Systemeffekten.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NWI</w:t>
            </w:r>
          </w:p>
        </w:tc>
        <w:tc>
          <w:tcPr>
            <w:tcW w:type="dxa" w:w="2340"/>
            <w:vAlign w:val="center"/>
          </w:tcPr>
          <w:p>
            <w:r>
              <w:t>verdichtetes Bewertungsprofil positiver Netto-Wirkung</w:t>
            </w:r>
          </w:p>
        </w:tc>
        <w:tc>
          <w:tcPr>
            <w:tcW w:type="dxa" w:w="2340"/>
            <w:vAlign w:val="center"/>
          </w:tcPr>
          <w:p>
            <w:r>
              <w:t>Index als absolute Wahrheit lesen</w:t>
            </w:r>
          </w:p>
        </w:tc>
        <w:tc>
          <w:tcPr>
            <w:tcW w:type="dxa" w:w="2340"/>
            <w:vAlign w:val="center"/>
          </w:tcPr>
          <w:p>
            <w:r>
              <w:t>Profil, Datenqualität, Grenzen und Sperrlogik mitlesen</w:t>
            </w:r>
          </w:p>
        </w:tc>
      </w:tr>
      <w:tr>
        <w:tc>
          <w:tcPr>
            <w:tcW w:type="dxa" w:w="2340"/>
            <w:vAlign w:val="center"/>
          </w:tcPr>
          <w:p>
            <w:r>
              <w:t>T-SROI</w:t>
            </w:r>
          </w:p>
        </w:tc>
        <w:tc>
          <w:tcPr>
            <w:tcW w:type="dxa" w:w="2340"/>
            <w:vAlign w:val="center"/>
          </w:tcPr>
          <w:p>
            <w:r>
              <w:t>Verhältnis von Transformationswirkung zu Ressourceneinsatz</w:t>
            </w:r>
          </w:p>
        </w:tc>
        <w:tc>
          <w:tcPr>
            <w:tcW w:type="dxa" w:w="2340"/>
            <w:vAlign w:val="center"/>
          </w:tcPr>
          <w:p>
            <w:r>
              <w:t>klassischen ROI mit Wirkung verwechseln</w:t>
            </w:r>
          </w:p>
        </w:tc>
        <w:tc>
          <w:tcPr>
            <w:tcW w:type="dxa" w:w="2340"/>
            <w:vAlign w:val="center"/>
          </w:tcPr>
          <w:p>
            <w:r>
              <w:t>langfristige Systemwirkung und vermiedene Schäden berücksichtigen</w:t>
            </w:r>
          </w:p>
        </w:tc>
      </w:tr>
      <w:tr>
        <w:tc>
          <w:tcPr>
            <w:tcW w:type="dxa" w:w="2340"/>
            <w:vAlign w:val="center"/>
          </w:tcPr>
          <w:p>
            <w:r>
              <w:t>Scorecard</w:t>
            </w:r>
          </w:p>
        </w:tc>
        <w:tc>
          <w:tcPr>
            <w:tcW w:type="dxa" w:w="2340"/>
            <w:vAlign w:val="center"/>
          </w:tcPr>
          <w:p>
            <w:r>
              <w:t>mehrdimensionales Vorprofil</w:t>
            </w:r>
          </w:p>
        </w:tc>
        <w:tc>
          <w:tcPr>
            <w:tcW w:type="dxa" w:w="2340"/>
            <w:vAlign w:val="center"/>
          </w:tcPr>
          <w:p>
            <w:r>
              <w:t>Scorecard und Index gleichsetzen</w:t>
            </w:r>
          </w:p>
        </w:tc>
        <w:tc>
          <w:tcPr>
            <w:tcW w:type="dxa" w:w="2340"/>
            <w:vAlign w:val="center"/>
          </w:tcPr>
          <w:p>
            <w:r>
              <w:t>Scorecard erklärt, NWI verdichtet</w:t>
            </w:r>
          </w:p>
        </w:tc>
      </w:tr>
      <w:tr>
        <w:tc>
          <w:tcPr>
            <w:tcW w:type="dxa" w:w="2340"/>
            <w:vAlign w:val="center"/>
          </w:tcPr>
          <w:p>
            <w:r>
              <w:t>Entscheidung</w:t>
            </w:r>
          </w:p>
        </w:tc>
        <w:tc>
          <w:tcPr>
            <w:tcW w:type="dxa" w:w="2340"/>
            <w:vAlign w:val="center"/>
          </w:tcPr>
          <w:p>
            <w:r>
              <w:t>Rückkopplung in Budget, Beschaffung, Kapital oder Strategie</w:t>
            </w:r>
          </w:p>
        </w:tc>
        <w:tc>
          <w:tcPr>
            <w:tcW w:type="dxa" w:w="2340"/>
            <w:vAlign w:val="center"/>
          </w:tcPr>
          <w:p>
            <w:r>
              <w:t>Kennzahl als Bericht beenden</w:t>
            </w:r>
          </w:p>
        </w:tc>
        <w:tc>
          <w:tcPr>
            <w:tcW w:type="dxa" w:w="2340"/>
            <w:vAlign w:val="center"/>
          </w:tcPr>
          <w:p>
            <w:r>
              <w:t>Kennzahl muss Steuerung verändern</w:t>
            </w:r>
          </w:p>
        </w:tc>
      </w:tr>
    </w:tbl>
    <w:p/>
    <w:p>
      <w:pPr>
        <w:pStyle w:val="Heading3"/>
      </w:pPr>
      <w:r>
        <w:t>7.4 Modellformel</w:t>
      </w:r>
    </w:p>
    <w:p>
      <w:r>
        <w:t>Die folgende Formel ist ein didaktisches Denkmodell, kein amtlicher Bewertungsstandard:</w:t>
      </w:r>
    </w:p>
    <w:p>
      <w:r>
        <w:t>Ttext-SROI = fracTransformationswirkung + vermiedene\;Schadenskosten + SystemlernenRessourceneinsatz</w:t>
      </w:r>
    </w:p>
    <w:p>
      <w:r>
        <w:t>T-SROI ist didaktisch als Verhältnis gedacht. Entscheidend ist, welche Wirkungen, Zeiträume und Systemeffekte begründet einbezogen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Präventionsprogramm kann kurzfristig teuer wirken, aber über vermiedene Krankheit, Pflegebedarf, Arbeitsausfall und familiäre Belastung hohe Transformationswirkung entfalten. Hier hilft T-SROI.</w:t>
      </w:r>
    </w:p>
    <w:p>
      <w:r>
        <w:t>Fall 2. Ein Produktvergleich mit mehreren Wirkungsfeldern braucht zuerst Scorecard und NWI, bevor über Preis-, Beschaffungs- oder Kapitalrückkopplung entschieden wird.</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Netto-Wirkungs-Index · https://wirkungsoekonomie.de/werkzeuge/netto-wirkungs-index/ · Druckdatum: 24.05.2026</w:t>
      </w:r>
    </w:p>
    <w:p>
      <w:r>
        <w:t>Interne Quelle: werkzeuge/netto-wirkungs-index/index.html</w:t>
      </w:r>
    </w:p>
    <w:p>
      <w:r>
        <w:t>Methodenregister</w:t>
      </w:r>
    </w:p>
    <w:p>
      <w:r>
        <w:t>Kennzahl für positive, negative und neutrale Wirkung.</w:t>
      </w:r>
    </w:p>
    <w:p>
      <w:r>
        <w:t>Der Netto-Wirkungs-Index ordnet Wirkung im Referenzrahmen der SDGs, Agenda 2030 und SDG+ ein.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Der Netto-Wirkungs-Index ordnet Wirkung im Referenzrahmen der SDGs, Agenda 2030 und SDG+ ein.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https://wirkungsoekonomie.de/werkzeuge/t-sroi/ · Druckdatum: 24.05.2026</w:t>
      </w:r>
    </w:p>
    <w:p>
      <w:r>
        <w:t>Interne Quelle: werkzeuge/t-sroi/index.html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Interne Quelle: werkzeuge/impact-controlling/t-sroi/index.html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 Controlling · https://wirkungsoekonomie.de/werkzeuge/impact-controlling/ · Druckdatum: 24.05.2026</w:t>
      </w:r>
    </w:p>
    <w:p>
      <w:r>
        <w:t>Interne Quelle: werkzeuge/impact-controlling/index.html</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T-SROI · https://wirkungsoekonomie.de/werkzeuge/impact-controlling/detailkonzepte/t-sroi/ · Druckdatum: 24.05.2026</w:t>
      </w:r>
    </w:p>
    <w:p>
      <w:r>
        <w:t>Interne Quelle: werkzeuge/impact-controlling/detailkonzepte/t-sroi/index.html</w:t>
      </w:r>
    </w:p>
    <w:p>
      <w:r>
        <w:t>Detailkonzept · Impact Controlling / T-SROI / NWI / WÖk-IDs / Scorecards</w:t>
      </w:r>
    </w:p>
    <w:p>
      <w:r>
        <w:t>Transformational Social Return on Investment für Investitions-, Präventions- und Transformationswirkung.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T-SROI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T-SROI häufig über isolierte Kennzahlen, Kosten, formale Zuständigkeiten oder kurzfristige Effizienz. Dadurch bleiben Nebenwirkungen, Folgekosten, Verdrängungen, Datenlücken und demokratische Rückkopplungen unsichtbar.</w:t>
      </w:r>
    </w:p>
    <w:p>
      <w:r>
        <w:t>Begriffliche Einordnung #</w:t>
      </w:r>
    </w:p>
    <w:p>
      <w:r>
        <w:t>Transformational Social Return on Investment für Investitions-, Präventions- und Transformationswirkung.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T-SROI · https://wirkungsoekonomie.de/werkzeuge/impact-controlling/dossiers/t-sroi/ · Druckdatum: 24.05.2026</w:t>
      </w:r>
    </w:p>
    <w:p>
      <w:r>
        <w:t>Interne Quelle: werkzeuge/impact-controlling/dossiers/t-sroi/index.html</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Wirkungsökonomie · T-SROI und Impact Controlling · https://wirkungsoekonomie.de/werkzeuge/impact-controlling/methodenpapiere/t-sroi-transformationsmessung/ · Druckdatum: 24.05.2026</w:t>
      </w:r>
    </w:p>
    <w:p>
      <w:r>
        <w:t>Interne Quelle: werkzeuge/impact-controlling/methodenpapiere/t-sroi-transformationsmessung/index.html</w:t>
      </w:r>
    </w:p>
    <w:p>
      <w:r>
        <w:t>Methodenpapier 23 · Go 10</w:t>
      </w:r>
    </w:p>
    <w:p>
      <w:r>
        <w:t>Transformational Social Return on Investment als Steuerungsinstrument für systemische Wirkung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T-SROI und Impact Controlling</w:t>
      </w:r>
    </w:p>
    <w:p>
      <w:r>
        <w:t>Kurzprofil</w:t>
      </w:r>
    </w:p>
    <w:p>
      <w:r>
        <w:t>Inhaltsübersicht</w:t>
      </w:r>
    </w:p>
    <w:p>
      <w:r>
        <w:t>Executive Summary</w:t>
      </w:r>
    </w:p>
    <w:p>
      <w:r>
        <w:t>Warum ROI und SROI nicht reichen</w:t>
      </w:r>
    </w:p>
    <w:p>
      <w:r>
        <w:t>Definition des T-SROI</w:t>
      </w:r>
    </w:p>
    <w:p>
      <w:r>
        <w:t>Wirkungsebenen: Output, Outcome, Impact, Transformation</w:t>
      </w:r>
    </w:p>
    <w:p>
      <w:r>
        <w:t>Berechnungslogik</w:t>
      </w:r>
    </w:p>
    <w:p>
      <w:r>
        <w:t>Netto-Wirkung und Negativwirkungen</w:t>
      </w:r>
    </w:p>
    <w:p>
      <w:r>
        <w:t>Transformationsmultiplikator</w:t>
      </w:r>
    </w:p>
    <w:p>
      <w:r>
        <w:t>Daten, Scorecards und Monetarisierung</w:t>
      </w:r>
    </w:p>
    <w:p>
      <w:r>
        <w:t>Anwendungsfelder</w:t>
      </w:r>
    </w:p>
    <w:p>
      <w:r>
        <w:t>T-SROI im Unternehmen</w:t>
      </w:r>
    </w:p>
    <w:p>
      <w:r>
        <w:t>T-SROI im Staat und in Wirkungsfonds</w:t>
      </w:r>
    </w:p>
    <w:p>
      <w:r>
        <w:t>Grenzen, Unsicherheit und Assurance</w:t>
      </w:r>
    </w:p>
    <w:p>
      <w:r>
        <w:t>Politische Anschlussfähigkeit und Umsetzungsoptionen</w:t>
      </w:r>
    </w:p>
    <w:p>
      <w:r>
        <w:t>SDG-/SDG+-Bezug</w:t>
      </w:r>
    </w:p>
    <w:p>
      <w:r>
        <w:t>Website- und Bereichintegration</w:t>
      </w:r>
    </w:p>
    <w:p>
      <w:r>
        <w:t>Fazit</w:t>
      </w:r>
    </w:p>
    <w:p>
      <w:r>
        <w:t>Onlinefassung #</w:t>
      </w:r>
    </w:p>
    <w:p>
      <w:r>
        <w:t>T-SROI und Impact Controlling #</w:t>
      </w:r>
    </w:p>
    <w:p>
      <w:r>
        <w:t>Transformational Social Return on Investment als Steuerungsinstrument für systemische Wirkung</w:t>
      </w:r>
    </w:p>
    <w:p>
      <w:r>
        <w:t>Wirkungsökonomie · Natalie Weber</w:t>
      </w:r>
    </w:p>
    <w:p>
      <w:r>
        <w:t>WIRKUNGSÖKONOMIE METHODENPAPIER</w:t>
      </w:r>
    </w:p>
    <w:p>
      <w:r>
        <w:t>T-SROI und Impact Controlling</w:t>
      </w:r>
    </w:p>
    <w:p>
      <w:r>
        <w:t>Transformational Social Return on Investment als Steuerungsinstrument für systemische Wirkung</w:t>
      </w:r>
    </w:p>
    <w:p>
      <w:r>
        <w:t>„T-SROI fragt nicht nur, ob sich etwas lohnt, sondern ob es ein System in Richtung Zukunftsfähigkeit verändert.“</w:t>
      </w:r>
    </w:p>
    <w:p>
      <w:r>
        <w:t>Kurzprofil #</w:t>
      </w:r>
    </w:p>
    <w:p>
      <w:r>
        <w:t>Inhaltsübersicht #</w:t>
      </w:r>
    </w:p>
    <w:p>
      <w:r>
        <w:t>1. Executive Summary</w:t>
      </w:r>
    </w:p>
    <w:p>
      <w:r>
        <w:t>2. Warum ROI und SROI nicht reichen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Interne Quelle: dokumente/whitepaper-t-sroi/index.html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Interne Quelle: wirkungsfelder/gesundheit-pflege/tools/t-sroi-praevention-gesundheitsinvestitionen/index.html</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7.9 Konsequenzen für die WÖk-Architektur</w:t>
      </w:r>
    </w:p>
    <w:p>
      <w:r>
        <w:t>Aus dieser Vorlesung fließen drei Punkte zurück in den WÖk-Korpus:</w:t>
      </w:r>
    </w:p>
    <w:p>
      <w:pPr>
        <w:pStyle w:val="ListBullet"/>
      </w:pPr>
      <w:r>
        <w:t>NWI und T-SROI in Werkzeugseiten konsequent als unterschiedliche Kennzahltypen erklären.</w:t>
      </w:r>
    </w:p>
    <w:p>
      <w:pPr>
        <w:pStyle w:val="ListBullet"/>
      </w:pPr>
      <w:r>
        <w:t>Präventions-, Bildungs- und Gesundheitsfälle als T-SROI-Lernfälle markieren.</w:t>
      </w:r>
    </w:p>
    <w:p>
      <w:pPr>
        <w:pStyle w:val="ListBullet"/>
      </w:pPr>
      <w:r>
        <w:t>Prüfungsfragen bauen, in denen Studierende entscheiden müssen, ob NWI oder T-SROI passend ist.</w:t>
      </w:r>
    </w:p>
    <w:p>
      <w:pPr>
        <w:pStyle w:val="Heading3"/>
      </w:pPr>
      <w:r>
        <w:t>7.10 Kurzfazit</w:t>
      </w:r>
    </w:p>
    <w:p>
      <w:r>
        <w:t>NWI und T-SROI unterscheiden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woek-akademie-app/docs/lehrgaenge/woek-g-v33-nwi-und-t-sroi-unterscheiden.md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