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Tiefenskript-Sprint 7 · substanzielle Arbeitsfassung Wissensbasis: aktuelles Grundlagenwerk, Website-Korpus, Journal/Blog, Akademie-Quelltexte und externe Literatur</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Interne Quellen</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V1-Finalisierung: Vertiefung, Anwendung und Evidenz</w:t>
      </w:r>
    </w:p>
    <w:p>
      <w:pPr>
        <w:pStyle w:val="Heading3"/>
      </w:pPr>
      <w:r>
        <w:t>Finaler Leseauftrag</w:t>
      </w:r>
    </w:p>
    <w:p>
      <w:r>
        <w:t>Dieses Skript zu V20 Gesellschaftliche Resonanzfaktoren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Gesellschaftliche Resonanzfaktoren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Gesellschaftliche Resonanzfaktoren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Gesellschaftliche Resonanzfaktoren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Gesellschaftliche Resonanzfaktoren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Gesellschaftliche Resonanzfaktoren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Gesellschaftliche Resonanzfaktoren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Gesellschaftliche Resonanzfaktoren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