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WC-V3 Modul/Abschnitt: WC Titel: WÖk-IDs und Indikatorenarchitektur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WC-V3 Empfohlene Dauer: ~50 Min · Videolänge: ~15 Min Voraussetzung: WC-V2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(WÖk Master Items Register (https://wirkungsoekonomie.de/dokumente/woek-master-items-final-v1-2/)).</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WÖk id (https://wirkungsoekonomie.de/begriffe/woek-id/)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9. Quellen / Vertiefung</w:t>
      </w:r>
    </w:p>
    <w:p>
      <w:pPr>
        <w:pStyle w:val="ListBullet"/>
      </w:pPr>
      <w:r>
        <w:t>WÖk Master Items Register (https://wirkungsoekonomie.de/dokumente/woek-master-items-final-v1-2/) – Indikatorenarchitektur</w:t>
      </w:r>
    </w:p>
    <w:p>
      <w:pPr>
        <w:pStyle w:val="ListBullet"/>
      </w:pPr>
      <w:r>
        <w:t>Wirkungssteuergesetz (WStG) (https://wirkungsoekonomie.de/referenz/kapitel-037-das-wirkungssteuergesetz-wstg/) – WÖk-IDs, Benchmarks, Archetypen, Auditierbarkeit</w:t>
      </w:r>
    </w:p>
    <w:p>
      <w:pPr>
        <w:pStyle w:val="ListBullet"/>
      </w:pPr>
      <w:r>
        <w:t>Glossar: WÖk id (https://wirkungsoekonomie.de/begriffe/woek-id/), Benchmark (https://wirkungsoekonomie.de/begriffe/benchmark/), Archetyp (https://wirkungsoekonomie.de/begriffe/archetyp/)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WÖk id (https://wirkungsoekonomie.de/begriffe/woek-id/)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und Indikatorenarchitektur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WÖk-IDs und Indikatorenarchitektur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WÖk-IDs und Indikatorenarchitektur · https://wirkungsoekonomie.de/werkzeuge/impact-controlling/methodenpapiere/woek-ids-indikatorenarchitektur/ · Druckdatum: 24.05.2026</w:t>
      </w:r>
    </w:p>
    <w:p>
      <w:r>
        <w:t>Öffentliche Quelle: Wirkungsökonomie · WÖk-IDs und Indikatorenarchitektur · https://wirkungsoekonomie.de/werkzeuge/impact-controlling/methodenpapiere/woek-ids-indikatorenarchitektur/ · Druckdatum: 24.05.2026 (https://wirkungsoekonomie.de/werkzeuge/impact-controlling/methodenpapiere/woek-ids-indikatorenarchitektur/)</w:t>
      </w:r>
    </w:p>
    <w:p>
      <w:r>
        <w:t>Methodenpapier 21 · Go 10</w:t>
      </w:r>
    </w:p>
    <w:p>
      <w:r>
        <w:t>Wie Wirkungsdaten eindeutig, prüfbar, vergleichbar und rückkoppelbar werden</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WÖk-IDs und Indikatorenarchitektur</w:t>
      </w:r>
    </w:p>
    <w:p>
      <w:r>
        <w:t>Kurzprofil</w:t>
      </w:r>
    </w:p>
    <w:p>
      <w:r>
        <w:t>Inhaltsübersicht</w:t>
      </w:r>
    </w:p>
    <w:p>
      <w:r>
        <w:t>Executive Summary</w:t>
      </w:r>
    </w:p>
    <w:p>
      <w:r>
        <w:t>Ausgangsdiagnose: Berichte ohne Rückkopplung</w:t>
      </w:r>
    </w:p>
    <w:p>
      <w:r>
        <w:t>Begriffsabgrenzung</w:t>
      </w:r>
    </w:p>
    <w:p>
      <w:r>
        <w:t>Architektur der WÖk-ID</w:t>
      </w:r>
    </w:p>
    <w:p>
      <w:r>
        <w:t>Zuordnung zu SDGs, SDG+ und Unterzielen</w:t>
      </w:r>
    </w:p>
    <w:p>
      <w:r>
        <w:t>NACE, Aktivitätslogik und Kontext</w:t>
      </w:r>
    </w:p>
    <w:p>
      <w:r>
        <w:t>Datenquellen: ESRS, GRI, Taxonomie, DPP</w:t>
      </w:r>
    </w:p>
    <w:p>
      <w:r>
        <w:t>Indikatorfamilien</w:t>
      </w:r>
    </w:p>
    <w:p>
      <w:r>
        <w:t>Datenqualität und Assurance</w:t>
      </w:r>
    </w:p>
    <w:p>
      <w:r>
        <w:t>Governance durch Wirkungsrat</w:t>
      </w:r>
    </w:p>
    <w:p>
      <w:r>
        <w:t>Anwendung in Produkten, Unternehmen, Staat und Kapital</w:t>
      </w:r>
    </w:p>
    <w:p>
      <w:r>
        <w:t>Missbrauchsschutz und rote Linien</w:t>
      </w:r>
    </w:p>
    <w:p>
      <w:r>
        <w:t>Politische Anschlussfähigkeit und Umsetzungsoptionen</w:t>
      </w:r>
    </w:p>
    <w:p>
      <w:r>
        <w:t>SDG-/SDG+-Bezug</w:t>
      </w:r>
    </w:p>
    <w:p>
      <w:r>
        <w:t>Website- und Bereichintegration</w:t>
      </w:r>
    </w:p>
    <w:p>
      <w:r>
        <w:t>Fazit</w:t>
      </w:r>
    </w:p>
    <w:p>
      <w:r>
        <w:t>Onlinefassung #</w:t>
      </w:r>
    </w:p>
    <w:p>
      <w:r>
        <w:t>WÖk-IDs und Indikatorenarchitektur #</w:t>
      </w:r>
    </w:p>
    <w:p>
      <w:r>
        <w:t>Wie Wirkungsdaten eindeutig, prüfbar, vergleichbar und rückkoppelbar werden</w:t>
      </w:r>
    </w:p>
    <w:p>
      <w:r>
        <w:t>Wirkungsökonomie · Natalie Weber</w:t>
      </w:r>
    </w:p>
    <w:p>
      <w:r>
        <w:t>WIRKUNGSÖKONOMIE METHODENPAPIER</w:t>
      </w:r>
    </w:p>
    <w:p>
      <w:r>
        <w:t>WÖk-IDs und Indikatorenarchitektur</w:t>
      </w:r>
    </w:p>
    <w:p>
      <w:r>
        <w:t>Wie Wirkungsdaten eindeutig, prüfbar, vergleichbar und rückkoppelbar werden</w:t>
      </w:r>
    </w:p>
    <w:p>
      <w:r>
        <w:t>„Ohne eindeutige Wirkungsindikatoren bleibt Wirkung Erzählung. Mit WÖk-IDs wird sie prüfbare Rückkopplung.“</w:t>
      </w:r>
    </w:p>
    <w:p>
      <w:r>
        <w:t>Kurzprofil #</w:t>
      </w:r>
    </w:p>
    <w:p>
      <w:r>
        <w:t>Inhaltsübersicht #</w:t>
      </w:r>
    </w:p>
    <w:p>
      <w:r>
        <w:t>1. Executive Summary</w:t>
      </w:r>
    </w:p>
    <w:p>
      <w:r>
        <w:t>2. Ausgangsdiagnose</w:t>
      </w:r>
    </w:p>
    <w:p>
      <w:pPr>
        <w:pStyle w:val="Heading3"/>
      </w:pPr>
      <w:r>
        <w:t>Quellenanker: Wirkungsökonomie · Einzeldossier WÖk-IDs · https://wirkungsoekonomie.de/werkzeuge/impact-controlling/dossiers/woek-ids/ · Druckdatum: 24.05.2026</w:t>
      </w:r>
    </w:p>
    <w:p>
      <w:r>
        <w:t>Öffentliche Quelle: Wirkungsökonomie · Einzeldossier WÖk-IDs · https://wirkungsoekonomie.de/werkzeuge/impact-controlling/dossiers/woek-ids/ · Druckdatum: 24.05.2026 (https://wirkungsoekonomie.de/werkzeuge/impact-controlling/dossiers/woek-ids/)</w:t>
      </w:r>
    </w:p>
    <w:p>
      <w:r>
        <w:t>Einzeldossier · Impact Controlling / T-SROI / NWI / WÖk-IDs / Scorecards</w:t>
      </w:r>
    </w:p>
    <w:p>
      <w:r>
        <w:t>Indikatorenarchitektur für SDGs, SDG+, Standards, Datenquellen und Prüfstatus.</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WÖk-IDs Wirkung erzeugt, verdeckt oder verschiebt?</w:t>
      </w:r>
    </w:p>
    <w:p>
      <w:r>
        <w:t>Fallbeispiel oder Anwendungsszenario #</w:t>
      </w:r>
    </w:p>
    <w:p>
      <w:r>
        <w:t>Indikatorenarchitektur für SDGs, SDG+, Standards, Datenquellen und Prüfstatus.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 und Indikatorenarchitektur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WÖk-IDs und Indikatorenarchitektur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WC-V3 WÖk-IDs und Indikatorenarchitektur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WÖk-IDs und Indikatorenarchitektur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WC-V3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Pruefungsimpuls. Bei Prüfungsnahe Fallfragen ohne geschützte Antwortlogik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WC-V3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Funktion der WÖk-ID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Funktion der WÖk-ID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Funktion der WÖk-ID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SDGs, SDG+ und der Zielbezug der WÖk-ID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SDGs, SDG+ und der Zielbezug der WÖk-ID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SDGs, SDG+ und der Zielbezug der WÖk-ID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Aufbau einer WÖk-ID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Aufbau einer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Aufbau einer WÖk-ID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SDG, SDG+, NACE, ESRS und GRI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SDG, SDG+, NACE, ESRS und GRI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SDG, SDG+, NACE, ESRS und GRI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Transferhinweis. In WC-V3 muss DPP als Produktgedächtnis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DPP als Produktgedächtnis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DPP als Produktgedächtnis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WC-V3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WC-V3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Prüfungsnahe Fallfragen ohne geschützte Antwortlogik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Auswertung aus der lebenden Website-Referenz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r>
        <w:t>Pruefungsimpuls. Die Grenze gegen Scheingenauigkeit verlaeuft bei Funktion der WÖk-ID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Funktion der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Funktion der WÖk-ID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Bei SDGs, SDG+ und der Zielbezug der WÖk-ID wird WÖk-IDs und Indikatorenarchitektur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SDGs, SDG+ und der Zielbezug der WÖk-ID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SDGs, SDG+ und der Zielbezug der WÖk-ID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WC-V3 muss Aufbau einer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Aufbau einer WÖk-ID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Aufbau einer WÖk-ID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und Indikatorenarchitektur nicht als fertige Gewissheit auftreten, sondern als pruefbarer Lernstand mit Korrekturpfad.</w:t>
      </w:r>
    </w:p>
    <w:p>
      <w:pPr>
        <w:pStyle w:val="Heading3"/>
      </w:pPr>
      <w:r>
        <w:t>Vertiefungsrunde 8: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Wissenschaftliche Anschlussfaehigkeit entsteht hier durch Quellenklarheit. Bei SDG, SDG+, NACE, ESRS und GRI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SDG, SDG+, NACE, ESRS und GRI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SDG, SDG+, NACE, ESRS und GRI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WC-V3.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