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V29 Modul/Abschnitt: G3.2 Titel: WÖk-IDs, Benchmarks und Archetypen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Die neue Ordnung des Wohlstands (https://wirkungsoekonomie.de/buch.html) – WÖk-IDs, Benchmarks, Scorecards</w:t>
      </w:r>
    </w:p>
    <w:p>
      <w:pPr>
        <w:pStyle w:val="ListBullet"/>
      </w:pPr>
      <w:r>
        <w:t>Glossar der Wirkungsökonomie (https://wirkungsoekonomie.de/glossar.html)</w:t>
      </w:r>
    </w:p>
    <w:p>
      <w:pPr>
        <w:pStyle w:val="ListBullet"/>
      </w:pPr>
      <w:r>
        <w:t>Glossar: WÖk id (https://wirkungsoekonomie.de/begriffe/woek-id/), Benchmark (https://wirkungsoekonomie.de/begriffe/benchmark/), Archetyp (https://wirkungsoekonomie.de/begriffe/archetyp/),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Öffentliche Quelle: Wirkungsökonomie · Benchmarks &amp; Archetypen · https://wirkungsoekonomie.de/werkzeuge/benchmarks-archetypen/ · Druckdatum: 24.05.2026 (https://wirkungsoekonomie.de/werkzeuge/benchmarks-archetypen/)</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WÖk-IDs, Benchmarks und Archetypen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V29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Pruefungsimpuls. Prüfungsnahe Fallfragen ohne geschützte Antwortlogik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V29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Funktion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SDGs, SDG+ und der Zielbezug der WÖk-ID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SDGs, SDG+ und der Zielbezug der WÖk-ID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SDGs, SDG+ und der Zielbezug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Aufbau einer WÖk-ID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Aufbau einer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SDG, SDG+, NACE, ESRS und GRI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SDG, SDG+, NACE, ESRS und GRI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Transferhinweis. In V29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Wirkungsskala von negativ bis transformativ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V29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V1-Abschlussnotiz</w:t>
      </w:r>
    </w:p>
    <w:p>
      <w:r>
        <w:t>Diese Finalisierung schliesst die Codex-Inhaltsproduktion fuer V29.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