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A54CE6">
      <w:pPr>
        <w:spacing w:after="60" w:line="269" w:lineRule="auto"/>
        <w:jc w:val="center"/>
      </w:pPr>
      <w:r>
        <w:rPr>
          <w:rFonts w:ascii="Calibri" w:hAnsi="Calibri" w:eastAsia="宋体"/>
          <w:b/>
          <w:color w:val="0B2545"/>
          <w:sz w:val="36"/>
        </w:rPr>
        <w:t>对 Sandra 与 Otto（2018）研究结果的计算可复现性检验报告</w:t>
      </w:r>
    </w:p>
    <w:p w14:paraId="3D8CB1A9">
      <w:pPr>
        <w:pStyle w:val="3"/>
        <w:spacing w:before="280" w:after="120"/>
      </w:pPr>
      <w:r>
        <w:rPr>
          <w:rFonts w:ascii="Calibri" w:hAnsi="Calibri" w:eastAsia="宋体"/>
          <w:b/>
          <w:color w:val="2E74B5"/>
          <w:sz w:val="32"/>
        </w:rPr>
        <w:t>摘要</w:t>
      </w:r>
    </w:p>
    <w:p w14:paraId="72F1AA00">
      <w:pPr>
        <w:spacing w:after="120" w:line="269" w:lineRule="auto"/>
      </w:pPr>
      <w:r>
        <w:rPr>
          <w:rFonts w:ascii="Calibri" w:hAnsi="Calibri" w:eastAsia="宋体"/>
          <w:b w:val="0"/>
          <w:sz w:val="21"/>
        </w:rPr>
        <w:t>本报告对 Sandra 与 Otto（2018）关于执行功能、Need for Cognition（NFC）与奖赏诱发认知努力投入的研究进行计算可复现性检验。复现使用本地 Stroop 任务、task-switching 任务和 questionnaire_data.csv。本版不再按被试编号人为限制样本，而是从公开数据中同时具有 Stroop 与 task-switching 数据的被试出发，并按原文献明示的任务表现剔除条件进行筛选。</w:t>
      </w:r>
    </w:p>
    <w:p w14:paraId="7B4E63E0">
      <w:pPr>
        <w:spacing w:after="120" w:line="269" w:lineRule="auto"/>
      </w:pPr>
      <w:r>
        <w:rPr>
          <w:rFonts w:ascii="Calibri" w:hAnsi="Calibri" w:eastAsia="宋体"/>
          <w:b w:val="0"/>
          <w:sz w:val="21"/>
        </w:rPr>
        <w:t>主要发现为：task-switching 数据中共有 62 名被试，其中 32、35、38、56 缺少 Stroop 文件，因此候选样本为 58 人；按任一任务正确率低于 80% 的规则排除 15、20、23、61、63 共 5 人；当前公开数据中未发现任一 task-switching block 漏答达到 15 次及以上。因此基础/EF 分析保留 N = 53；NFC 分析因 58、59 缺少问卷数据保留 N = 51。</w:t>
      </w:r>
    </w:p>
    <w:p w14:paraId="43CA45F4">
      <w:pPr>
        <w:pStyle w:val="3"/>
        <w:spacing w:before="280" w:after="120"/>
      </w:pPr>
      <w:r>
        <w:rPr>
          <w:rFonts w:ascii="Calibri" w:hAnsi="Calibri" w:eastAsia="宋体"/>
          <w:b/>
          <w:color w:val="2E74B5"/>
          <w:sz w:val="32"/>
        </w:rPr>
        <w:t>一、文献信息表</w:t>
      </w:r>
      <w:bookmarkStart w:id="0" w:name="_GoBack"/>
      <w:bookmarkEnd w:id="0"/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20137EC2">
        <w:tc>
          <w:tcPr>
            <w:tcW w:w="2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C6B05">
            <w:pPr>
              <w:spacing w:after="0" w:line="240" w:lineRule="auto"/>
              <w:jc w:val="center"/>
            </w:pPr>
            <w:r>
              <w:rPr>
                <w:rFonts w:ascii="Calibri" w:hAnsi="Calibri" w:eastAsia="宋体"/>
                <w:b/>
                <w:sz w:val="18"/>
              </w:rPr>
              <w:t>项目</w:t>
            </w:r>
          </w:p>
        </w:tc>
        <w:tc>
          <w:tcPr>
            <w:tcW w:w="70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15685">
            <w:pPr>
              <w:spacing w:after="0" w:line="240" w:lineRule="auto"/>
              <w:jc w:val="center"/>
            </w:pPr>
            <w:r>
              <w:rPr>
                <w:rFonts w:ascii="Calibri" w:hAnsi="Calibri" w:eastAsia="宋体"/>
                <w:b/>
                <w:sz w:val="18"/>
              </w:rPr>
              <w:t>内容</w:t>
            </w:r>
          </w:p>
        </w:tc>
      </w:tr>
      <w:tr w14:paraId="7A0C5BBC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71EC4"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18"/>
              </w:rPr>
              <w:t>所选文献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D13F8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8"/>
              </w:rPr>
              <w:t>Sandra, D. A., &amp; Otto, A. R. (2018). Cognitive capacity limitations and Need for Cognition differentially predict reward-induced cognitive effort expenditure. Cognition, 172, 101–106.</w:t>
            </w:r>
          </w:p>
        </w:tc>
      </w:tr>
      <w:tr w14:paraId="5317A692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0FE44"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18"/>
              </w:rPr>
              <w:t>数据来源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31C36">
            <w:pPr>
              <w:spacing w:after="0" w:line="259" w:lineRule="auto"/>
              <w:jc w:val="center"/>
            </w:pPr>
            <w:r>
              <w:rPr>
                <w:rFonts w:hint="eastAsia"/>
              </w:rPr>
              <w:t>https://osf.io/akpum/</w:t>
            </w:r>
          </w:p>
        </w:tc>
      </w:tr>
      <w:tr w14:paraId="1210EA8F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9F2C6"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18"/>
              </w:rPr>
              <w:t>复现假设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C6C72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8"/>
              </w:rPr>
              <w:t>奖赏是否降低 task-switching switch cost；该奖赏效应是否受 Stroop RT cost（EF 指标）或 NFC 调节。</w:t>
            </w:r>
          </w:p>
        </w:tc>
      </w:tr>
      <w:tr w14:paraId="1D97BE81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8B6F3"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18"/>
              </w:rPr>
              <w:t>数据集选择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6F4E4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8"/>
              </w:rPr>
              <w:t>采用原始 trial-level CSV 和问卷 CSV。未按编号限制样本，只按数据可用性和原文剔除条件筛选。</w:t>
            </w:r>
          </w:p>
        </w:tc>
      </w:tr>
    </w:tbl>
    <w:p w14:paraId="016F971E">
      <w:pPr>
        <w:spacing w:after="40" w:line="269" w:lineRule="auto"/>
      </w:pPr>
    </w:p>
    <w:p w14:paraId="1CAAD6FA">
      <w:pPr>
        <w:pStyle w:val="3"/>
        <w:spacing w:before="280" w:after="120"/>
      </w:pPr>
      <w:r>
        <w:rPr>
          <w:rFonts w:ascii="Calibri" w:hAnsi="Calibri" w:eastAsia="宋体"/>
          <w:b/>
          <w:color w:val="2E74B5"/>
          <w:sz w:val="32"/>
        </w:rPr>
        <w:t>二、数据预处理与样本审计</w:t>
      </w:r>
    </w:p>
    <w:p w14:paraId="647A5E4B">
      <w:pPr>
        <w:pStyle w:val="16"/>
        <w:spacing w:after="60" w:line="269" w:lineRule="auto"/>
      </w:pPr>
      <w:r>
        <w:rPr>
          <w:rFonts w:ascii="Calibri" w:hAnsi="Calibri" w:eastAsia="宋体"/>
          <w:b w:val="0"/>
          <w:sz w:val="21"/>
        </w:rPr>
        <w:t>Stroop 数据：保留正式实验 trial；提取 subject、trial、congruent/incongruent、correct 和 RT。原始 PsychoPy RT 为秒，读入后转换为 rt_ms。</w:t>
      </w:r>
    </w:p>
    <w:p w14:paraId="0F662A10">
      <w:pPr>
        <w:pStyle w:val="16"/>
        <w:spacing w:after="60" w:line="269" w:lineRule="auto"/>
      </w:pPr>
      <w:r>
        <w:rPr>
          <w:rFonts w:ascii="Calibri" w:hAnsi="Calibri" w:eastAsia="宋体"/>
          <w:b w:val="0"/>
          <w:sz w:val="21"/>
        </w:rPr>
        <w:t>Task-switching 数据：保留正式实验 trial；按文件时间戳恢复 block 顺序；根据当前 trial 与上一 trial 的任务类别是否相同判定 repeat/switch；每个 block 第一 trial 排除。</w:t>
      </w:r>
    </w:p>
    <w:p w14:paraId="421E8B27">
      <w:pPr>
        <w:pStyle w:val="16"/>
        <w:spacing w:after="60" w:line="269" w:lineRule="auto"/>
      </w:pPr>
      <w:r>
        <w:rPr>
          <w:rFonts w:ascii="Calibri" w:hAnsi="Calibri" w:eastAsia="宋体"/>
          <w:b w:val="0"/>
          <w:sz w:val="21"/>
        </w:rPr>
        <w:t>RT 描述统计、相关和图形使用毫秒；RT 混合模型使用 log(rt_ms)，以与原文 Table 2/3 的截距单位一致。</w:t>
      </w:r>
    </w:p>
    <w:p w14:paraId="532C634C">
      <w:pPr>
        <w:pStyle w:val="16"/>
        <w:spacing w:after="60" w:line="269" w:lineRule="auto"/>
      </w:pPr>
      <w:r>
        <w:rPr>
          <w:rFonts w:ascii="Calibri" w:hAnsi="Calibri" w:eastAsia="宋体"/>
          <w:b w:val="0"/>
          <w:sz w:val="21"/>
        </w:rPr>
        <w:t>NFC/BAS 数据仅用于相关分析、NFC 模型和 BAS 控制模型；缺问卷者不作为基础/EF 分析的全局排除。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1300"/>
        <w:gridCol w:w="5760"/>
      </w:tblGrid>
      <w:tr w14:paraId="02CCE38D">
        <w:tc>
          <w:tcPr>
            <w:tcW w:w="2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E2893">
            <w:pPr>
              <w:spacing w:after="0" w:line="240" w:lineRule="auto"/>
              <w:jc w:val="center"/>
            </w:pPr>
            <w:r>
              <w:rPr>
                <w:rFonts w:ascii="Calibri" w:hAnsi="Calibri" w:eastAsia="宋体"/>
                <w:b/>
                <w:sz w:val="18"/>
              </w:rPr>
              <w:t>审计项目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0C32A">
            <w:pPr>
              <w:spacing w:after="0" w:line="240" w:lineRule="auto"/>
              <w:jc w:val="center"/>
            </w:pPr>
            <w:r>
              <w:rPr>
                <w:rFonts w:ascii="Calibri" w:hAnsi="Calibri" w:eastAsia="宋体"/>
                <w:b/>
                <w:sz w:val="18"/>
              </w:rPr>
              <w:t>本次结果</w:t>
            </w:r>
          </w:p>
        </w:tc>
        <w:tc>
          <w:tcPr>
            <w:tcW w:w="5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A67BF">
            <w:pPr>
              <w:spacing w:after="0" w:line="240" w:lineRule="auto"/>
              <w:jc w:val="center"/>
            </w:pPr>
            <w:r>
              <w:rPr>
                <w:rFonts w:ascii="Calibri" w:hAnsi="Calibri" w:eastAsia="宋体"/>
                <w:b/>
                <w:sz w:val="18"/>
              </w:rPr>
              <w:t>说明</w:t>
            </w:r>
          </w:p>
        </w:tc>
      </w:tr>
      <w:tr w14:paraId="3EBEF326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BA35C"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18"/>
              </w:rPr>
              <w:t>task-switching 唯一被试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12027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8"/>
              </w:rPr>
              <w:t>62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ECB3C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8"/>
              </w:rPr>
              <w:t>公开 task-switching 文件中识别到的唯一被试数。</w:t>
            </w:r>
          </w:p>
        </w:tc>
      </w:tr>
      <w:tr w14:paraId="3B8D5A72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9A9D7"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18"/>
              </w:rPr>
              <w:t>缺少 Stroop 文件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351E6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8"/>
              </w:rPr>
              <w:t>4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81059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8"/>
              </w:rPr>
              <w:t>32、35、38、56 缺少 Stroop 文件，不能计算 Stroop RT cost。</w:t>
            </w:r>
          </w:p>
        </w:tc>
      </w:tr>
      <w:tr w14:paraId="3D1868B6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2CDAD"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18"/>
              </w:rPr>
              <w:t>候选样本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7F548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8"/>
              </w:rPr>
              <w:t>58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50EBC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8"/>
              </w:rPr>
              <w:t>同时具有 Stroop 与 task-switching 数据的被试。</w:t>
            </w:r>
          </w:p>
        </w:tc>
      </w:tr>
      <w:tr w14:paraId="525880A0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EF43A"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18"/>
              </w:rPr>
              <w:t>正确率 &lt; 80% 排除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18B72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8"/>
              </w:rPr>
              <w:t>5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1E902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8"/>
              </w:rPr>
              <w:t>15、20、23、61、63 任一任务总体正确率低于 80%。</w:t>
            </w:r>
          </w:p>
        </w:tc>
      </w:tr>
      <w:tr w14:paraId="7735F5B0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5B610"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18"/>
              </w:rPr>
              <w:t>漏答 ≥ 15 次排除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07681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8"/>
              </w:rPr>
              <w:t>0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805CB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8"/>
              </w:rPr>
              <w:t>当前公开数据中任一 block 最大漏答数为 12，未达 15。</w:t>
            </w:r>
          </w:p>
        </w:tc>
      </w:tr>
      <w:tr w14:paraId="2D4E8F8A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99379"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18"/>
              </w:rPr>
              <w:t>基础/EF 分析样本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DFC5D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8"/>
              </w:rPr>
              <w:t>53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CA4DB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8"/>
              </w:rPr>
              <w:t>58 − 5 = 53。</w:t>
            </w:r>
          </w:p>
        </w:tc>
      </w:tr>
      <w:tr w14:paraId="52A9AEDE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5255B"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18"/>
              </w:rPr>
              <w:t>NFC 分析样本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5DB99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8"/>
              </w:rPr>
              <w:t>51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90606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8"/>
              </w:rPr>
              <w:t>58、59 缺少 questionnaire/NFC 数据；NFC 模型保留 51 人。</w:t>
            </w:r>
          </w:p>
        </w:tc>
      </w:tr>
      <w:tr w14:paraId="263CBFCF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1753A"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18"/>
              </w:rPr>
              <w:t>论文报告样本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F3A72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8"/>
              </w:rPr>
              <w:t>45 / 43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EFE25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8"/>
              </w:rPr>
              <w:t>论文报告任务表现排除后 N = 45，NFC 分析再排除 2 人后 N = 43。</w:t>
            </w:r>
          </w:p>
        </w:tc>
      </w:tr>
    </w:tbl>
    <w:p w14:paraId="0E4111C2">
      <w:pPr>
        <w:spacing w:after="40" w:line="269" w:lineRule="auto"/>
      </w:pPr>
    </w:p>
    <w:p w14:paraId="20554DC6">
      <w:pPr>
        <w:pStyle w:val="3"/>
        <w:spacing w:before="280" w:after="120"/>
      </w:pPr>
      <w:r>
        <w:rPr>
          <w:rFonts w:ascii="Calibri" w:hAnsi="Calibri" w:eastAsia="宋体"/>
          <w:b/>
          <w:color w:val="2E74B5"/>
          <w:sz w:val="32"/>
        </w:rPr>
        <w:t>三、描述性统计可复现性检验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1900"/>
        <w:gridCol w:w="1700"/>
        <w:gridCol w:w="1900"/>
        <w:gridCol w:w="1760"/>
      </w:tblGrid>
      <w:tr w14:paraId="37F7E78D"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8090A">
            <w:pPr>
              <w:spacing w:after="0" w:line="240" w:lineRule="auto"/>
              <w:jc w:val="center"/>
            </w:pPr>
            <w:r>
              <w:rPr>
                <w:rFonts w:ascii="Calibri" w:hAnsi="Calibri" w:eastAsia="宋体"/>
                <w:b/>
                <w:sz w:val="17"/>
              </w:rPr>
              <w:t>条件</w:t>
            </w:r>
          </w:p>
        </w:tc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C507B">
            <w:pPr>
              <w:spacing w:after="0" w:line="240" w:lineRule="auto"/>
              <w:jc w:val="center"/>
            </w:pPr>
            <w:r>
              <w:rPr>
                <w:rFonts w:ascii="Calibri" w:hAnsi="Calibri" w:eastAsia="宋体"/>
                <w:b/>
                <w:sz w:val="17"/>
              </w:rPr>
              <w:t>RT均值 原/复现</w:t>
            </w:r>
          </w:p>
        </w:tc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7A9B5">
            <w:pPr>
              <w:spacing w:after="0" w:line="240" w:lineRule="auto"/>
              <w:jc w:val="center"/>
            </w:pPr>
            <w:r>
              <w:rPr>
                <w:rFonts w:ascii="Calibri" w:hAnsi="Calibri" w:eastAsia="宋体"/>
                <w:b/>
                <w:sz w:val="17"/>
              </w:rPr>
              <w:t>RT SD 原/复现</w:t>
            </w:r>
          </w:p>
        </w:tc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47A5D">
            <w:pPr>
              <w:spacing w:after="0" w:line="240" w:lineRule="auto"/>
              <w:jc w:val="center"/>
            </w:pPr>
            <w:r>
              <w:rPr>
                <w:rFonts w:ascii="Calibri" w:hAnsi="Calibri" w:eastAsia="宋体"/>
                <w:b/>
                <w:sz w:val="17"/>
              </w:rPr>
              <w:t>正确率均值 原/复现</w:t>
            </w:r>
          </w:p>
        </w:tc>
        <w:tc>
          <w:tcPr>
            <w:tcW w:w="1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02E7D">
            <w:pPr>
              <w:spacing w:after="0" w:line="240" w:lineRule="auto"/>
              <w:jc w:val="center"/>
            </w:pPr>
            <w:r>
              <w:rPr>
                <w:rFonts w:ascii="Calibri" w:hAnsi="Calibri" w:eastAsia="宋体"/>
                <w:b/>
                <w:sz w:val="17"/>
              </w:rPr>
              <w:t>正确率SD 原/复现</w:t>
            </w:r>
          </w:p>
        </w:tc>
      </w:tr>
      <w:tr w14:paraId="39C5C35D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CF568"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Stroop congruent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44BCB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579.710 / 557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49BC9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78.500 / 69.3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4745B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0.975 / 0.971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AC4A4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0.023 / 0.0243</w:t>
            </w:r>
          </w:p>
        </w:tc>
      </w:tr>
      <w:tr w14:paraId="30272474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73A49"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Stroop incongruent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DD0A7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697.560 / 691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4B706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132.620 / 145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19D49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0.903 / 0.881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45598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0.080 / 0.0935</w:t>
            </w:r>
          </w:p>
        </w:tc>
      </w:tr>
      <w:tr w14:paraId="64C284CC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232BD"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Task 低奖赏 repeat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B2E0B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767.747 / 767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ADA17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155.087 / 143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9D95D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0.952 / 0.942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2B7A9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0.034 / 0.0364</w:t>
            </w:r>
          </w:p>
        </w:tc>
      </w:tr>
      <w:tr w14:paraId="29996A6B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587F0"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Task 低奖赏 switch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BAEE9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945.880 / 957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7D9EC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176.837 / 181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1BDC1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0.941 / 0.930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BB9A6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0.040 / 0.0470</w:t>
            </w:r>
          </w:p>
        </w:tc>
      </w:tr>
      <w:tr w14:paraId="13E8E75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75E39"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Task 高奖赏 repeat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9C76E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791.075 / 778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39CF8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123.487 / 129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0254B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0.949 / 0.946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94DE1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0.038 / 0.0368</w:t>
            </w:r>
          </w:p>
        </w:tc>
      </w:tr>
      <w:tr w14:paraId="657D329A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FAD11"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Task 高奖赏 switch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D48A8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945.981 / 948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CE75E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146.854 / 157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15FEE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0.936 / 0.924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1B4C2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0.046 / 0.0500</w:t>
            </w:r>
          </w:p>
        </w:tc>
      </w:tr>
    </w:tbl>
    <w:p w14:paraId="03C6F664">
      <w:pPr>
        <w:spacing w:after="40" w:line="269" w:lineRule="auto"/>
      </w:pPr>
    </w:p>
    <w:p w14:paraId="5018599D">
      <w:pPr>
        <w:pStyle w:val="3"/>
        <w:spacing w:before="280" w:after="120"/>
      </w:pPr>
      <w:r>
        <w:rPr>
          <w:rFonts w:ascii="Calibri" w:hAnsi="Calibri" w:eastAsia="宋体"/>
          <w:b/>
          <w:color w:val="2E74B5"/>
          <w:sz w:val="32"/>
        </w:rPr>
        <w:t>四、推断性统计可复现性检验</w:t>
      </w:r>
    </w:p>
    <w:tbl>
      <w:tblPr>
        <w:tblStyle w:val="33"/>
        <w:tblW w:w="931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0"/>
        <w:gridCol w:w="1850"/>
        <w:gridCol w:w="1250"/>
        <w:gridCol w:w="1300"/>
        <w:gridCol w:w="950"/>
        <w:gridCol w:w="950"/>
        <w:gridCol w:w="1460"/>
      </w:tblGrid>
      <w:tr w14:paraId="1A2220DC">
        <w:tc>
          <w:tcPr>
            <w:tcW w:w="15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07BEB">
            <w:pPr>
              <w:spacing w:after="0" w:line="240" w:lineRule="auto"/>
              <w:jc w:val="center"/>
            </w:pPr>
            <w:r>
              <w:rPr>
                <w:rFonts w:ascii="Calibri" w:hAnsi="Calibri" w:eastAsia="宋体"/>
                <w:b/>
                <w:sz w:val="16"/>
              </w:rPr>
              <w:t>分析</w:t>
            </w:r>
          </w:p>
        </w:tc>
        <w:tc>
          <w:tcPr>
            <w:tcW w:w="18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CC167">
            <w:pPr>
              <w:spacing w:after="0" w:line="240" w:lineRule="auto"/>
              <w:jc w:val="center"/>
            </w:pPr>
            <w:r>
              <w:rPr>
                <w:rFonts w:ascii="Calibri" w:hAnsi="Calibri" w:eastAsia="宋体"/>
                <w:b/>
                <w:sz w:val="16"/>
              </w:rPr>
              <w:t>效应项</w:t>
            </w:r>
          </w:p>
        </w:tc>
        <w:tc>
          <w:tcPr>
            <w:tcW w:w="12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F3A40">
            <w:pPr>
              <w:spacing w:after="0" w:line="240" w:lineRule="auto"/>
              <w:jc w:val="center"/>
            </w:pPr>
            <w:r>
              <w:rPr>
                <w:rFonts w:ascii="Calibri" w:hAnsi="Calibri" w:eastAsia="宋体"/>
                <w:b/>
                <w:sz w:val="16"/>
              </w:rPr>
              <w:t>原文Estimate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A06CD">
            <w:pPr>
              <w:spacing w:after="0" w:line="240" w:lineRule="auto"/>
              <w:jc w:val="center"/>
            </w:pPr>
            <w:r>
              <w:rPr>
                <w:rFonts w:ascii="Calibri" w:hAnsi="Calibri" w:eastAsia="宋体"/>
                <w:b/>
                <w:sz w:val="16"/>
              </w:rPr>
              <w:t>复现Estimate</w:t>
            </w:r>
          </w:p>
        </w:tc>
        <w:tc>
          <w:tcPr>
            <w:tcW w:w="9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5CFBE">
            <w:pPr>
              <w:spacing w:after="0" w:line="240" w:lineRule="auto"/>
              <w:jc w:val="center"/>
            </w:pPr>
            <w:r>
              <w:rPr>
                <w:rFonts w:ascii="Calibri" w:hAnsi="Calibri" w:eastAsia="宋体"/>
                <w:b/>
                <w:sz w:val="16"/>
              </w:rPr>
              <w:t>原文p</w:t>
            </w:r>
          </w:p>
        </w:tc>
        <w:tc>
          <w:tcPr>
            <w:tcW w:w="9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0DA2F">
            <w:pPr>
              <w:spacing w:after="0" w:line="240" w:lineRule="auto"/>
              <w:jc w:val="center"/>
            </w:pPr>
            <w:r>
              <w:rPr>
                <w:rFonts w:ascii="Calibri" w:hAnsi="Calibri" w:eastAsia="宋体"/>
                <w:b/>
                <w:sz w:val="16"/>
              </w:rPr>
              <w:t>复现p</w:t>
            </w:r>
          </w:p>
        </w:tc>
        <w:tc>
          <w:tcPr>
            <w:tcW w:w="14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9E592">
            <w:pPr>
              <w:spacing w:after="0" w:line="240" w:lineRule="auto"/>
              <w:jc w:val="center"/>
            </w:pPr>
            <w:r>
              <w:rPr>
                <w:rFonts w:ascii="Calibri" w:hAnsi="Calibri" w:eastAsia="宋体"/>
                <w:b/>
                <w:sz w:val="16"/>
              </w:rPr>
              <w:t>推论一致</w:t>
            </w:r>
          </w:p>
        </w:tc>
      </w:tr>
      <w:tr w14:paraId="2A24CFEE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B063"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Stroop log RT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C60E0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Incongruent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2BF94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0.12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F1C26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0.183</w:t>
            </w:r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2316F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&lt; .0001</w:t>
            </w:r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5FC4A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5.45e-119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64267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一致</w:t>
            </w:r>
          </w:p>
        </w:tc>
      </w:tr>
      <w:tr w14:paraId="5C467B6A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E00F6"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Stroop 正确率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1D5BA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Incongruent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6BC45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-1.47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7431D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-1.478</w:t>
            </w:r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A56F1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&lt; .0001</w:t>
            </w:r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DD406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4.23e-35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92CA9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一致</w:t>
            </w:r>
          </w:p>
        </w:tc>
      </w:tr>
      <w:tr w14:paraId="25B9372F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D2749"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Switch cost RT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04190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Switch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09C6E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0.17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950B2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0.186</w:t>
            </w:r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81CBD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&lt; .0001</w:t>
            </w:r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A5104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&lt; .0001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41534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一致</w:t>
            </w:r>
          </w:p>
        </w:tc>
      </w:tr>
      <w:tr w14:paraId="006F351E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5A362"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Switch cost 正确率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4BA49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Switch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776B3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-0.10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DE515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-0.218</w:t>
            </w:r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38791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.047</w:t>
            </w:r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1D08B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.027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820B7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一致</w:t>
            </w:r>
          </w:p>
        </w:tc>
      </w:tr>
      <w:tr w14:paraId="5656EE23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84EE3"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Reward group effect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88824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Switch × reward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587C0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-0.01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3A838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-0.0199</w:t>
            </w:r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3D613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.34</w:t>
            </w:r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D6E30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.0725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8B588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一致</w:t>
            </w:r>
          </w:p>
        </w:tc>
      </w:tr>
      <w:tr w14:paraId="2E90B3F5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5F4CD"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Table 2 EF 模型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B3835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Switch × reward × EF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CBD16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-0.0373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4CB48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-0.0176</w:t>
            </w:r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A6F84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.008</w:t>
            </w:r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DC6DF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.1109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C0B28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不一致</w:t>
            </w:r>
          </w:p>
        </w:tc>
      </w:tr>
      <w:tr w14:paraId="38E3EB4F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48C08"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Table 3 NFC 模型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BB682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Switch × reward × NFC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98D8B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0.0382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B51E2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0.0350</w:t>
            </w:r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5A097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.008</w:t>
            </w:r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3127D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.0020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32B6B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一致</w:t>
            </w:r>
          </w:p>
        </w:tc>
      </w:tr>
      <w:tr w14:paraId="004E5AAD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18ED9"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BAS 控制 EF 模型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79EA3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Switch × reward × EF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79E17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-0.033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A4ECE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-0.0157</w:t>
            </w:r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43FCC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.012</w:t>
            </w:r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1DBC9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.1742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44262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不一致</w:t>
            </w:r>
          </w:p>
        </w:tc>
      </w:tr>
      <w:tr w14:paraId="31570891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BE32B"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BAS 控制 NFC 模型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5C1DF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Switch × reward × NFC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8B693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0.035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977AD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0.0331</w:t>
            </w:r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63ABC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.007</w:t>
            </w:r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38229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.0037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75813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一致</w:t>
            </w:r>
          </w:p>
        </w:tc>
      </w:tr>
    </w:tbl>
    <w:p w14:paraId="454B8B62">
      <w:pPr>
        <w:spacing w:after="40" w:line="269" w:lineRule="auto"/>
      </w:pP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900"/>
        <w:gridCol w:w="900"/>
        <w:gridCol w:w="6060"/>
      </w:tblGrid>
      <w:tr w14:paraId="74D98CB4"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54EFA">
            <w:pPr>
              <w:spacing w:after="0" w:line="240" w:lineRule="auto"/>
              <w:jc w:val="center"/>
            </w:pPr>
            <w:r>
              <w:rPr>
                <w:rFonts w:ascii="Calibri" w:hAnsi="Calibri" w:eastAsia="宋体"/>
                <w:b/>
                <w:sz w:val="18"/>
              </w:rPr>
              <w:t>推论一致性</w:t>
            </w:r>
          </w:p>
        </w:tc>
        <w:tc>
          <w:tcPr>
            <w:tcW w:w="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B3D8D">
            <w:pPr>
              <w:spacing w:after="0" w:line="240" w:lineRule="auto"/>
              <w:jc w:val="center"/>
            </w:pPr>
            <w:r>
              <w:rPr>
                <w:rFonts w:ascii="Calibri" w:hAnsi="Calibri" w:eastAsia="宋体"/>
                <w:b/>
                <w:sz w:val="18"/>
              </w:rPr>
              <w:t>数量</w:t>
            </w:r>
          </w:p>
        </w:tc>
        <w:tc>
          <w:tcPr>
            <w:tcW w:w="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60CFF">
            <w:pPr>
              <w:spacing w:after="0" w:line="240" w:lineRule="auto"/>
              <w:jc w:val="center"/>
            </w:pPr>
            <w:r>
              <w:rPr>
                <w:rFonts w:ascii="Calibri" w:hAnsi="Calibri" w:eastAsia="宋体"/>
                <w:b/>
                <w:sz w:val="18"/>
              </w:rPr>
              <w:t>占比</w:t>
            </w:r>
          </w:p>
        </w:tc>
        <w:tc>
          <w:tcPr>
            <w:tcW w:w="60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C0527">
            <w:pPr>
              <w:spacing w:after="0" w:line="240" w:lineRule="auto"/>
              <w:jc w:val="center"/>
            </w:pPr>
            <w:r>
              <w:rPr>
                <w:rFonts w:ascii="Calibri" w:hAnsi="Calibri" w:eastAsia="宋体"/>
                <w:b/>
                <w:sz w:val="18"/>
              </w:rPr>
              <w:t>说明</w:t>
            </w:r>
          </w:p>
        </w:tc>
      </w:tr>
      <w:tr w14:paraId="0BC30BEE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A80E3"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18"/>
              </w:rPr>
              <w:t>一致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46810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8"/>
              </w:rPr>
              <w:t>7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94F7F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8"/>
              </w:rPr>
              <w:t>77.8%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D5CD1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8"/>
              </w:rPr>
              <w:t>基础行为效应、总体奖赏效应、NFC 主模型和 NFC BAS 控制模型与原文显著性方向一致。</w:t>
            </w:r>
          </w:p>
        </w:tc>
      </w:tr>
      <w:tr w14:paraId="757B5C12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795EA"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18"/>
              </w:rPr>
              <w:t>不一致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16037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8"/>
              </w:rPr>
              <w:t>2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F0638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8"/>
              </w:rPr>
              <w:t>22.2%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BDBB7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8"/>
              </w:rPr>
              <w:t>EF × reward × switch 在主模型和 BAS 控制模型中均未达显著。</w:t>
            </w:r>
          </w:p>
        </w:tc>
      </w:tr>
      <w:tr w14:paraId="190CAE5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93B86"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b w:val="0"/>
                <w:sz w:val="18"/>
              </w:rPr>
              <w:t>合计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CDBE0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8"/>
              </w:rPr>
              <w:t>9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D7775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8"/>
              </w:rPr>
              <w:t>100%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DEFFF"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 w:val="0"/>
                <w:sz w:val="18"/>
              </w:rPr>
              <w:t>仅统计核心推断结果。</w:t>
            </w:r>
          </w:p>
        </w:tc>
      </w:tr>
    </w:tbl>
    <w:p w14:paraId="55C55A8A">
      <w:pPr>
        <w:spacing w:after="40" w:line="269" w:lineRule="auto"/>
      </w:pPr>
    </w:p>
    <w:p w14:paraId="72B54F6E">
      <w:pPr>
        <w:pStyle w:val="3"/>
        <w:spacing w:before="280" w:after="120"/>
      </w:pPr>
      <w:r>
        <w:rPr>
          <w:rFonts w:ascii="Calibri" w:hAnsi="Calibri" w:eastAsia="宋体"/>
          <w:b/>
          <w:color w:val="2E74B5"/>
          <w:sz w:val="32"/>
        </w:rPr>
        <w:t>五、总结与讨论</w:t>
      </w:r>
    </w:p>
    <w:p w14:paraId="2EC0DECB">
      <w:pPr>
        <w:spacing w:after="120" w:line="269" w:lineRule="auto"/>
        <w:ind w:firstLine="420" w:firstLineChars="200"/>
      </w:pPr>
      <w:r>
        <w:rPr>
          <w:rFonts w:ascii="Calibri" w:hAnsi="Calibri" w:eastAsia="宋体"/>
          <w:b w:val="0"/>
          <w:sz w:val="21"/>
        </w:rPr>
        <w:t>基础行为结果可以复现：Stroop incongruent trial 更慢且正确率更低；task-switching 中 switch trial 比 repeat trial 更慢且正确率更低；总体 reward × switch 交互仍不显著。NFC × reward × switch 三重交互方向和显著性均与原文一致，并且在 BAS 控制模型中仍显著。</w:t>
      </w:r>
    </w:p>
    <w:p w14:paraId="240599A6">
      <w:pPr>
        <w:spacing w:after="120" w:line="269" w:lineRule="auto"/>
        <w:ind w:firstLine="420" w:firstLineChars="200"/>
      </w:pPr>
      <w:r>
        <w:rPr>
          <w:rFonts w:ascii="Calibri" w:hAnsi="Calibri" w:eastAsia="宋体"/>
          <w:b w:val="0"/>
          <w:sz w:val="21"/>
        </w:rPr>
        <w:t>主要不可复现点为 EF × reward × switch：原文报告该三重交互显著，但在当前公开样本剔除规则下，基础/EF 样本 N = 53 时该效应未达显著。该差异可能与样本构成、原文未完全明示的排除细节、Stroop RT cost 构造细节以及随机效应结构有关。</w:t>
      </w:r>
    </w:p>
    <w:p w14:paraId="79C60258">
      <w:pPr>
        <w:spacing w:after="120" w:line="269" w:lineRule="auto"/>
        <w:ind w:firstLine="420" w:firstLineChars="200"/>
      </w:pPr>
      <w:r>
        <w:rPr>
          <w:rFonts w:ascii="Calibri" w:hAnsi="Calibri" w:eastAsia="宋体"/>
          <w:b w:val="0"/>
          <w:sz w:val="21"/>
        </w:rPr>
        <w:t>综合判断，该研究的基础行为效应和 NFC 调节假设具有较好计算可复现性；EF 调节假设在当前可审计样本规则下未能复现。整体评定为“部分可复现”。</w:t>
      </w:r>
      <w:r>
        <w:rPr>
          <w:rFonts w:hint="eastAsia" w:ascii="Calibri" w:hAnsi="Calibri" w:eastAsia="宋体"/>
          <w:b w:val="0"/>
          <w:sz w:val="21"/>
        </w:rPr>
        <w:t>若要提升可复现性，建议原研究提供完整 R 代码、逐被试排除记录、精确随机效应结构、包版本和精确 p 值。</w:t>
      </w:r>
    </w:p>
    <w:p w14:paraId="5F16F4B1">
      <w:pPr>
        <w:pStyle w:val="3"/>
        <w:spacing w:before="280" w:after="120"/>
      </w:pPr>
      <w:r>
        <w:rPr>
          <w:rFonts w:ascii="Calibri" w:hAnsi="Calibri" w:eastAsia="宋体"/>
          <w:b/>
          <w:color w:val="2E74B5"/>
          <w:sz w:val="32"/>
        </w:rPr>
        <w:t>参考文献</w:t>
      </w:r>
    </w:p>
    <w:p w14:paraId="5F04A287">
      <w:pPr>
        <w:spacing w:after="120" w:line="269" w:lineRule="auto"/>
      </w:pPr>
      <w:r>
        <w:rPr>
          <w:rFonts w:ascii="Calibri" w:hAnsi="Calibri" w:eastAsia="宋体"/>
          <w:b w:val="0"/>
          <w:sz w:val="21"/>
        </w:rPr>
        <w:t>Sandra, D. A., &amp; Otto, A. R. (2018). Cognitive capacity limitations and Need for Cognition differentially predict reward-induced cognitive effort expenditure. Cognition, 172, 101–106.</w:t>
      </w:r>
    </w:p>
    <w:p w14:paraId="0574D2AA">
      <w:pPr>
        <w:spacing w:after="120" w:line="269" w:lineRule="auto"/>
      </w:pPr>
      <w:r>
        <w:rPr>
          <w:rFonts w:ascii="Calibri" w:hAnsi="Calibri" w:eastAsia="宋体"/>
          <w:b w:val="0"/>
          <w:sz w:val="21"/>
        </w:rPr>
        <w:t>Hardwicke, T. E., Bohn, M., MacDonald, K., et al. (2021). Analytic reproducibility in articles receiving open data badges at the journal Psychological Science. Royal Society Open Science, 8(1), 201494.</w:t>
      </w:r>
    </w:p>
    <w:p w14:paraId="18A5951A">
      <w:pPr>
        <w:spacing w:after="120" w:line="269" w:lineRule="auto"/>
      </w:pPr>
      <w:r>
        <w:rPr>
          <w:rFonts w:ascii="Calibri" w:hAnsi="Calibri" w:eastAsia="宋体"/>
          <w:b w:val="0"/>
          <w:sz w:val="21"/>
        </w:rPr>
        <w:t>Kambouris, S., Wilkinson, D. P., Smith, E. T., &amp; Fidler, F. (2024). Computationally reproducing results from meta-analyses in ecology and evolutionary biology using shared code and data. PLOS ONE, 19(3), e0300333.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">
    <w:altName w:val="苹方-简"/>
    <w:panose1 w:val="02040503050406030204"/>
    <w:charset w:val="86"/>
    <w:family w:val="roman"/>
    <w:pitch w:val="default"/>
    <w:sig w:usb0="00000000" w:usb1="00000000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CFBF44"/>
    <w:rsid w:val="77EFB46C"/>
    <w:rsid w:val="CCFBD421"/>
    <w:rsid w:val="FBF71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link w:val="136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basedOn w:val="136"/>
    <w:uiPriority w:val="0"/>
    <w:rPr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36">
    <w:name w:val="Caption Char"/>
    <w:basedOn w:val="132"/>
    <w:link w:val="15"/>
    <w:uiPriority w:val="0"/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customStyle="1" w:styleId="137">
    <w:name w:val="Header Char"/>
    <w:basedOn w:val="132"/>
    <w:link w:val="25"/>
    <w:uiPriority w:val="99"/>
  </w:style>
  <w:style w:type="character" w:customStyle="1" w:styleId="138">
    <w:name w:val="Footer Char"/>
    <w:basedOn w:val="132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2"/>
    <w:link w:val="19"/>
    <w:uiPriority w:val="99"/>
  </w:style>
  <w:style w:type="character" w:customStyle="1" w:styleId="147">
    <w:name w:val="Body Text 2 Char"/>
    <w:basedOn w:val="132"/>
    <w:link w:val="28"/>
    <w:uiPriority w:val="99"/>
  </w:style>
  <w:style w:type="character" w:customStyle="1" w:styleId="148">
    <w:name w:val="Body Text 3 Char"/>
    <w:basedOn w:val="132"/>
    <w:link w:val="17"/>
    <w:uiPriority w:val="99"/>
    <w:rPr>
      <w:sz w:val="16"/>
      <w:szCs w:val="16"/>
    </w:rPr>
  </w:style>
  <w:style w:type="character" w:customStyle="1" w:styleId="149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2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2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2013-12-24T14:15:00Z</dcterms:created>
  <dc:creator>python-docx</dc:creator>
  <dc:description>generated by python-docx</dc:description>
  <cp:lastModifiedBy>参商</cp:lastModifiedBy>
  <dcterms:modified xsi:type="dcterms:W3CDTF">2026-07-06T12:32:38Z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46433DDECBEB5632E82E4B6A646807AC_42</vt:lpwstr>
  </property>
</Properties>
</file>