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5C"/>
          <w:sz w:val="56"/>
          <w:szCs w:val="56"/>
        </w:rPr>
        <w:t xml:space="preserve">幸福インフレ率理論</w:t>
      </w:r>
    </w:p>
    <w:p>
      <w:pPr>
        <w:spacing w:after="200" w:before="0"/>
        <w:jc w:val="center"/>
      </w:pPr>
      <w:r>
        <w:rPr>
          <w:rFonts w:ascii="Arial" w:cs="Arial" w:eastAsia="Arial" w:hAnsi="Arial"/>
          <w:i/>
          <w:iCs/>
          <w:color w:val="2E5F8A"/>
          <w:sz w:val="28"/>
          <w:szCs w:val="28"/>
        </w:rPr>
        <w:t xml:space="preserve">Happiness Inflation Rate Theory（HIR Theory）</w:t>
      </w:r>
    </w:p>
    <w:p>
      <w:pPr>
        <w:spacing w:after="800" w:before="200"/>
        <w:jc w:val="center"/>
      </w:pPr>
      <w:r>
        <w:rPr>
          <w:rFonts w:ascii="Arial" w:cs="Arial" w:eastAsia="Arial" w:hAnsi="Arial"/>
          <w:color w:val="666666"/>
          <w:sz w:val="24"/>
          <w:szCs w:val="24"/>
        </w:rPr>
        <w:t xml:space="preserve">貨幣論・厚生経済学・財政政策の統合的理論枠組み</w:t>
      </w:r>
    </w:p>
    <w:p>
      <w:pPr>
        <w:pBdr>
          <w:bottom w:val="single" w:color="CCDDEE" w:sz="4" w:space="1"/>
        </w:pBdr>
        <w:spacing w:after="240" w:before="240"/>
      </w:pPr>
    </w:p>
    <w:p>
      <w:pPr>
        <w:spacing w:after="100" w:before="100"/>
      </w:pPr>
    </w:p>
    <w:p>
      <w:pPr>
        <w:pStyle w:val="Heading1"/>
        <w:spacing w:after="200" w:before="400"/>
      </w:pPr>
      <w:r>
        <w:rPr>
          <w:rFonts w:ascii="Arial" w:cs="Arial" w:eastAsia="Arial" w:hAnsi="Arial"/>
          <w:b/>
          <w:bCs/>
          <w:color w:val="1A3A5C"/>
          <w:sz w:val="32"/>
          <w:szCs w:val="32"/>
        </w:rPr>
        <w:t xml:space="preserve">概要（Abstract）</w:t>
      </w:r>
    </w:p>
    <w:p>
      <w:pPr>
        <w:spacing w:after="160" w:before="100"/>
      </w:pPr>
      <w:r>
        <w:rPr>
          <w:rFonts w:ascii="Arial" w:cs="Arial" w:eastAsia="Arial" w:hAnsi="Arial"/>
          <w:sz w:val="22"/>
          <w:szCs w:val="22"/>
        </w:rPr>
        <w:t xml:space="preserve">本理論は、現代の経済学が縦割りで発展させてきた「貨幣論」「厚生経済学」「財政政策論」の三領域を統合し、「国民の幸せを最大化するインフレ率は何％か」という問いに対して論理的・数式的に答えることを目的とする。</w:t>
      </w:r>
    </w:p>
    <w:p>
      <w:pPr>
        <w:spacing w:after="160" w:before="100"/>
      </w:pPr>
      <w:r>
        <w:rPr>
          <w:rFonts w:ascii="Arial" w:cs="Arial" w:eastAsia="Arial" w:hAnsi="Arial"/>
          <w:sz w:val="22"/>
          <w:szCs w:val="22"/>
        </w:rPr>
        <w:t xml:space="preserve">従来の2%インフレ目標が経験則の輸入品に過ぎないことを示し、国民の幸福を目的関数に置いた動的なインフレ目標設計の枠組みとして「幸福インフレ率（HIR）」を提唱する。</w:t>
      </w:r>
    </w:p>
    <w:p>
      <w:pPr>
        <w:spacing w:after="100" w:before="100"/>
      </w:pPr>
    </w:p>
    <w:p>
      <w:pPr>
        <w:pStyle w:val="Heading1"/>
        <w:spacing w:after="200" w:before="400"/>
      </w:pPr>
      <w:r>
        <w:rPr>
          <w:rFonts w:ascii="Arial" w:cs="Arial" w:eastAsia="Arial" w:hAnsi="Arial"/>
          <w:b/>
          <w:bCs/>
          <w:color w:val="1A3A5C"/>
          <w:sz w:val="32"/>
          <w:szCs w:val="32"/>
        </w:rPr>
        <w:t xml:space="preserve">第1章　貨幣の本質：信用創造の再確認</w:t>
      </w:r>
    </w:p>
    <w:p>
      <w:pPr>
        <w:pStyle w:val="Heading2"/>
        <w:spacing w:after="160" w:before="300"/>
      </w:pPr>
      <w:r>
        <w:rPr>
          <w:rFonts w:ascii="Arial" w:cs="Arial" w:eastAsia="Arial" w:hAnsi="Arial"/>
          <w:b/>
          <w:bCs/>
          <w:color w:val="2E5F8A"/>
          <w:sz w:val="26"/>
          <w:szCs w:val="26"/>
        </w:rPr>
        <w:t xml:space="preserve">1.1　商品貨幣論と信用貨幣論</w:t>
      </w:r>
    </w:p>
    <w:p>
      <w:pPr>
        <w:spacing w:after="160" w:before="100"/>
      </w:pPr>
      <w:r>
        <w:rPr>
          <w:rFonts w:ascii="Arial" w:cs="Arial" w:eastAsia="Arial" w:hAnsi="Arial"/>
          <w:sz w:val="22"/>
          <w:szCs w:val="22"/>
        </w:rPr>
        <w:t xml:space="preserve">経済学には貨幣の起源について2つの対立する見解がある。</w:t>
      </w:r>
    </w:p>
    <w:p>
      <w:pPr>
        <w:spacing w:after="160" w:before="100"/>
      </w:pPr>
      <w:r>
        <w:rPr>
          <w:rFonts w:ascii="Arial" w:cs="Arial" w:eastAsia="Arial" w:hAnsi="Arial"/>
          <w:b/>
          <w:bCs/>
          <w:sz w:val="22"/>
          <w:szCs w:val="22"/>
        </w:rPr>
        <w:t xml:space="preserve">商品貨幣論：</w:t>
      </w:r>
      <w:r>
        <w:rPr>
          <w:rFonts w:ascii="Arial" w:cs="Arial" w:eastAsia="Arial" w:hAnsi="Arial"/>
          <w:sz w:val="22"/>
          <w:szCs w:val="22"/>
        </w:rPr>
        <w:t xml:space="preserve">金・銀など物理的価値を持つ商品がお金の原点であるとする見解。</w:t>
      </w:r>
    </w:p>
    <w:p>
      <w:pPr>
        <w:spacing w:after="160" w:before="100"/>
      </w:pPr>
      <w:r>
        <w:rPr>
          <w:rFonts w:ascii="Arial" w:cs="Arial" w:eastAsia="Arial" w:hAnsi="Arial"/>
          <w:b/>
          <w:bCs/>
          <w:sz w:val="22"/>
          <w:szCs w:val="22"/>
        </w:rPr>
        <w:t xml:space="preserve">信用貨幣論：</w:t>
      </w:r>
      <w:r>
        <w:rPr>
          <w:rFonts w:ascii="Arial" w:cs="Arial" w:eastAsia="Arial" w:hAnsi="Arial"/>
          <w:sz w:val="22"/>
          <w:szCs w:val="22"/>
        </w:rPr>
        <w:t xml:space="preserve">債権・債務関係の記録こそがお金の原点であるとする見解。</w:t>
      </w:r>
    </w:p>
    <w:p>
      <w:pPr>
        <w:spacing w:after="160" w:before="100"/>
      </w:pPr>
      <w:r>
        <w:rPr>
          <w:rFonts w:ascii="Arial" w:cs="Arial" w:eastAsia="Arial" w:hAnsi="Arial"/>
          <w:sz w:val="22"/>
          <w:szCs w:val="22"/>
        </w:rPr>
        <w:t xml:space="preserve">本理論は信用貨幣論を基盤とする。その根拠は現代銀行の実務そのものにある。</w:t>
      </w:r>
    </w:p>
    <w:p>
      <w:pPr>
        <w:pStyle w:val="Heading2"/>
        <w:spacing w:after="160" w:before="300"/>
      </w:pPr>
      <w:r>
        <w:rPr>
          <w:rFonts w:ascii="Arial" w:cs="Arial" w:eastAsia="Arial" w:hAnsi="Arial"/>
          <w:b/>
          <w:bCs/>
          <w:color w:val="2E5F8A"/>
          <w:sz w:val="26"/>
          <w:szCs w:val="26"/>
        </w:rPr>
        <w:t xml:space="preserve">1.2　民間における信用創造</w:t>
      </w:r>
    </w:p>
    <w:p>
      <w:pPr>
        <w:spacing w:after="160" w:before="100"/>
      </w:pPr>
      <w:r>
        <w:rPr>
          <w:rFonts w:ascii="Arial" w:cs="Arial" w:eastAsia="Arial" w:hAnsi="Arial"/>
          <w:sz w:val="22"/>
          <w:szCs w:val="22"/>
        </w:rPr>
        <w:t xml:space="preserve">銀行は預金を集めてから貸し出すのではなく、貸し出すことによって預金を生み出す。これは日本銀行が国会において明示的に認めている事実である。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A" w:val="clear"/>
            <w:tcMar>
              <w:top w:type="dxa" w:w="160"/>
              <w:left w:type="dxa" w:w="240"/>
              <w:bottom w:type="dxa" w:w="160"/>
              <w:right w:type="dxa" w:w="240"/>
            </w:tcMar>
          </w:tcPr>
          <w:p>
            <w:pPr>
              <w:spacing w:after="60" w:before="60"/>
            </w:pPr>
            <w:r>
              <w:rPr>
                <w:rFonts w:ascii="Courier New" w:cs="Courier New" w:eastAsia="Courier New" w:hAnsi="Courier New"/>
                <w:color w:val="1A3A5C"/>
                <w:sz w:val="22"/>
                <w:szCs w:val="22"/>
              </w:rPr>
              <w:t xml:space="preserve">銀行が「貸し出す」と判断する</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借手の口座に同額のデータを書き込む</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その瞬間に貨幣が無から誕生する</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これが「信用創造」である</w:t>
            </w:r>
          </w:p>
        </w:tc>
      </w:tr>
    </w:tbl>
    <w:p>
      <w:pPr>
        <w:spacing w:after="100" w:before="100"/>
      </w:pPr>
    </w:p>
    <w:p>
      <w:pPr>
        <w:pStyle w:val="Heading2"/>
        <w:spacing w:after="160" w:before="300"/>
      </w:pPr>
      <w:r>
        <w:rPr>
          <w:rFonts w:ascii="Arial" w:cs="Arial" w:eastAsia="Arial" w:hAnsi="Arial"/>
          <w:b/>
          <w:bCs/>
          <w:color w:val="2E5F8A"/>
          <w:sz w:val="26"/>
          <w:szCs w:val="26"/>
        </w:rPr>
        <w:t xml:space="preserve">1.3　国家における信用創造</w:t>
      </w:r>
    </w:p>
    <w:p>
      <w:pPr>
        <w:spacing w:after="160" w:before="100"/>
      </w:pPr>
      <w:r>
        <w:rPr>
          <w:rFonts w:ascii="Arial" w:cs="Arial" w:eastAsia="Arial" w:hAnsi="Arial"/>
          <w:sz w:val="22"/>
          <w:szCs w:val="22"/>
        </w:rPr>
        <w:t xml:space="preserve">民間の信用創造と同様に、国家もまた無の状態から貨幣を発行し流通させることができる。この基本原理から導かれる重要な命題がある。</w:t>
      </w:r>
    </w:p>
    <w:p>
      <w:pPr>
        <w:pBdr>
          <w:left w:val="single" w:color="2E5F8A" w:sz="6" w:space="12"/>
        </w:pBdr>
        <w:spacing w:after="160" w:before="160"/>
        <w:ind w:left="720" w:right="720"/>
      </w:pPr>
      <w:r>
        <w:rPr>
          <w:rFonts w:ascii="Arial" w:cs="Arial" w:eastAsia="Arial" w:hAnsi="Arial"/>
          <w:i/>
          <w:iCs/>
          <w:color w:val="333333"/>
          <w:sz w:val="22"/>
          <w:szCs w:val="22"/>
        </w:rPr>
        <w:t xml:space="preserve">財政政策における問いは「財源があるかどうか」ではなく、「今の経済に貨幣が多すぎるか少なすぎるか」である。</w:t>
      </w:r>
    </w:p>
    <w:p>
      <w:pPr>
        <w:spacing w:after="100" w:before="100"/>
      </w:pPr>
    </w:p>
    <w:p>
      <w:pPr>
        <w:pBdr>
          <w:bottom w:val="single" w:color="CCDDEE" w:sz="4" w:space="1"/>
        </w:pBdr>
        <w:spacing w:after="240" w:before="240"/>
      </w:pPr>
    </w:p>
    <w:p>
      <w:pPr>
        <w:pStyle w:val="Heading1"/>
        <w:spacing w:after="200" w:before="400"/>
      </w:pPr>
      <w:r>
        <w:rPr>
          <w:rFonts w:ascii="Arial" w:cs="Arial" w:eastAsia="Arial" w:hAnsi="Arial"/>
          <w:b/>
          <w:bCs/>
          <w:color w:val="1A3A5C"/>
          <w:sz w:val="32"/>
          <w:szCs w:val="32"/>
        </w:rPr>
        <w:t xml:space="preserve">第2章　インフレ・デフレの本質的定義</w:t>
      </w:r>
    </w:p>
    <w:p>
      <w:pPr>
        <w:pStyle w:val="Heading2"/>
        <w:spacing w:after="160" w:before="300"/>
      </w:pPr>
      <w:r>
        <w:rPr>
          <w:rFonts w:ascii="Arial" w:cs="Arial" w:eastAsia="Arial" w:hAnsi="Arial"/>
          <w:b/>
          <w:bCs/>
          <w:color w:val="2E5F8A"/>
          <w:sz w:val="26"/>
          <w:szCs w:val="26"/>
        </w:rPr>
        <w:t xml:space="preserve">2.1　貨幣量とモノの量のバランス</w:t>
      </w:r>
    </w:p>
    <w:p>
      <w:pPr>
        <w:spacing w:after="160" w:before="100"/>
      </w:pPr>
      <w:r>
        <w:rPr>
          <w:rFonts w:ascii="Arial" w:cs="Arial" w:eastAsia="Arial" w:hAnsi="Arial"/>
          <w:sz w:val="22"/>
          <w:szCs w:val="22"/>
        </w:rPr>
        <w:t xml:space="preserve">インフレとデフレは物価の上下という現象面ではなく、以下のバランスによって本質的に定義される。</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00"/>
        <w:gridCol w:w="27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状態</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貨幣量</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モノ・サービス量</w:t>
            </w:r>
          </w:p>
        </w:tc>
        <w:tc>
          <w:tcPr>
            <w:tcW w:type="dxa" w:w="2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結果</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インフレ</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多い</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少ない（相対的）</w:t>
            </w:r>
          </w:p>
        </w:tc>
        <w:tc>
          <w:tcPr>
            <w:tcW w:type="dxa" w:w="2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物価↑・貨幣価値↓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デフレ</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少ない</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多い（相対的）</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物価↓・経済縮小</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均衡</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適切</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適切</w:t>
            </w:r>
          </w:p>
        </w:tc>
        <w:tc>
          <w:tcPr>
            <w:tcW w:type="dxa" w:w="2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安定成長</w:t>
            </w:r>
          </w:p>
        </w:tc>
      </w:tr>
    </w:tbl>
    <w:p>
      <w:pPr>
        <w:spacing w:after="100" w:before="100"/>
      </w:pPr>
    </w:p>
    <w:p>
      <w:pPr>
        <w:pStyle w:val="Heading2"/>
        <w:spacing w:after="160" w:before="300"/>
      </w:pPr>
      <w:r>
        <w:rPr>
          <w:rFonts w:ascii="Arial" w:cs="Arial" w:eastAsia="Arial" w:hAnsi="Arial"/>
          <w:b/>
          <w:bCs/>
          <w:color w:val="2E5F8A"/>
          <w:sz w:val="26"/>
          <w:szCs w:val="26"/>
        </w:rPr>
        <w:t xml:space="preserve">2.2　インフレの本質的再定義</w:t>
      </w:r>
    </w:p>
    <w:p>
      <w:pPr>
        <w:spacing w:after="160" w:before="100"/>
      </w:pPr>
      <w:r>
        <w:rPr>
          <w:rFonts w:ascii="Arial" w:cs="Arial" w:eastAsia="Arial" w:hAnsi="Arial"/>
          <w:sz w:val="22"/>
          <w:szCs w:val="22"/>
        </w:rPr>
        <w:t xml:space="preserve">本理論における重要な視点転換として、インフレを以下のように再定義する。</w:t>
      </w:r>
    </w:p>
    <w:p>
      <w:pPr>
        <w:pBdr>
          <w:left w:val="single" w:color="2E5F8A" w:sz="6" w:space="12"/>
        </w:pBdr>
        <w:spacing w:after="160" w:before="160"/>
        <w:ind w:left="720" w:right="720"/>
      </w:pPr>
      <w:r>
        <w:rPr>
          <w:rFonts w:ascii="Arial" w:cs="Arial" w:eastAsia="Arial" w:hAnsi="Arial"/>
          <w:i/>
          <w:iCs/>
          <w:color w:val="333333"/>
          <w:sz w:val="22"/>
          <w:szCs w:val="22"/>
        </w:rPr>
        <w:t xml:space="preserve">インフレとは「貨幣の価値が下がること」ではなく、「人間の経済活動の総量が拡大したことの記録」である。</w:t>
      </w:r>
    </w:p>
    <w:p>
      <w:pPr>
        <w:spacing w:after="160" w:before="100"/>
      </w:pPr>
      <w:r>
        <w:rPr>
          <w:rFonts w:ascii="Arial" w:cs="Arial" w:eastAsia="Arial" w:hAnsi="Arial"/>
          <w:sz w:val="22"/>
          <w:szCs w:val="22"/>
        </w:rPr>
        <w:t xml:space="preserve">この定義のもとでは、適度なインフレは経済の健全な成長の証明であり、それ自体が社会の豊かさの指標となる。</w:t>
      </w:r>
    </w:p>
    <w:p>
      <w:pPr>
        <w:spacing w:after="100" w:before="100"/>
      </w:pPr>
    </w:p>
    <w:p>
      <w:pPr>
        <w:pBdr>
          <w:bottom w:val="single" w:color="CCDDEE" w:sz="4" w:space="1"/>
        </w:pBdr>
        <w:spacing w:after="240" w:before="240"/>
      </w:pPr>
    </w:p>
    <w:p>
      <w:pPr>
        <w:pStyle w:val="Heading1"/>
        <w:spacing w:after="200" w:before="400"/>
      </w:pPr>
      <w:r>
        <w:rPr>
          <w:rFonts w:ascii="Arial" w:cs="Arial" w:eastAsia="Arial" w:hAnsi="Arial"/>
          <w:b/>
          <w:bCs/>
          <w:color w:val="1A3A5C"/>
          <w:sz w:val="32"/>
          <w:szCs w:val="32"/>
        </w:rPr>
        <w:t xml:space="preserve">第3章　ゼロサムゲームからプラスサムゲームへ</w:t>
      </w:r>
    </w:p>
    <w:p>
      <w:pPr>
        <w:pStyle w:val="Heading2"/>
        <w:spacing w:after="160" w:before="300"/>
      </w:pPr>
      <w:r>
        <w:rPr>
          <w:rFonts w:ascii="Arial" w:cs="Arial" w:eastAsia="Arial" w:hAnsi="Arial"/>
          <w:b/>
          <w:bCs/>
          <w:color w:val="2E5F8A"/>
          <w:sz w:val="26"/>
          <w:szCs w:val="26"/>
        </w:rPr>
        <w:t xml:space="preserve">3.1　貨幣価値固定世界の問題</w:t>
      </w:r>
    </w:p>
    <w:p>
      <w:pPr>
        <w:spacing w:after="160" w:before="100"/>
      </w:pPr>
      <w:r>
        <w:rPr>
          <w:rFonts w:ascii="Arial" w:cs="Arial" w:eastAsia="Arial" w:hAnsi="Arial"/>
          <w:sz w:val="22"/>
          <w:szCs w:val="22"/>
        </w:rPr>
        <w:t xml:space="preserve">貨幣の総量が固定された世界では、経済活動は本質的にゼロサムゲームとなる。Aが10枚得ればBは10枚失う。社会全体では常に±0であり、誰かの豊かさは必ず他者の貧困を前提とする。</w:t>
      </w:r>
    </w:p>
    <w:p>
      <w:pPr>
        <w:spacing w:after="160" w:before="100"/>
      </w:pPr>
      <w:r>
        <w:rPr>
          <w:rFonts w:ascii="Arial" w:cs="Arial" w:eastAsia="Arial" w:hAnsi="Arial"/>
          <w:sz w:val="22"/>
          <w:szCs w:val="22"/>
        </w:rPr>
        <w:t xml:space="preserve">この世界では経済活動は「価値の創造」ではなく「価値の収奪」になりやすく、他者を蹴落とすことへのインセンティブが働く。</w:t>
      </w:r>
    </w:p>
    <w:p>
      <w:pPr>
        <w:pStyle w:val="Heading2"/>
        <w:spacing w:after="160" w:before="300"/>
      </w:pPr>
      <w:r>
        <w:rPr>
          <w:rFonts w:ascii="Arial" w:cs="Arial" w:eastAsia="Arial" w:hAnsi="Arial"/>
          <w:b/>
          <w:bCs/>
          <w:color w:val="2E5F8A"/>
          <w:sz w:val="26"/>
          <w:szCs w:val="26"/>
        </w:rPr>
        <w:t xml:space="preserve">3.2　インフレがゼロサムを破壊する</w:t>
      </w:r>
    </w:p>
    <w:p>
      <w:pPr>
        <w:spacing w:after="160" w:before="100"/>
      </w:pPr>
      <w:r>
        <w:rPr>
          <w:rFonts w:ascii="Arial" w:cs="Arial" w:eastAsia="Arial" w:hAnsi="Arial"/>
          <w:sz w:val="22"/>
          <w:szCs w:val="22"/>
        </w:rPr>
        <w:t xml:space="preserve">適度なインフレが起きている経済では、パイ自体が拡大する。王国の例に戻ると：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A" w:val="clear"/>
            <w:tcMar>
              <w:top w:type="dxa" w:w="160"/>
              <w:left w:type="dxa" w:w="240"/>
              <w:bottom w:type="dxa" w:w="160"/>
              <w:right w:type="dxa" w:w="240"/>
            </w:tcMar>
          </w:tcPr>
          <w:p>
            <w:pPr>
              <w:spacing w:after="60" w:before="60"/>
            </w:pPr>
            <w:r>
              <w:rPr>
                <w:rFonts w:ascii="Courier New" w:cs="Courier New" w:eastAsia="Courier New" w:hAnsi="Courier New"/>
                <w:color w:val="1A3A5C"/>
                <w:sz w:val="22"/>
                <w:szCs w:val="22"/>
              </w:rPr>
              <w:t xml:space="preserve">王様が貨幣を発行</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Aさん・Bさんが橋と道路を建設</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以前は存在しなかった価値が社会に誕生</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社会の富の総量が増大（プラスサムゲーム）</w:t>
            </w:r>
          </w:p>
        </w:tc>
      </w:tr>
    </w:tbl>
    <w:p>
      <w:pPr>
        <w:spacing w:after="100" w:before="100"/>
      </w:pPr>
    </w:p>
    <w:p>
      <w:pPr>
        <w:pStyle w:val="Heading2"/>
        <w:spacing w:after="160" w:before="300"/>
      </w:pPr>
      <w:r>
        <w:rPr>
          <w:rFonts w:ascii="Arial" w:cs="Arial" w:eastAsia="Arial" w:hAnsi="Arial"/>
          <w:b/>
          <w:bCs/>
          <w:color w:val="2E5F8A"/>
          <w:sz w:val="26"/>
          <w:szCs w:val="26"/>
        </w:rPr>
        <w:t xml:space="preserve">3.3　賞金（Inflation Premium）の概念</w:t>
      </w:r>
    </w:p>
    <w:p>
      <w:pPr>
        <w:spacing w:after="160" w:before="100"/>
      </w:pPr>
      <w:r>
        <w:rPr>
          <w:rFonts w:ascii="Arial" w:cs="Arial" w:eastAsia="Arial" w:hAnsi="Arial"/>
          <w:sz w:val="22"/>
          <w:szCs w:val="22"/>
        </w:rPr>
        <w:t xml:space="preserve">プラスサムの経済においては、価値を生み出した者への「報酬の上乗せ」が自然に発生する。本理論ではこれをインフレ・プレミアム（賞金）と定義する。</w:t>
      </w:r>
    </w:p>
    <w:p>
      <w:pPr>
        <w:pBdr>
          <w:left w:val="single" w:color="2E5F8A" w:sz="6" w:space="12"/>
        </w:pBdr>
        <w:spacing w:after="160" w:before="160"/>
        <w:ind w:left="720" w:right="720"/>
      </w:pPr>
      <w:r>
        <w:rPr>
          <w:rFonts w:ascii="Arial" w:cs="Arial" w:eastAsia="Arial" w:hAnsi="Arial"/>
          <w:i/>
          <w:iCs/>
          <w:color w:val="333333"/>
          <w:sz w:val="22"/>
          <w:szCs w:val="22"/>
        </w:rPr>
        <w:t xml:space="preserve">賞金は誰かから収奪したものではない。社会全体のパイが大きくなった結果として生まれた余剰である。</w:t>
      </w:r>
    </w:p>
    <w:p>
      <w:pPr>
        <w:spacing w:after="160" w:before="100"/>
      </w:pPr>
      <w:r>
        <w:rPr>
          <w:rFonts w:ascii="Arial" w:cs="Arial" w:eastAsia="Arial" w:hAnsi="Arial"/>
          <w:sz w:val="22"/>
          <w:szCs w:val="22"/>
        </w:rPr>
        <w:t xml:space="preserve">この点がゼロサムの「勝者の取り分」と本質的に異なる。</w:t>
      </w:r>
    </w:p>
    <w:p>
      <w:pPr>
        <w:spacing w:after="100" w:before="100"/>
      </w:pPr>
    </w:p>
    <w:p>
      <w:pPr>
        <w:pBdr>
          <w:bottom w:val="single" w:color="CCDDEE" w:sz="4" w:space="1"/>
        </w:pBdr>
        <w:spacing w:after="240" w:before="240"/>
      </w:pPr>
    </w:p>
    <w:p>
      <w:pPr>
        <w:pStyle w:val="Heading1"/>
        <w:spacing w:after="200" w:before="400"/>
      </w:pPr>
      <w:r>
        <w:rPr>
          <w:rFonts w:ascii="Arial" w:cs="Arial" w:eastAsia="Arial" w:hAnsi="Arial"/>
          <w:b/>
          <w:bCs/>
          <w:color w:val="1A3A5C"/>
          <w:sz w:val="32"/>
          <w:szCs w:val="32"/>
        </w:rPr>
        <w:t xml:space="preserve">第4章　幸福インフレ率（HIR）の理論的導出</w:t>
      </w:r>
    </w:p>
    <w:p>
      <w:pPr>
        <w:pStyle w:val="Heading2"/>
        <w:spacing w:after="160" w:before="300"/>
      </w:pPr>
      <w:r>
        <w:rPr>
          <w:rFonts w:ascii="Arial" w:cs="Arial" w:eastAsia="Arial" w:hAnsi="Arial"/>
          <w:b/>
          <w:bCs/>
          <w:color w:val="2E5F8A"/>
          <w:sz w:val="26"/>
          <w:szCs w:val="26"/>
        </w:rPr>
        <w:t xml:space="preserve">4.1　HIRの定義</w:t>
      </w:r>
    </w:p>
    <w:p>
      <w:pPr>
        <w:spacing w:after="160" w:before="100"/>
      </w:pPr>
      <w:r>
        <w:rPr>
          <w:rFonts w:ascii="Arial" w:cs="Arial" w:eastAsia="Arial" w:hAnsi="Arial"/>
          <w:sz w:val="22"/>
          <w:szCs w:val="22"/>
        </w:rPr>
        <w:t xml:space="preserve">幸福インフレ率（Happiness Inflation Rate / HIR）とは、以下の4条件を同時に満たすインフレ率として定義される。</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条件</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① プラスサムの維持</w:t>
            </w:r>
          </w:p>
        </w:tc>
        <w:tc>
          <w:tcPr>
            <w:tcW w:type="dxa" w:w="6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パイが拡大し続けること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② 賞金の蓄積</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挑戦へのインセンティブが機能すること</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③ 賞金の適正分散</w:t>
            </w:r>
          </w:p>
        </w:tc>
        <w:tc>
          <w:tcPr>
            <w:tcW w:type="dxa" w:w="6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富が偏在せず再分配の余地があること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④ 計算基盤の安定</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貨幣価値が下がりすぎず経済計算が機能すること</w:t>
            </w:r>
          </w:p>
        </w:tc>
      </w:tr>
    </w:tbl>
    <w:p>
      <w:pPr>
        <w:spacing w:after="100" w:before="100"/>
      </w:pPr>
    </w:p>
    <w:p>
      <w:pPr>
        <w:pStyle w:val="Heading2"/>
        <w:spacing w:after="160" w:before="300"/>
      </w:pPr>
      <w:r>
        <w:rPr>
          <w:rFonts w:ascii="Arial" w:cs="Arial" w:eastAsia="Arial" w:hAnsi="Arial"/>
          <w:b/>
          <w:bCs/>
          <w:color w:val="2E5F8A"/>
          <w:sz w:val="26"/>
          <w:szCs w:val="26"/>
        </w:rPr>
        <w:t xml:space="preserve">4.2　HIRの計算式</w:t>
      </w:r>
    </w:p>
    <w:p>
      <w:pPr>
        <w:spacing w:after="160" w:before="100"/>
      </w:pPr>
      <w:r>
        <w:rPr>
          <w:rFonts w:ascii="Arial" w:cs="Arial" w:eastAsia="Arial" w:hAnsi="Arial"/>
          <w:sz w:val="22"/>
          <w:szCs w:val="22"/>
        </w:rPr>
        <w:t xml:space="preserve">上記4条件を変数として整理すると、HIRは以下の関数として表される。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A" w:val="clear"/>
            <w:tcMar>
              <w:top w:type="dxa" w:w="160"/>
              <w:left w:type="dxa" w:w="240"/>
              <w:bottom w:type="dxa" w:w="160"/>
              <w:right w:type="dxa" w:w="240"/>
            </w:tcMar>
          </w:tcPr>
          <w:p>
            <w:pPr>
              <w:spacing w:after="60" w:before="60"/>
            </w:pPr>
            <w:r>
              <w:rPr>
                <w:rFonts w:ascii="Courier New" w:cs="Courier New" w:eastAsia="Courier New" w:hAnsi="Courier New"/>
                <w:color w:val="1A3A5C"/>
                <w:sz w:val="22"/>
                <w:szCs w:val="22"/>
              </w:rPr>
              <w:t xml:space="preserve">HIR = f（G, P, I, V, R）</w:t>
            </w:r>
          </w:p>
          <w:p>
            <w:pPr>
              <w:spacing w:after="60" w:before="60"/>
            </w:pPr>
            <w:r>
              <w:rPr>
                <w:rFonts w:ascii="Courier New" w:cs="Courier New" w:eastAsia="Courier New" w:hAnsi="Courier New"/>
                <w:color w:val="1A3A5C"/>
                <w:sz w:val="22"/>
                <w:szCs w:val="22"/>
              </w:rPr>
              <w:t xml:space="preserve"/>
            </w:r>
          </w:p>
          <w:p>
            <w:pPr>
              <w:spacing w:after="60" w:before="60"/>
            </w:pPr>
            <w:r>
              <w:rPr>
                <w:rFonts w:ascii="Courier New" w:cs="Courier New" w:eastAsia="Courier New" w:hAnsi="Courier New"/>
                <w:color w:val="1A3A5C"/>
                <w:sz w:val="22"/>
                <w:szCs w:val="22"/>
              </w:rPr>
              <w:t xml:space="preserve">G = 実質GDP成長率</w:t>
            </w:r>
          </w:p>
          <w:p>
            <w:pPr>
              <w:spacing w:after="60" w:before="60"/>
            </w:pPr>
            <w:r>
              <w:rPr>
                <w:rFonts w:ascii="Courier New" w:cs="Courier New" w:eastAsia="Courier New" w:hAnsi="Courier New"/>
                <w:color w:val="1A3A5C"/>
                <w:sz w:val="22"/>
                <w:szCs w:val="22"/>
              </w:rPr>
              <w:t xml:space="preserve">P = 生産性向上率（技術革新・AI等を含む）</w:t>
            </w:r>
          </w:p>
          <w:p>
            <w:pPr>
              <w:spacing w:after="60" w:before="60"/>
            </w:pPr>
            <w:r>
              <w:rPr>
                <w:rFonts w:ascii="Courier New" w:cs="Courier New" w:eastAsia="Courier New" w:hAnsi="Courier New"/>
                <w:color w:val="1A3A5C"/>
                <w:sz w:val="22"/>
                <w:szCs w:val="22"/>
              </w:rPr>
              <w:t xml:space="preserve">I = 格差拡大リスク係数（ジニ係数の変化率）</w:t>
            </w:r>
          </w:p>
          <w:p>
            <w:pPr>
              <w:spacing w:after="60" w:before="60"/>
            </w:pPr>
            <w:r>
              <w:rPr>
                <w:rFonts w:ascii="Courier New" w:cs="Courier New" w:eastAsia="Courier New" w:hAnsi="Courier New"/>
                <w:color w:val="1A3A5C"/>
                <w:sz w:val="22"/>
                <w:szCs w:val="22"/>
              </w:rPr>
              <w:t xml:space="preserve">V = 貨幣流通速度補正</w:t>
            </w:r>
          </w:p>
          <w:p>
            <w:pPr>
              <w:spacing w:after="60" w:before="60"/>
            </w:pPr>
            <w:r>
              <w:rPr>
                <w:rFonts w:ascii="Courier New" w:cs="Courier New" w:eastAsia="Courier New" w:hAnsi="Courier New"/>
                <w:color w:val="1A3A5C"/>
                <w:sz w:val="22"/>
                <w:szCs w:val="22"/>
              </w:rPr>
              <w:t xml:space="preserve">R = 再分配効率補正（税の捕捉率・給付到達率）</w:t>
            </w:r>
          </w:p>
          <w:p>
            <w:pPr>
              <w:spacing w:after="60" w:before="60"/>
            </w:pPr>
            <w:r>
              <w:rPr>
                <w:rFonts w:ascii="Courier New" w:cs="Courier New" w:eastAsia="Courier New" w:hAnsi="Courier New"/>
                <w:color w:val="1A3A5C"/>
                <w:sz w:val="22"/>
                <w:szCs w:val="22"/>
              </w:rPr>
              <w:t xml:space="preserve"/>
            </w:r>
          </w:p>
          <w:p>
            <w:pPr>
              <w:spacing w:after="60" w:before="60"/>
            </w:pPr>
            <w:r>
              <w:rPr>
                <w:rFonts w:ascii="Courier New" w:cs="Courier New" w:eastAsia="Courier New" w:hAnsi="Courier New"/>
                <w:color w:val="1A3A5C"/>
                <w:sz w:val="22"/>
                <w:szCs w:val="22"/>
              </w:rPr>
              <w:t xml:space="preserve">展開形：</w:t>
            </w:r>
          </w:p>
          <w:p>
            <w:pPr>
              <w:spacing w:after="60" w:before="60"/>
            </w:pPr>
            <w:r>
              <w:rPr>
                <w:rFonts w:ascii="Courier New" w:cs="Courier New" w:eastAsia="Courier New" w:hAnsi="Courier New"/>
                <w:color w:val="1A3A5C"/>
                <w:sz w:val="22"/>
                <w:szCs w:val="22"/>
              </w:rPr>
              <w:t xml:space="preserve">HIR ≈ （G + P） × V × R − I</w:t>
            </w:r>
          </w:p>
        </w:tc>
      </w:tr>
    </w:tbl>
    <w:p>
      <w:pPr>
        <w:spacing w:after="100" w:before="100"/>
      </w:pPr>
    </w:p>
    <w:p>
      <w:pPr>
        <w:pStyle w:val="Heading2"/>
        <w:spacing w:after="160" w:before="300"/>
      </w:pPr>
      <w:r>
        <w:rPr>
          <w:rFonts w:ascii="Arial" w:cs="Arial" w:eastAsia="Arial" w:hAnsi="Arial"/>
          <w:b/>
          <w:bCs/>
          <w:color w:val="2E5F8A"/>
          <w:sz w:val="26"/>
          <w:szCs w:val="26"/>
        </w:rPr>
        <w:t xml:space="preserve">4.3　各変数の意味</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変数</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値が大きい状態</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HIRへの影響</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GDP成長率（G）</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経済が活発</w:t>
            </w:r>
          </w:p>
        </w:tc>
        <w:tc>
          <w:tcPr>
            <w:tcW w:type="dxa" w:w="36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上げられる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生産性向上率（P）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技術革新が活発</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上げられる</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格差拡大リスク（I）</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富が一部に集中</w:t>
            </w:r>
          </w:p>
        </w:tc>
        <w:tc>
          <w:tcPr>
            <w:tcW w:type="dxa" w:w="36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下げる必要がある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貨幣流通速度（V）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お金が社会を速く回る</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上げられる</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再分配効率（R）</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税・給付が機能している</w:t>
            </w:r>
          </w:p>
        </w:tc>
        <w:tc>
          <w:tcPr>
            <w:tcW w:type="dxa" w:w="36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上げられる</w:t>
            </w:r>
          </w:p>
        </w:tc>
      </w:tr>
    </w:tbl>
    <w:p>
      <w:pPr>
        <w:spacing w:after="100" w:before="100"/>
      </w:pPr>
    </w:p>
    <w:p>
      <w:pPr>
        <w:pStyle w:val="Heading2"/>
        <w:spacing w:after="160" w:before="300"/>
      </w:pPr>
      <w:r>
        <w:rPr>
          <w:rFonts w:ascii="Arial" w:cs="Arial" w:eastAsia="Arial" w:hAnsi="Arial"/>
          <w:b/>
          <w:bCs/>
          <w:color w:val="2E5F8A"/>
          <w:sz w:val="26"/>
          <w:szCs w:val="26"/>
        </w:rPr>
        <w:t xml:space="preserve">4.4　なぜHIRは固定値ではないのか</w:t>
      </w:r>
    </w:p>
    <w:p>
      <w:pPr>
        <w:pBdr>
          <w:left w:val="single" w:color="2E5F8A" w:sz="6" w:space="12"/>
        </w:pBdr>
        <w:spacing w:after="160" w:before="160"/>
        <w:ind w:left="720" w:right="720"/>
      </w:pPr>
      <w:r>
        <w:rPr>
          <w:rFonts w:ascii="Arial" w:cs="Arial" w:eastAsia="Arial" w:hAnsi="Arial"/>
          <w:i/>
          <w:iCs/>
          <w:color w:val="333333"/>
          <w:sz w:val="22"/>
          <w:szCs w:val="22"/>
        </w:rPr>
        <w:t xml:space="preserve">HIRは単一の数字ではなく、社会の状態に応じて動的に変化すべき関数である。2%という固定目標は、これらの変数を全て無視した思考停止の産物である。</w:t>
      </w:r>
    </w:p>
    <w:p>
      <w:pPr>
        <w:spacing w:after="100" w:before="100"/>
      </w:pPr>
    </w:p>
    <w:p>
      <w:pPr>
        <w:pBdr>
          <w:bottom w:val="single" w:color="CCDDEE" w:sz="4" w:space="1"/>
        </w:pBdr>
        <w:spacing w:after="240" w:before="240"/>
      </w:pPr>
    </w:p>
    <w:p>
      <w:pPr>
        <w:pStyle w:val="Heading1"/>
        <w:spacing w:after="200" w:before="400"/>
      </w:pPr>
      <w:r>
        <w:rPr>
          <w:rFonts w:ascii="Arial" w:cs="Arial" w:eastAsia="Arial" w:hAnsi="Arial"/>
          <w:b/>
          <w:bCs/>
          <w:color w:val="1A3A5C"/>
          <w:sz w:val="32"/>
          <w:szCs w:val="32"/>
        </w:rPr>
        <w:t xml:space="preserve">第5章　再分配の論理的必然性</w:t>
      </w:r>
    </w:p>
    <w:p>
      <w:pPr>
        <w:pStyle w:val="Heading2"/>
        <w:spacing w:after="160" w:before="300"/>
      </w:pPr>
      <w:r>
        <w:rPr>
          <w:rFonts w:ascii="Arial" w:cs="Arial" w:eastAsia="Arial" w:hAnsi="Arial"/>
          <w:b/>
          <w:bCs/>
          <w:color w:val="2E5F8A"/>
          <w:sz w:val="26"/>
          <w:szCs w:val="26"/>
        </w:rPr>
        <w:t xml:space="preserve">5.1　賞金の偏在問題</w:t>
      </w:r>
    </w:p>
    <w:p>
      <w:pPr>
        <w:spacing w:after="160" w:before="100"/>
      </w:pPr>
      <w:r>
        <w:rPr>
          <w:rFonts w:ascii="Arial" w:cs="Arial" w:eastAsia="Arial" w:hAnsi="Arial"/>
          <w:sz w:val="22"/>
          <w:szCs w:val="22"/>
        </w:rPr>
        <w:t xml:space="preserve">インフレによる賞金の蓄積は、必ずしも「価値を生み出す能力」と「スタート地点の公平性」が一致しない現実から、偏在が生じる。才能・健康・生まれた環境・運などあらゆる要因が結果に影響する。</w:t>
      </w:r>
    </w:p>
    <w:p>
      <w:pPr>
        <w:pStyle w:val="Heading2"/>
        <w:spacing w:after="160" w:before="300"/>
      </w:pPr>
      <w:r>
        <w:rPr>
          <w:rFonts w:ascii="Arial" w:cs="Arial" w:eastAsia="Arial" w:hAnsi="Arial"/>
          <w:b/>
          <w:bCs/>
          <w:color w:val="2E5F8A"/>
          <w:sz w:val="26"/>
          <w:szCs w:val="26"/>
        </w:rPr>
        <w:t xml:space="preserve">5.2　再分配は「思いやり」ではなく「システム設計」</w:t>
      </w:r>
    </w:p>
    <w:p>
      <w:pPr>
        <w:spacing w:after="160" w:before="100"/>
      </w:pPr>
      <w:r>
        <w:rPr>
          <w:rFonts w:ascii="Arial" w:cs="Arial" w:eastAsia="Arial" w:hAnsi="Arial"/>
          <w:sz w:val="22"/>
          <w:szCs w:val="22"/>
        </w:rPr>
        <w:t xml:space="preserve">再分配が機能しない場合、以下の悪循環が発生する。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A" w:val="clear"/>
            <w:tcMar>
              <w:top w:type="dxa" w:w="160"/>
              <w:left w:type="dxa" w:w="240"/>
              <w:bottom w:type="dxa" w:w="160"/>
              <w:right w:type="dxa" w:w="240"/>
            </w:tcMar>
          </w:tcPr>
          <w:p>
            <w:pPr>
              <w:spacing w:after="60" w:before="60"/>
            </w:pPr>
            <w:r>
              <w:rPr>
                <w:rFonts w:ascii="Courier New" w:cs="Courier New" w:eastAsia="Courier New" w:hAnsi="Courier New"/>
                <w:color w:val="1A3A5C"/>
                <w:sz w:val="22"/>
                <w:szCs w:val="22"/>
              </w:rPr>
              <w:t xml:space="preserve">賞金が一部に偏在</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経済活動への参加者が減少</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パイの成長が鈍化</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ゼロサムゲームへ逆戻り</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収奪インセンティブが高まる（悪循環）</w:t>
            </w:r>
          </w:p>
        </w:tc>
      </w:tr>
    </w:tbl>
    <w:p>
      <w:pPr>
        <w:spacing w:after="100" w:before="100"/>
      </w:pPr>
    </w:p>
    <w:p>
      <w:pPr>
        <w:spacing w:after="160" w:before="100"/>
      </w:pPr>
      <w:r>
        <w:rPr>
          <w:rFonts w:ascii="Arial" w:cs="Arial" w:eastAsia="Arial" w:hAnsi="Arial"/>
          <w:sz w:val="22"/>
          <w:szCs w:val="22"/>
        </w:rPr>
        <w:t xml:space="preserve">逆に再分配が機能している場合：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A" w:val="clear"/>
            <w:tcMar>
              <w:top w:type="dxa" w:w="160"/>
              <w:left w:type="dxa" w:w="240"/>
              <w:bottom w:type="dxa" w:w="160"/>
              <w:right w:type="dxa" w:w="240"/>
            </w:tcMar>
          </w:tcPr>
          <w:p>
            <w:pPr>
              <w:spacing w:after="60" w:before="60"/>
            </w:pPr>
            <w:r>
              <w:rPr>
                <w:rFonts w:ascii="Courier New" w:cs="Courier New" w:eastAsia="Courier New" w:hAnsi="Courier New"/>
                <w:color w:val="1A3A5C"/>
                <w:sz w:val="22"/>
                <w:szCs w:val="22"/>
              </w:rPr>
              <w:t xml:space="preserve">賞金の一部を税として徴収</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機会・能力・運に恵まれなかった人へ分配</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経済活動への参加者が増加</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パイがさらに拡大</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また賞金が生まれる（好循環）</w:t>
            </w:r>
          </w:p>
        </w:tc>
      </w:tr>
    </w:tbl>
    <w:p>
      <w:pPr>
        <w:spacing w:after="100" w:before="100"/>
      </w:pPr>
    </w:p>
    <w:p>
      <w:pPr>
        <w:spacing w:after="160" w:before="100"/>
      </w:pPr>
      <w:r>
        <w:rPr>
          <w:rFonts w:ascii="Arial" w:cs="Arial" w:eastAsia="Arial" w:hAnsi="Arial"/>
          <w:sz w:val="22"/>
          <w:szCs w:val="22"/>
        </w:rPr>
        <w:t xml:space="preserve">これは「思いやり」ではなく、プラスサムゲームを持続させるための合理的なシステム設計である。</w:t>
      </w:r>
    </w:p>
    <w:p>
      <w:pPr>
        <w:spacing w:after="100" w:before="100"/>
      </w:pPr>
    </w:p>
    <w:p>
      <w:pPr>
        <w:pBdr>
          <w:bottom w:val="single" w:color="CCDDEE" w:sz="4" w:space="1"/>
        </w:pBdr>
        <w:spacing w:after="240" w:before="240"/>
      </w:pPr>
    </w:p>
    <w:p>
      <w:pPr>
        <w:pStyle w:val="Heading1"/>
        <w:spacing w:after="200" w:before="400"/>
      </w:pPr>
      <w:r>
        <w:rPr>
          <w:rFonts w:ascii="Arial" w:cs="Arial" w:eastAsia="Arial" w:hAnsi="Arial"/>
          <w:b/>
          <w:bCs/>
          <w:color w:val="1A3A5C"/>
          <w:sz w:val="32"/>
          <w:szCs w:val="32"/>
        </w:rPr>
        <w:t xml:space="preserve">第6章　日本の30年間との接続</w:t>
      </w:r>
    </w:p>
    <w:p>
      <w:pPr>
        <w:pStyle w:val="Heading2"/>
        <w:spacing w:after="160" w:before="300"/>
      </w:pPr>
      <w:r>
        <w:rPr>
          <w:rFonts w:ascii="Arial" w:cs="Arial" w:eastAsia="Arial" w:hAnsi="Arial"/>
          <w:b/>
          <w:bCs/>
          <w:color w:val="2E5F8A"/>
          <w:sz w:val="26"/>
          <w:szCs w:val="26"/>
        </w:rPr>
        <w:t xml:space="preserve">6.1　HIR式から見た日本の失敗</w:t>
      </w:r>
    </w:p>
    <w:p>
      <w:pPr>
        <w:spacing w:after="160" w:before="100"/>
      </w:pPr>
      <w:r>
        <w:rPr>
          <w:rFonts w:ascii="Arial" w:cs="Arial" w:eastAsia="Arial" w:hAnsi="Arial"/>
          <w:sz w:val="22"/>
          <w:szCs w:val="22"/>
        </w:rPr>
        <w:t xml:space="preserve">HIR式に日本の現状を代入すると以下のようになる。</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変数</w:t>
            </w:r>
          </w:p>
        </w:tc>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日本の現状</w:t>
            </w:r>
          </w:p>
        </w:tc>
        <w:tc>
          <w:tcPr>
            <w:tcW w:type="dxa" w:w="3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評価</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GDP成長率（G）</w:t>
            </w:r>
          </w:p>
        </w:tc>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0〜1%程度</w:t>
            </w:r>
          </w:p>
        </w:tc>
        <w:tc>
          <w:tcPr>
            <w:tcW w:type="dxa" w:w="3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低い</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生産性向上率（P）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OECD下位水準</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低い</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格差拡大リスク（I）</w:t>
            </w:r>
          </w:p>
        </w:tc>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高まりつつある</w:t>
            </w:r>
          </w:p>
        </w:tc>
        <w:tc>
          <w:tcPr>
            <w:tcW w:type="dxa" w:w="3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マイナス圧力</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貨幣流通速度（V）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極めて低い（内部留保最高水準）</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低い</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再分配効率（R）</w:t>
            </w:r>
          </w:p>
        </w:tc>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給付の捕捉漏れが多い</w:t>
            </w:r>
          </w:p>
        </w:tc>
        <w:tc>
          <w:tcPr>
            <w:tcW w:type="dxa" w:w="30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中程度</w:t>
            </w:r>
          </w:p>
        </w:tc>
      </w:tr>
    </w:tbl>
    <w:p>
      <w:pPr>
        <w:spacing w:after="100" w:before="100"/>
      </w:pPr>
    </w:p>
    <w:p>
      <w:pPr>
        <w:spacing w:after="160" w:before="100"/>
      </w:pPr>
      <w:r>
        <w:rPr>
          <w:rFonts w:ascii="Arial" w:cs="Arial" w:eastAsia="Arial" w:hAnsi="Arial"/>
          <w:sz w:val="22"/>
          <w:szCs w:val="22"/>
        </w:rPr>
        <w:t xml:space="preserve">この分析が示す結論：</w:t>
      </w:r>
    </w:p>
    <w:p>
      <w:pPr>
        <w:pBdr>
          <w:left w:val="single" w:color="2E5F8A" w:sz="6" w:space="12"/>
        </w:pBdr>
        <w:spacing w:after="160" w:before="160"/>
        <w:ind w:left="720" w:right="720"/>
      </w:pPr>
      <w:r>
        <w:rPr>
          <w:rFonts w:ascii="Arial" w:cs="Arial" w:eastAsia="Arial" w:hAnsi="Arial"/>
          <w:i/>
          <w:iCs/>
          <w:color w:val="333333"/>
          <w:sz w:val="22"/>
          <w:szCs w:val="22"/>
        </w:rPr>
        <w:t xml:space="preserve">日本において、インフレ率2%だけを目標とすることは誤りである。V（流通速度）とR（再分配効率）を先に改善しなければ、インフレ率を上げても幸福は増大しない。</w:t>
      </w:r>
    </w:p>
    <w:p>
      <w:pPr>
        <w:pStyle w:val="Heading2"/>
        <w:spacing w:after="160" w:before="300"/>
      </w:pPr>
      <w:r>
        <w:rPr>
          <w:rFonts w:ascii="Arial" w:cs="Arial" w:eastAsia="Arial" w:hAnsi="Arial"/>
          <w:b/>
          <w:bCs/>
          <w:color w:val="2E5F8A"/>
          <w:sz w:val="26"/>
          <w:szCs w:val="26"/>
        </w:rPr>
        <w:t xml:space="preserve">6.2　増税政策の誤り</w:t>
      </w:r>
    </w:p>
    <w:p>
      <w:pPr>
        <w:spacing w:after="160" w:before="100"/>
      </w:pPr>
      <w:r>
        <w:rPr>
          <w:rFonts w:ascii="Arial" w:cs="Arial" w:eastAsia="Arial" w:hAnsi="Arial"/>
          <w:sz w:val="22"/>
          <w:szCs w:val="22"/>
        </w:rPr>
        <w:t xml:space="preserve">「財源が必要だから増税する」という30年間の政策は、HIR式において以下のメカニズムで機能不全を起こした。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A" w:val="clear"/>
            <w:tcMar>
              <w:top w:type="dxa" w:w="160"/>
              <w:left w:type="dxa" w:w="240"/>
              <w:bottom w:type="dxa" w:w="160"/>
              <w:right w:type="dxa" w:w="240"/>
            </w:tcMar>
          </w:tcPr>
          <w:p>
            <w:pPr>
              <w:spacing w:after="60" w:before="60"/>
            </w:pPr>
            <w:r>
              <w:rPr>
                <w:rFonts w:ascii="Courier New" w:cs="Courier New" w:eastAsia="Courier New" w:hAnsi="Courier New"/>
                <w:color w:val="1A3A5C"/>
                <w:sz w:val="22"/>
                <w:szCs w:val="22"/>
              </w:rPr>
              <w:t xml:space="preserve">増税によりVが低下（お金の流通が止まる）</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Rが悪化（収奪的になり再分配の正当性が失われる）</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デフレ深刻化（HIRが負に近づく）</w:t>
            </w:r>
          </w:p>
          <w:p>
            <w:pPr>
              <w:spacing w:after="60" w:before="60"/>
            </w:pPr>
            <w:r>
              <w:rPr>
                <w:rFonts w:ascii="Courier New" w:cs="Courier New" w:eastAsia="Courier New" w:hAnsi="Courier New"/>
                <w:color w:val="1A3A5C"/>
                <w:sz w:val="22"/>
                <w:szCs w:val="22"/>
              </w:rPr>
              <w:t xml:space="preserve">　↓</w:t>
            </w:r>
          </w:p>
          <w:p>
            <w:pPr>
              <w:spacing w:after="60" w:before="60"/>
            </w:pPr>
            <w:r>
              <w:rPr>
                <w:rFonts w:ascii="Courier New" w:cs="Courier New" w:eastAsia="Courier New" w:hAnsi="Courier New"/>
                <w:color w:val="1A3A5C"/>
                <w:sz w:val="22"/>
                <w:szCs w:val="22"/>
              </w:rPr>
              <w:t xml:space="preserve">経済縮小 → ゼロサムゲームへ</w:t>
            </w:r>
          </w:p>
        </w:tc>
      </w:tr>
    </w:tbl>
    <w:p>
      <w:pPr>
        <w:spacing w:after="100" w:before="100"/>
      </w:pPr>
    </w:p>
    <w:p>
      <w:pPr>
        <w:pBdr>
          <w:bottom w:val="single" w:color="CCDDEE" w:sz="4" w:space="1"/>
        </w:pBdr>
        <w:spacing w:after="240" w:before="240"/>
      </w:pPr>
    </w:p>
    <w:p>
      <w:pPr>
        <w:pStyle w:val="Heading1"/>
        <w:spacing w:after="200" w:before="400"/>
      </w:pPr>
      <w:r>
        <w:rPr>
          <w:rFonts w:ascii="Arial" w:cs="Arial" w:eastAsia="Arial" w:hAnsi="Arial"/>
          <w:b/>
          <w:bCs/>
          <w:color w:val="1A3A5C"/>
          <w:sz w:val="32"/>
          <w:szCs w:val="32"/>
        </w:rPr>
        <w:t xml:space="preserve">第7章　HIR理論の位置づけ</w:t>
      </w:r>
    </w:p>
    <w:p>
      <w:pPr>
        <w:pStyle w:val="Heading2"/>
        <w:spacing w:after="160" w:before="300"/>
      </w:pPr>
      <w:r>
        <w:rPr>
          <w:rFonts w:ascii="Arial" w:cs="Arial" w:eastAsia="Arial" w:hAnsi="Arial"/>
          <w:b/>
          <w:bCs/>
          <w:color w:val="2E5F8A"/>
          <w:sz w:val="26"/>
          <w:szCs w:val="26"/>
        </w:rPr>
        <w:t xml:space="preserve">7.1　既存理論との関係</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既存理論</w:t>
            </w:r>
          </w:p>
        </w:tc>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カバー範囲</w:t>
            </w:r>
          </w:p>
        </w:tc>
        <w:tc>
          <w:tcPr>
            <w:tcW w:type="dxa" w:w="3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HIR理論が補う点</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MMT（現代貨幣理論）</w:t>
            </w:r>
          </w:p>
        </w:tc>
        <w:tc>
          <w:tcPr>
            <w:tcW w:type="dxa" w:w="2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信用創造・通貨発行権</w:t>
            </w:r>
          </w:p>
        </w:tc>
        <w:tc>
          <w:tcPr>
            <w:tcW w:type="dxa" w:w="3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幸福の目的関数化・インフレ設計</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機能的財政論</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財政の効果判断</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幸福変数の定量化</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厚生経済学</w:t>
            </w:r>
          </w:p>
        </w:tc>
        <w:tc>
          <w:tcPr>
            <w:tcW w:type="dxa" w:w="2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社会全体の幸福最大化</w:t>
            </w:r>
          </w:p>
        </w:tc>
        <w:tc>
          <w:tcPr>
            <w:tcW w:type="dxa" w:w="3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インフレ率との接続</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テイラー・ルール</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政策金利の計算</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格差・再分配・幸福変数の追加</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幸福の経済学</w:t>
            </w:r>
          </w:p>
        </w:tc>
        <w:tc>
          <w:tcPr>
            <w:tcW w:type="dxa" w:w="2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幸福度の計測</w:t>
            </w:r>
          </w:p>
        </w:tc>
        <w:tc>
          <w:tcPr>
            <w:tcW w:type="dxa" w:w="38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インフレ設計論との統合</w:t>
            </w:r>
          </w:p>
        </w:tc>
      </w:tr>
    </w:tbl>
    <w:p>
      <w:pPr>
        <w:spacing w:after="100" w:before="100"/>
      </w:pPr>
    </w:p>
    <w:p>
      <w:pPr>
        <w:pStyle w:val="Heading2"/>
        <w:spacing w:after="160" w:before="300"/>
      </w:pPr>
      <w:r>
        <w:rPr>
          <w:rFonts w:ascii="Arial" w:cs="Arial" w:eastAsia="Arial" w:hAnsi="Arial"/>
          <w:b/>
          <w:bCs/>
          <w:color w:val="2E5F8A"/>
          <w:sz w:val="26"/>
          <w:szCs w:val="26"/>
        </w:rPr>
        <w:t xml:space="preserve">7.2　HIR理論の独自性</w:t>
      </w:r>
    </w:p>
    <w:p>
      <w:pPr>
        <w:spacing w:after="160" w:before="100"/>
      </w:pPr>
      <w:r>
        <w:rPr>
          <w:rFonts w:ascii="Arial" w:cs="Arial" w:eastAsia="Arial" w:hAnsi="Arial"/>
          <w:sz w:val="22"/>
          <w:szCs w:val="22"/>
        </w:rPr>
        <w:t xml:space="preserve">HIR理論は以上の既存理論が縦割りで発展させてきた概念を統合し、以下を同時に実現する初めての枠組みである。</w:t>
      </w:r>
    </w:p>
    <w:p>
      <w:pPr>
        <w:pStyle w:val="ListParagraph"/>
        <w:numPr>
          <w:ilvl w:val="0"/>
          <w:numId w:val="2"/>
        </w:numPr>
        <w:spacing w:after="80" w:before="80"/>
      </w:pPr>
      <w:r>
        <w:rPr>
          <w:rFonts w:ascii="Arial" w:cs="Arial" w:eastAsia="Arial" w:hAnsi="Arial"/>
          <w:sz w:val="22"/>
          <w:szCs w:val="22"/>
        </w:rPr>
        <w:t xml:space="preserve">貨幣の本質（信用創造）を出発点とする</w:t>
      </w:r>
    </w:p>
    <w:p>
      <w:pPr>
        <w:pStyle w:val="ListParagraph"/>
        <w:numPr>
          <w:ilvl w:val="0"/>
          <w:numId w:val="2"/>
        </w:numPr>
        <w:spacing w:after="80" w:before="80"/>
      </w:pPr>
      <w:r>
        <w:rPr>
          <w:rFonts w:ascii="Arial" w:cs="Arial" w:eastAsia="Arial" w:hAnsi="Arial"/>
          <w:sz w:val="22"/>
          <w:szCs w:val="22"/>
        </w:rPr>
        <w:t xml:space="preserve">インフレを「幸福の設計変数」として扱う</w:t>
      </w:r>
    </w:p>
    <w:p>
      <w:pPr>
        <w:pStyle w:val="ListParagraph"/>
        <w:numPr>
          <w:ilvl w:val="0"/>
          <w:numId w:val="2"/>
        </w:numPr>
        <w:spacing w:after="80" w:before="80"/>
      </w:pPr>
      <w:r>
        <w:rPr>
          <w:rFonts w:ascii="Arial" w:cs="Arial" w:eastAsia="Arial" w:hAnsi="Arial"/>
          <w:sz w:val="22"/>
          <w:szCs w:val="22"/>
        </w:rPr>
        <w:t xml:space="preserve">再分配を感情論ではなくシステム論として位置づける</w:t>
      </w:r>
    </w:p>
    <w:p>
      <w:pPr>
        <w:pStyle w:val="ListParagraph"/>
        <w:numPr>
          <w:ilvl w:val="0"/>
          <w:numId w:val="2"/>
        </w:numPr>
        <w:spacing w:after="80" w:before="80"/>
      </w:pPr>
      <w:r>
        <w:rPr>
          <w:rFonts w:ascii="Arial" w:cs="Arial" w:eastAsia="Arial" w:hAnsi="Arial"/>
          <w:sz w:val="22"/>
          <w:szCs w:val="22"/>
        </w:rPr>
        <w:t xml:space="preserve">インフレ目標を固定値ではなく動的関数として定義する</w:t>
      </w:r>
    </w:p>
    <w:p>
      <w:pPr>
        <w:spacing w:after="100" w:before="100"/>
      </w:pPr>
    </w:p>
    <w:p>
      <w:pPr>
        <w:pBdr>
          <w:bottom w:val="single" w:color="CCDDEE" w:sz="4" w:space="1"/>
        </w:pBdr>
        <w:spacing w:after="240" w:before="240"/>
      </w:pPr>
    </w:p>
    <w:p>
      <w:pPr>
        <w:pStyle w:val="Heading1"/>
        <w:spacing w:after="200" w:before="400"/>
      </w:pPr>
      <w:r>
        <w:rPr>
          <w:rFonts w:ascii="Arial" w:cs="Arial" w:eastAsia="Arial" w:hAnsi="Arial"/>
          <w:b/>
          <w:bCs/>
          <w:color w:val="1A3A5C"/>
          <w:sz w:val="32"/>
          <w:szCs w:val="32"/>
        </w:rPr>
        <w:t xml:space="preserve">第8章　政策提言</w:t>
      </w:r>
    </w:p>
    <w:p>
      <w:pPr>
        <w:pStyle w:val="Heading2"/>
        <w:spacing w:after="160" w:before="300"/>
      </w:pPr>
      <w:r>
        <w:rPr>
          <w:rFonts w:ascii="Arial" w:cs="Arial" w:eastAsia="Arial" w:hAnsi="Arial"/>
          <w:b/>
          <w:bCs/>
          <w:color w:val="2E5F8A"/>
          <w:sz w:val="26"/>
          <w:szCs w:val="26"/>
        </w:rPr>
        <w:t xml:space="preserve">8.1　モニタリング指標の複合化</w:t>
      </w:r>
    </w:p>
    <w:p>
      <w:pPr>
        <w:spacing w:after="160" w:before="100"/>
      </w:pPr>
      <w:r>
        <w:rPr>
          <w:rFonts w:ascii="Arial" w:cs="Arial" w:eastAsia="Arial" w:hAnsi="Arial"/>
          <w:sz w:val="22"/>
          <w:szCs w:val="22"/>
        </w:rPr>
        <w:t xml:space="preserve">HIR理論に基づけば、政府・中央銀行がモニタリングすべき指標は以下の4指標の組み合わせである。</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指標</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現在の扱い</w:t>
            </w:r>
          </w:p>
        </w:tc>
        <w:tc>
          <w:tcPr>
            <w:tcW w:type="dxa" w:w="3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HIR理論における扱い</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インフレ率</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単独目標（2%）</w:t>
            </w:r>
          </w:p>
        </w:tc>
        <w:tc>
          <w:tcPr>
            <w:tcW w:type="dxa" w:w="3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結果指標（HIRの出力）</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貨幣流通速度</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ほぼ無視</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最重要の中間目標</w:t>
            </w:r>
          </w:p>
        </w:tc>
      </w:tr>
      <w:tr>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ジニ係数</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参考指標</w:t>
            </w:r>
          </w:p>
        </w:tc>
        <w:tc>
          <w:tcPr>
            <w:tcW w:type="dxa" w:w="3726"/>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HIRの上限を決める制約条件</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再分配効率</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測定せず</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HIRを達成するための政策変数</w:t>
            </w:r>
          </w:p>
        </w:tc>
      </w:tr>
    </w:tbl>
    <w:p>
      <w:pPr>
        <w:spacing w:after="100" w:before="100"/>
      </w:pPr>
    </w:p>
    <w:p>
      <w:pPr>
        <w:pStyle w:val="Heading2"/>
        <w:spacing w:after="160" w:before="300"/>
      </w:pPr>
      <w:r>
        <w:rPr>
          <w:rFonts w:ascii="Arial" w:cs="Arial" w:eastAsia="Arial" w:hAnsi="Arial"/>
          <w:b/>
          <w:bCs/>
          <w:color w:val="2E5F8A"/>
          <w:sz w:val="26"/>
          <w:szCs w:val="26"/>
        </w:rPr>
        <w:t xml:space="preserve">8.2　政策の優先順位</w:t>
      </w:r>
    </w:p>
    <w:p>
      <w:pPr>
        <w:pBdr>
          <w:left w:val="single" w:color="2E5F8A" w:sz="6" w:space="12"/>
        </w:pBdr>
        <w:spacing w:after="160" w:before="160"/>
        <w:ind w:left="720" w:right="720"/>
      </w:pPr>
      <w:r>
        <w:rPr>
          <w:rFonts w:ascii="Arial" w:cs="Arial" w:eastAsia="Arial" w:hAnsi="Arial"/>
          <w:i/>
          <w:iCs/>
          <w:color w:val="333333"/>
          <w:sz w:val="22"/>
          <w:szCs w:val="22"/>
        </w:rPr>
        <w:t xml:space="preserve">インフレ率だけを目標にするのは、体重だけ見て健康管理をするようなものである。他の指標が伴わない2%は幸せに繋がらない。</w:t>
      </w:r>
    </w:p>
    <w:p>
      <w:pPr>
        <w:spacing w:after="160" w:before="100"/>
      </w:pPr>
      <w:r>
        <w:rPr>
          <w:rFonts w:ascii="Arial" w:cs="Arial" w:eastAsia="Arial" w:hAnsi="Arial"/>
          <w:sz w:val="22"/>
          <w:szCs w:val="22"/>
        </w:rPr>
        <w:t xml:space="preserve">HIR理論が示す政策の正しい順序は以下の通りである。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A" w:val="clear"/>
            <w:tcMar>
              <w:top w:type="dxa" w:w="160"/>
              <w:left w:type="dxa" w:w="240"/>
              <w:bottom w:type="dxa" w:w="160"/>
              <w:right w:type="dxa" w:w="240"/>
            </w:tcMar>
          </w:tcPr>
          <w:p>
            <w:pPr>
              <w:spacing w:after="60" w:before="60"/>
            </w:pPr>
            <w:r>
              <w:rPr>
                <w:rFonts w:ascii="Courier New" w:cs="Courier New" w:eastAsia="Courier New" w:hAnsi="Courier New"/>
                <w:color w:val="1A3A5C"/>
                <w:sz w:val="22"/>
                <w:szCs w:val="22"/>
              </w:rPr>
              <w:t xml:space="preserve">STEP 1：貨幣流通速度（V）の改善</w:t>
            </w:r>
          </w:p>
          <w:p>
            <w:pPr>
              <w:spacing w:after="60" w:before="60"/>
            </w:pPr>
            <w:r>
              <w:rPr>
                <w:rFonts w:ascii="Courier New" w:cs="Courier New" w:eastAsia="Courier New" w:hAnsi="Courier New"/>
                <w:color w:val="1A3A5C"/>
                <w:sz w:val="22"/>
                <w:szCs w:val="22"/>
              </w:rPr>
              <w:t xml:space="preserve">　　　　（内部留保課税・賃金上昇促進・投資インセンティブ）</w:t>
            </w:r>
          </w:p>
          <w:p>
            <w:pPr>
              <w:spacing w:after="60" w:before="60"/>
            </w:pPr>
            <w:r>
              <w:rPr>
                <w:rFonts w:ascii="Courier New" w:cs="Courier New" w:eastAsia="Courier New" w:hAnsi="Courier New"/>
                <w:color w:val="1A3A5C"/>
                <w:sz w:val="22"/>
                <w:szCs w:val="22"/>
              </w:rPr>
              <w:t xml:space="preserve"/>
            </w:r>
          </w:p>
          <w:p>
            <w:pPr>
              <w:spacing w:after="60" w:before="60"/>
            </w:pPr>
            <w:r>
              <w:rPr>
                <w:rFonts w:ascii="Courier New" w:cs="Courier New" w:eastAsia="Courier New" w:hAnsi="Courier New"/>
                <w:color w:val="1A3A5C"/>
                <w:sz w:val="22"/>
                <w:szCs w:val="22"/>
              </w:rPr>
              <w:t xml:space="preserve">STEP 2：再分配効率（R）の改善</w:t>
            </w:r>
          </w:p>
          <w:p>
            <w:pPr>
              <w:spacing w:after="60" w:before="60"/>
            </w:pPr>
            <w:r>
              <w:rPr>
                <w:rFonts w:ascii="Courier New" w:cs="Courier New" w:eastAsia="Courier New" w:hAnsi="Courier New"/>
                <w:color w:val="1A3A5C"/>
                <w:sz w:val="22"/>
                <w:szCs w:val="22"/>
              </w:rPr>
              <w:t xml:space="preserve">　　　　（給付の捕捉率向上・税の公平化）</w:t>
            </w:r>
          </w:p>
          <w:p>
            <w:pPr>
              <w:spacing w:after="60" w:before="60"/>
            </w:pPr>
            <w:r>
              <w:rPr>
                <w:rFonts w:ascii="Courier New" w:cs="Courier New" w:eastAsia="Courier New" w:hAnsi="Courier New"/>
                <w:color w:val="1A3A5C"/>
                <w:sz w:val="22"/>
                <w:szCs w:val="22"/>
              </w:rPr>
              <w:t xml:space="preserve"/>
            </w:r>
          </w:p>
          <w:p>
            <w:pPr>
              <w:spacing w:after="60" w:before="60"/>
            </w:pPr>
            <w:r>
              <w:rPr>
                <w:rFonts w:ascii="Courier New" w:cs="Courier New" w:eastAsia="Courier New" w:hAnsi="Courier New"/>
                <w:color w:val="1A3A5C"/>
                <w:sz w:val="22"/>
                <w:szCs w:val="22"/>
              </w:rPr>
              <w:t xml:space="preserve">STEP 3：生産性（P）の向上</w:t>
            </w:r>
          </w:p>
          <w:p>
            <w:pPr>
              <w:spacing w:after="60" w:before="60"/>
            </w:pPr>
            <w:r>
              <w:rPr>
                <w:rFonts w:ascii="Courier New" w:cs="Courier New" w:eastAsia="Courier New" w:hAnsi="Courier New"/>
                <w:color w:val="1A3A5C"/>
                <w:sz w:val="22"/>
                <w:szCs w:val="22"/>
              </w:rPr>
              <w:t xml:space="preserve">　　　　（技術革新・教育・AI活用）</w:t>
            </w:r>
          </w:p>
          <w:p>
            <w:pPr>
              <w:spacing w:after="60" w:before="60"/>
            </w:pPr>
            <w:r>
              <w:rPr>
                <w:rFonts w:ascii="Courier New" w:cs="Courier New" w:eastAsia="Courier New" w:hAnsi="Courier New"/>
                <w:color w:val="1A3A5C"/>
                <w:sz w:val="22"/>
                <w:szCs w:val="22"/>
              </w:rPr>
              <w:t xml:space="preserve"/>
            </w:r>
          </w:p>
          <w:p>
            <w:pPr>
              <w:spacing w:after="60" w:before="60"/>
            </w:pPr>
            <w:r>
              <w:rPr>
                <w:rFonts w:ascii="Courier New" w:cs="Courier New" w:eastAsia="Courier New" w:hAnsi="Courier New"/>
                <w:color w:val="1A3A5C"/>
                <w:sz w:val="22"/>
                <w:szCs w:val="22"/>
              </w:rPr>
              <w:t xml:space="preserve">STEP 4：HIRを動的に計算しインフレ目標を設定</w:t>
            </w:r>
          </w:p>
          <w:p>
            <w:pPr>
              <w:spacing w:after="60" w:before="60"/>
            </w:pPr>
            <w:r>
              <w:rPr>
                <w:rFonts w:ascii="Courier New" w:cs="Courier New" w:eastAsia="Courier New" w:hAnsi="Courier New"/>
                <w:color w:val="1A3A5C"/>
                <w:sz w:val="22"/>
                <w:szCs w:val="22"/>
              </w:rPr>
              <w:t xml:space="preserve">　　　　（固定2%からの脱却）</w:t>
            </w:r>
          </w:p>
        </w:tc>
      </w:tr>
    </w:tbl>
    <w:p>
      <w:pPr>
        <w:spacing w:after="100" w:before="100"/>
      </w:pPr>
    </w:p>
    <w:p>
      <w:pPr>
        <w:pBdr>
          <w:bottom w:val="single" w:color="CCDDEE" w:sz="4" w:space="1"/>
        </w:pBdr>
        <w:spacing w:after="240" w:before="240"/>
      </w:pPr>
    </w:p>
    <w:p>
      <w:pPr>
        <w:pStyle w:val="Heading1"/>
        <w:spacing w:after="200" w:before="400"/>
      </w:pPr>
      <w:r>
        <w:rPr>
          <w:rFonts w:ascii="Arial" w:cs="Arial" w:eastAsia="Arial" w:hAnsi="Arial"/>
          <w:b/>
          <w:bCs/>
          <w:color w:val="1A3A5C"/>
          <w:sz w:val="32"/>
          <w:szCs w:val="32"/>
        </w:rPr>
        <w:t xml:space="preserve">結論</w:t>
      </w:r>
    </w:p>
    <w:p>
      <w:pPr>
        <w:spacing w:after="160" w:before="100"/>
      </w:pPr>
      <w:r>
        <w:rPr>
          <w:rFonts w:ascii="Arial" w:cs="Arial" w:eastAsia="Arial" w:hAnsi="Arial"/>
          <w:sz w:val="22"/>
          <w:szCs w:val="22"/>
        </w:rPr>
        <w:t xml:space="preserve">本理論が示す最も根本的な命題は以下である。</w:t>
      </w:r>
    </w:p>
    <w:p>
      <w:pPr>
        <w:pBdr>
          <w:left w:val="single" w:color="2E5F8A" w:sz="6" w:space="12"/>
        </w:pBdr>
        <w:spacing w:after="160" w:before="160"/>
        <w:ind w:left="720" w:right="720"/>
      </w:pPr>
      <w:r>
        <w:rPr>
          <w:rFonts w:ascii="Arial" w:cs="Arial" w:eastAsia="Arial" w:hAnsi="Arial"/>
          <w:i/>
          <w:iCs/>
          <w:color w:val="333333"/>
          <w:sz w:val="22"/>
          <w:szCs w:val="22"/>
        </w:rPr>
        <w:t xml:space="preserve">インフレとは「人間の挑戦を奨励し、その果実を全員で分かち合うための社会的装置」である。適度なインフレが設計された社会では、ゼロサムの恐怖がなくなり、人は他者を蹴落とすことより価値を生み出すことに集中できる。それが「幸せ」の経済的基盤となる。</w:t>
      </w:r>
    </w:p>
    <w:p>
      <w:pPr>
        <w:spacing w:after="160" w:before="100"/>
      </w:pPr>
      <w:r>
        <w:rPr>
          <w:rFonts w:ascii="Arial" w:cs="Arial" w:eastAsia="Arial" w:hAnsi="Arial"/>
          <w:sz w:val="22"/>
          <w:szCs w:val="22"/>
        </w:rPr>
        <w:t xml:space="preserve">HIR理論は経済学の問いを「いかに効率的にGDPを成長させるか」から「いかに全員が幸せに挑戦できる社会を設計するか」へと転換する。この転換こそが、現代経済学が必要としているパラダイムシフトである。</w:t>
      </w:r>
    </w:p>
    <w:p>
      <w:pPr>
        <w:spacing w:after="100" w:before="100"/>
      </w:pPr>
    </w:p>
    <w:p>
      <w:pPr>
        <w:spacing w:before="400"/>
        <w:jc w:val="right"/>
      </w:pPr>
      <w:r>
        <w:rPr>
          <w:rFonts w:ascii="Arial" w:cs="Arial" w:eastAsia="Arial" w:hAnsi="Arial"/>
          <w:i/>
          <w:iCs/>
          <w:color w:val="999999"/>
          <w:sz w:val="20"/>
          <w:szCs w:val="20"/>
        </w:rPr>
        <w:t xml:space="preserve">幸福インフレ率（HIR）理論　草稿 v1.0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幸福インフレ率（HIR）理論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2026-04-14T12:02:39.809Z</dcterms:created>
  <dcterms:modified xsi:type="dcterms:W3CDTF">2026-04-14T12:02:39.809Z</dcterms:modified>
</cp:coreProperties>
</file>

<file path=docProps/custom.xml><?xml version="1.0" encoding="utf-8"?>
<Properties xmlns="http://schemas.openxmlformats.org/officeDocument/2006/custom-properties" xmlns:vt="http://schemas.openxmlformats.org/officeDocument/2006/docPropsVTypes"/>
</file>