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r>
        <w:t xml:space="preserve">19.</w:t>
      </w:r>
      <w:bookmarkEnd w:id="20"/>
    </w:p>
    <w:p>
      <w:pPr>
        <w:pStyle w:val="Heading1"/>
      </w:pPr>
      <w:bookmarkStart w:id="21" w:name="modeling-a-study-in-words-and-meanings"/>
      <w:r>
        <w:t xml:space="preserve">Modeling: A Study in Words and Meanings</w:t>
      </w:r>
      <w:bookmarkEnd w:id="21"/>
    </w:p>
    <w:p>
      <w:pPr>
        <w:pStyle w:val="Heading2"/>
      </w:pPr>
      <w:bookmarkStart w:id="22" w:name="willard-mccarty"/>
      <w:r>
        <w:t xml:space="preserve">Willard McCarty</w:t>
      </w:r>
      <w:bookmarkEnd w:id="22"/>
    </w:p>
    <w:p>
      <w:pPr>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&gt;drawings of it.</w:t>
      </w:r>
      <w:r>
        <w:t xml:space="preserve"> </w:t>
      </w:r>
      <w:r>
        <w:t xml:space="preserve">He knew men who hated the variables. They had their plans and by golly they were going to stick to them. If the site did not match the drawings it was like a personal insult.</w:t>
      </w:r>
      <w:r>
        <w:t xml:space="preserve"> </w:t>
      </w: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r>
        <w:t xml:space="preserve"> </w:t>
      </w:r>
      <w:r>
        <w:t xml:space="preserve">Kate Grenville, The Idea of Perfection (Sydney: Picador, 1999): 62–3</w:t>
      </w:r>
    </w:p>
    <w:p>
      <w:pPr>
        <w:pStyle w:val="Heading1"/>
      </w:pPr>
      <w:bookmarkStart w:id="23" w:name="introduction"/>
      <w:r>
        <w:t xml:space="preserve">Introduction</w:t>
      </w:r>
      <w:bookmarkEnd w:id="23"/>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 in 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 the correct word for the activity we share lest our practice go awry for want of understanding (Analects 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4" w:name="background"/>
      <w:r>
        <w:t xml:space="preserve">Background</w:t>
      </w:r>
      <w:bookmarkEnd w:id="24"/>
    </w:p>
    <w:p>
      <w:pPr>
        <w:pStyle w:val="FirstParagraph"/>
      </w:pPr>
      <w:r>
        <w:t xml:space="preserve">Let me begin with provisional definitions1. By</w:t>
      </w:r>
      <w:r>
        <w:t xml:space="preserve"> </w:t>
      </w:r>
      <w:r>
        <w:t xml:space="preserve">“</w:t>
      </w:r>
      <w:r>
        <w:t xml:space="preserve">modeling</w:t>
      </w:r>
      <w:r>
        <w:t xml:space="preserve">”</w:t>
      </w:r>
      <w:r>
        <w:t xml:space="preserve"> </w:t>
      </w:r>
      <w:r>
        <w:t xml:space="preserve">I mean the heuristic process of constructing and manipulating models’, a</w:t>
      </w:r>
      <w:r>
        <w:t xml:space="preserve"> </w:t>
      </w:r>
      <w:r>
        <w:t xml:space="preserve">“</w:t>
      </w:r>
      <w:r>
        <w:t xml:space="preserve">model</w:t>
      </w:r>
      <w:r>
        <w:t xml:space="preserve">”</w:t>
      </w:r>
      <w:r>
        <w:t xml:space="preserve"> </w:t>
      </w:r>
      <w:r>
        <w:t xml:space="preserve">I take to be either a representation of something for purposes of study, or a design for realizing something new. These two senses follow Clifford Geertz’s analytic distinction between a denotative</w:t>
      </w:r>
      <w:r>
        <w:t xml:space="preserve"> </w:t>
      </w:r>
      <w:r>
        <w:t xml:space="preserve">“</w:t>
      </w:r>
      <w:r>
        <w:t xml:space="preserve">model of</w:t>
      </w:r>
      <w:r>
        <w:t xml:space="preserve">”</w:t>
      </w:r>
      <w:r>
        <w:t xml:space="preserve"> </w:t>
      </w:r>
      <w:r>
        <w:t xml:space="preserve">such as a grammar describing the features of a language, and an exemplary</w:t>
      </w:r>
      <w:r>
        <w:t xml:space="preserve"> </w:t>
      </w:r>
      <w:r>
        <w:t xml:space="preserve">“</w:t>
      </w:r>
      <w:r>
        <w:t xml:space="preserve">model for</w:t>
      </w:r>
      <w:r>
        <w:t xml:space="preserve">”</w:t>
      </w:r>
      <w:r>
        <w:t xml:space="preserve"> </w:t>
      </w:r>
      <w:r>
        <w:t xml:space="preserve">such as an architectural plan</w:t>
      </w:r>
      <w:r>
        <w:t xml:space="preserve"> </w:t>
      </w:r>
      <w:r>
        <w:t xml:space="preserve">(Bailer-Jones 1999, 93)</w:t>
      </w:r>
      <w:r>
        <w:t xml:space="preserve"> </w:t>
      </w:r>
      <w:r>
        <w:t xml:space="preserve">2.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 (Cartwright 1983, 158). By nature modeling defines a ternary relationship in which it mediates epistemologically, between modeler and modeled, researcher and data or theory and the world (Morgan and Morrison 1999). 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 realize.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 implicit in scholarly practice (Leff 1972). 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 Ancient History: Evidence and Models,</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 for a better or at least different world, even if like Marx’s historiography they begin as models of it; delineating them as models is the scholar’s obvious work (Mironesco 2002).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1965).</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 really have been doing all along. This would, however, be a serious error. As with the relationship of hypertext to earlier ways of referring (McCarty 2002),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 how we know what we know.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(OED: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 manus)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t xml:space="preserve"> </w:t>
      </w:r>
      <w:r>
        <w:t xml:space="preserve">(Smith 1995, 460).</w:t>
      </w:r>
    </w:p>
    <w:p>
      <w:pPr>
        <w:pStyle w:val="BodyText"/>
      </w:pPr>
      <w:r>
        <w:t xml:space="preserve">In other words, computational models, however finely perfected, are better understood as temporary states in a process of coming to know rather than fixed structures of knowledge. It is of course possible to argue ideologically, as some still do, that we are converging on and will achieve such structures,3 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 computers are essentially modeling machines, not knowledge jukeboxes.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 for may be distinct types – because in our terms they are fixed objects. But modeling of something readily turns into modeling for better or more detailed knowledge of it; similarly, the knowledge gained from realizing a model for something feeds or can feed into an improved version. This characteristic blurring of design into use and use into (re)design is what denies modeling of any sense of closure. Modeling for, Utopian by definition, is denied it in any case.</w:t>
      </w:r>
    </w:p>
    <w:p>
      <w:pPr>
        <w:pStyle w:val="Heading1"/>
      </w:pPr>
      <w:bookmarkStart w:id="25" w:name="learned-complaints"/>
      <w:r>
        <w:t xml:space="preserve">Learned Complaints</w:t>
      </w:r>
      <w:bookmarkEnd w:id="25"/>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 inter alia 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 (Ziman 2000, 126–38, 147–50). 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 connote that the others do not, and vice versa? What do all have in common? What are their individual tendencies of mind, and which of these best suits computing as we are learning to conceive it?</w:t>
      </w:r>
    </w:p>
    <w:p>
      <w:pPr>
        <w:pStyle w:val="Heading1"/>
      </w:pPr>
      <w:bookmarkStart w:id="26" w:name="philological-analysis-of-related-terms"/>
      <w:r>
        <w:t xml:space="preserve">Philological Analysis of Related Terms</w:t>
      </w:r>
      <w:bookmarkEnd w:id="26"/>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 for,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 present-participial strength of</w:t>
      </w:r>
      <w:r>
        <w:t xml:space="preserve"> </w:t>
      </w:r>
      <w:r>
        <w:t xml:space="preserve">“</w:t>
      </w:r>
      <w:r>
        <w:t xml:space="preserve">modeling.</w:t>
      </w:r>
      <w:r>
        <w:t xml:space="preserve">”</w:t>
      </w:r>
      <w:r>
        <w:t xml:space="preserve">4 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1"/>
      </w:pPr>
      <w:bookmarkStart w:id="27" w:name="bibliography"/>
      <w:r>
        <w:t xml:space="preserve">Bibliography</w:t>
      </w:r>
      <w:bookmarkEnd w:id="27"/>
    </w:p>
    <w:bookmarkStart w:id="30" w:name="refs"/>
    <w:bookmarkStart w:id="29" w:name="ref-magnani_tracing_1999"/>
    <w:p>
      <w:pPr>
        <w:pStyle w:val="Bibliography"/>
      </w:pPr>
      <w:r>
        <w:t xml:space="preserve">Bailer-Jones, Daniela M. 1999. “Tracing the Development of Models in the Philosophy of Science.” In</w:t>
      </w:r>
      <w:r>
        <w:t xml:space="preserve"> </w:t>
      </w:r>
      <w:r>
        <w:rPr>
          <w:i/>
        </w:rPr>
        <w:t xml:space="preserve">Model-Based Reasoning in Scientific Discovery</w:t>
      </w:r>
      <w:r>
        <w:t xml:space="preserve">, edited by Lorenzo Magnani, Nancy J. Nersessian, and Paul Thagard, 23–40. Boston, MA: Springer US.</w:t>
      </w:r>
      <w:r>
        <w:t xml:space="preserve"> </w:t>
      </w:r>
      <w:hyperlink r:id="rId28">
        <w:r>
          <w:rPr>
            <w:rStyle w:val="Hyperlink"/>
          </w:rPr>
          <w:t xml:space="preserve">https://doi.org/10.1007/978-1-4615-4813-3_2</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7/978-1-4615-4813-3_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07/978-1-4615-4813-3_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2019-11-04T12:11:40Z</dcterms:created>
  <dcterms:modified xsi:type="dcterms:W3CDTF">2019-11-04T12:11:40Z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lib.bib</vt:lpwstr>
  </property>
</Properties>
</file>