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AI Customer Intelligence Platform</w:t>
      </w:r>
    </w:p>
    <w:p>
      <w:pPr>
        <w:pStyle w:val="Normal"/>
        <w:jc w:val="center"/>
        <w:rPr/>
      </w:pPr>
      <w:r>
        <w:rPr>
          <w:b/>
          <w:sz w:val="30"/>
        </w:rPr>
        <w:t>Assignment Completion Report</w:t>
      </w:r>
    </w:p>
    <w:p>
      <w:pPr>
        <w:pStyle w:val="Normal"/>
        <w:jc w:val="center"/>
        <w:rPr>
          <w:b/>
          <w:sz w:val="24"/>
        </w:rPr>
      </w:pPr>
      <w:r>
        <w:rPr/>
      </w:r>
    </w:p>
    <w:p>
      <w:pPr>
        <w:pStyle w:val="Heading1"/>
        <w:rPr/>
      </w:pPr>
      <w:r>
        <w:rPr/>
        <w:t>1. Project Overview</w:t>
      </w:r>
    </w:p>
    <w:p>
      <w:pPr>
        <w:pStyle w:val="Normal"/>
        <w:rPr/>
      </w:pPr>
      <w:r>
        <w:rPr/>
      </w:r>
    </w:p>
    <w:p>
      <w:pPr>
        <w:pStyle w:val="Normal"/>
        <w:rPr/>
      </w:pPr>
      <w:r>
        <w:rPr/>
        <w:t>The AI Customer Intelligence Platform is a lightweight, locally deployable customer analytics and AI system combining customer data analysis, churn prediction, explainable machine learning, customer-support text analysis, semantic search, RAG, a local small LLM, tool calling, and a Flask application.</w:t>
      </w:r>
    </w:p>
    <w:p>
      <w:pPr>
        <w:pStyle w:val="Compact"/>
        <w:numPr>
          <w:ilvl w:val="0"/>
          <w:numId w:val="1"/>
        </w:numPr>
        <w:rPr/>
      </w:pPr>
      <w:r>
        <w:rPr/>
        <w:t>Data analysis and SQL analytics</w:t>
      </w:r>
    </w:p>
    <w:p>
      <w:pPr>
        <w:pStyle w:val="Compact"/>
        <w:numPr>
          <w:ilvl w:val="0"/>
          <w:numId w:val="1"/>
        </w:numPr>
        <w:rPr/>
      </w:pPr>
      <w:r>
        <w:rPr/>
        <w:t>Customer churn prediction</w:t>
      </w:r>
    </w:p>
    <w:p>
      <w:pPr>
        <w:pStyle w:val="Compact"/>
        <w:numPr>
          <w:ilvl w:val="0"/>
          <w:numId w:val="1"/>
        </w:numPr>
        <w:rPr/>
      </w:pPr>
      <w:r>
        <w:rPr/>
        <w:t>Explainable machine learning</w:t>
      </w:r>
    </w:p>
    <w:p>
      <w:pPr>
        <w:pStyle w:val="Compact"/>
        <w:numPr>
          <w:ilvl w:val="0"/>
          <w:numId w:val="1"/>
        </w:numPr>
        <w:rPr/>
      </w:pPr>
      <w:r>
        <w:rPr/>
        <w:t>Customer-support text analysis</w:t>
      </w:r>
    </w:p>
    <w:p>
      <w:pPr>
        <w:pStyle w:val="Compact"/>
        <w:numPr>
          <w:ilvl w:val="0"/>
          <w:numId w:val="1"/>
        </w:numPr>
        <w:rPr/>
      </w:pPr>
      <w:r>
        <w:rPr/>
        <w:t>Semantic search</w:t>
      </w:r>
    </w:p>
    <w:p>
      <w:pPr>
        <w:pStyle w:val="Compact"/>
        <w:numPr>
          <w:ilvl w:val="0"/>
          <w:numId w:val="1"/>
        </w:numPr>
        <w:rPr/>
      </w:pPr>
      <w:r>
        <w:rPr/>
        <w:t>Retrieval-Augmented Generation (RAG)</w:t>
      </w:r>
    </w:p>
    <w:p>
      <w:pPr>
        <w:pStyle w:val="Compact"/>
        <w:numPr>
          <w:ilvl w:val="0"/>
          <w:numId w:val="1"/>
        </w:numPr>
        <w:rPr/>
      </w:pPr>
      <w:r>
        <w:rPr/>
        <w:t>A small locally running Large Language Model (LLM)</w:t>
      </w:r>
    </w:p>
    <w:p>
      <w:pPr>
        <w:pStyle w:val="Compact"/>
        <w:numPr>
          <w:ilvl w:val="0"/>
          <w:numId w:val="1"/>
        </w:numPr>
        <w:rPr/>
      </w:pPr>
      <w:r>
        <w:rPr/>
        <w:t>Tool-based AI workflows</w:t>
      </w:r>
    </w:p>
    <w:p>
      <w:pPr>
        <w:pStyle w:val="Compact"/>
        <w:numPr>
          <w:ilvl w:val="0"/>
          <w:numId w:val="1"/>
        </w:numPr>
        <w:rPr/>
      </w:pPr>
      <w:r>
        <w:rPr/>
        <w:t>A lightweight Flask application</w:t>
      </w:r>
    </w:p>
    <w:p>
      <w:pPr>
        <w:pStyle w:val="Heading1"/>
        <w:rPr/>
      </w:pPr>
      <w:r>
        <w:rPr/>
        <w:t>2. Technologies Used</w:t>
      </w:r>
    </w:p>
    <w:p>
      <w:pPr>
        <w:pStyle w:val="ListBullet"/>
        <w:numPr>
          <w:ilvl w:val="0"/>
          <w:numId w:val="1"/>
        </w:numPr>
        <w:rPr/>
      </w:pPr>
      <w:r>
        <w:rPr/>
        <w:t>Python, Pandas and NumPy</w:t>
      </w:r>
    </w:p>
    <w:p>
      <w:pPr>
        <w:pStyle w:val="ListBullet"/>
        <w:numPr>
          <w:ilvl w:val="0"/>
          <w:numId w:val="1"/>
        </w:numPr>
        <w:rPr/>
      </w:pPr>
      <w:r>
        <w:rPr/>
        <w:t>Matplotlib and Seaborn</w:t>
      </w:r>
    </w:p>
    <w:p>
      <w:pPr>
        <w:pStyle w:val="ListBullet"/>
        <w:numPr>
          <w:ilvl w:val="0"/>
          <w:numId w:val="1"/>
        </w:numPr>
        <w:rPr/>
      </w:pPr>
      <w:r>
        <w:rPr/>
        <w:t>SQLite</w:t>
      </w:r>
    </w:p>
    <w:p>
      <w:pPr>
        <w:pStyle w:val="ListBullet"/>
        <w:numPr>
          <w:ilvl w:val="0"/>
          <w:numId w:val="1"/>
        </w:numPr>
        <w:rPr/>
      </w:pPr>
      <w:r>
        <w:rPr/>
        <w:t>Scikit-learn and XGBoost</w:t>
      </w:r>
    </w:p>
    <w:p>
      <w:pPr>
        <w:pStyle w:val="ListBullet"/>
        <w:numPr>
          <w:ilvl w:val="0"/>
          <w:numId w:val="1"/>
        </w:numPr>
        <w:rPr/>
      </w:pPr>
      <w:r>
        <w:rPr/>
        <w:t>SHAP</w:t>
      </w:r>
    </w:p>
    <w:p>
      <w:pPr>
        <w:pStyle w:val="ListBullet"/>
        <w:numPr>
          <w:ilvl w:val="0"/>
          <w:numId w:val="1"/>
        </w:numPr>
        <w:rPr/>
      </w:pPr>
      <w:r>
        <w:rPr/>
        <w:t>NLTK and TF-IDF</w:t>
      </w:r>
    </w:p>
    <w:p>
      <w:pPr>
        <w:pStyle w:val="ListBullet"/>
        <w:numPr>
          <w:ilvl w:val="0"/>
          <w:numId w:val="1"/>
        </w:numPr>
        <w:rPr/>
      </w:pPr>
      <w:r>
        <w:rPr/>
        <w:t>Sentence Transformers and FAISS</w:t>
      </w:r>
    </w:p>
    <w:p>
      <w:pPr>
        <w:pStyle w:val="ListBullet"/>
        <w:numPr>
          <w:ilvl w:val="0"/>
          <w:numId w:val="1"/>
        </w:numPr>
        <w:rPr/>
      </w:pPr>
      <w:r>
        <w:rPr/>
        <w:t>PyTorch / Transformers</w:t>
      </w:r>
    </w:p>
    <w:p>
      <w:pPr>
        <w:pStyle w:val="ListBullet"/>
        <w:numPr>
          <w:ilvl w:val="0"/>
          <w:numId w:val="1"/>
        </w:numPr>
        <w:rPr/>
      </w:pPr>
      <w:r>
        <w:rPr/>
        <w:t>Flask, HTML, CSS and JavaScript</w:t>
      </w:r>
    </w:p>
    <w:p>
      <w:pPr>
        <w:pStyle w:val="ListBullet"/>
        <w:numPr>
          <w:ilvl w:val="0"/>
          <w:numId w:val="1"/>
        </w:numPr>
        <w:rPr/>
      </w:pPr>
      <w:r>
        <w:rPr/>
        <w:t>Git and GitHub</w:t>
      </w:r>
    </w:p>
    <w:p>
      <w:pPr>
        <w:pStyle w:val="Normal"/>
        <w:rPr/>
      </w:pPr>
      <w:r>
        <w:rPr/>
        <w:t>The project was implemented with CPU-first execution and local/open-source components.</w:t>
      </w:r>
    </w:p>
    <w:p>
      <w:pPr>
        <w:pStyle w:val="Heading2"/>
        <w:rPr/>
      </w:pPr>
      <w:r>
        <w:rPr/>
        <w:t>Structured Customer Dataset</w:t>
      </w:r>
    </w:p>
    <w:p>
      <w:pPr>
        <w:pStyle w:val="FirstParagraph"/>
        <w:rPr/>
      </w:pPr>
      <w:r>
        <w:rPr/>
        <w:t xml:space="preserve"> </w:t>
      </w:r>
      <w:r>
        <w:rPr/>
        <w:t>Use</w:t>
      </w:r>
      <w:r>
        <w:rPr/>
        <w:t xml:space="preserve">d </w:t>
      </w:r>
      <w:r>
        <w:rPr/>
        <w:t xml:space="preserve">the </w:t>
      </w:r>
      <w:r>
        <w:rPr>
          <w:b/>
          <w:bCs/>
        </w:rPr>
        <w:t>IBM Telco Customer Churn dataset,</w:t>
      </w:r>
      <w:hyperlink r:id="rId2">
        <w:r>
          <w:rPr>
            <w:rStyle w:val="Hyperlink"/>
            <w:b/>
            <w:bCs/>
            <w:color w:val="1C1C1C"/>
            <w:shd w:fill="auto" w:val="clear"/>
          </w:rPr>
          <w:t>Customer Support Ticket Dataset</w:t>
        </w:r>
      </w:hyperlink>
    </w:p>
    <w:p>
      <w:pPr>
        <w:pStyle w:val="BodyText"/>
        <w:rPr/>
      </w:pPr>
      <w:r>
        <w:rPr/>
        <w:t xml:space="preserve">The dataset contains customer demographics, subscribed services, account information, billing information and a </w:t>
      </w:r>
      <w:r>
        <w:rPr>
          <w:rStyle w:val="VerbatimChar"/>
        </w:rPr>
        <w:t>Churn</w:t>
      </w:r>
      <w:r>
        <w:rPr/>
        <w:t xml:space="preserve"> target. It contains approximately 7,043 customer records and 21 columns.</w:t>
      </w:r>
    </w:p>
    <w:p>
      <w:pPr>
        <w:pStyle w:val="BodyText"/>
        <w:rPr/>
      </w:pPr>
      <w:r>
        <w:rPr>
          <w:b/>
          <w:bCs/>
        </w:rPr>
        <w:t>Dataset:</w:t>
      </w:r>
    </w:p>
    <w:p>
      <w:pPr>
        <w:pStyle w:val="BodyText"/>
        <w:rPr/>
      </w:pPr>
      <w:hyperlink r:id="rId3">
        <w:r>
          <w:rPr>
            <w:rStyle w:val="Hyperlink"/>
          </w:rPr>
          <w:t>IBM Telco Customer Churn Dataset</w:t>
        </w:r>
      </w:hyperlink>
    </w:p>
    <w:p>
      <w:pPr>
        <w:pStyle w:val="BodyText"/>
        <w:rPr/>
      </w:pPr>
      <w:r>
        <w:rPr/>
        <w:t>This dataset  used for:</w:t>
      </w:r>
    </w:p>
    <w:p>
      <w:pPr>
        <w:pStyle w:val="Compact"/>
        <w:numPr>
          <w:ilvl w:val="0"/>
          <w:numId w:val="18"/>
        </w:numPr>
        <w:rPr/>
      </w:pPr>
      <w:r>
        <w:rPr/>
        <w:t>EDA</w:t>
      </w:r>
    </w:p>
    <w:p>
      <w:pPr>
        <w:pStyle w:val="Compact"/>
        <w:numPr>
          <w:ilvl w:val="0"/>
          <w:numId w:val="19"/>
        </w:numPr>
        <w:rPr/>
      </w:pPr>
      <w:r>
        <w:rPr/>
        <w:t>SQL analytics</w:t>
      </w:r>
    </w:p>
    <w:p>
      <w:pPr>
        <w:pStyle w:val="Compact"/>
        <w:numPr>
          <w:ilvl w:val="0"/>
          <w:numId w:val="20"/>
        </w:numPr>
        <w:rPr/>
      </w:pPr>
      <w:r>
        <w:rPr/>
        <w:t>Data preprocessing</w:t>
      </w:r>
    </w:p>
    <w:p>
      <w:pPr>
        <w:pStyle w:val="Compact"/>
        <w:numPr>
          <w:ilvl w:val="0"/>
          <w:numId w:val="21"/>
        </w:numPr>
        <w:rPr/>
      </w:pPr>
      <w:r>
        <w:rPr/>
        <w:t>Feature engineering</w:t>
      </w:r>
    </w:p>
    <w:p>
      <w:pPr>
        <w:pStyle w:val="Compact"/>
        <w:numPr>
          <w:ilvl w:val="0"/>
          <w:numId w:val="22"/>
        </w:numPr>
        <w:rPr/>
      </w:pPr>
      <w:r>
        <w:rPr/>
        <w:t>Churn prediction</w:t>
      </w:r>
    </w:p>
    <w:p>
      <w:pPr>
        <w:pStyle w:val="Compact"/>
        <w:numPr>
          <w:ilvl w:val="0"/>
          <w:numId w:val="23"/>
        </w:numPr>
        <w:rPr/>
      </w:pPr>
      <w:r>
        <w:rPr/>
        <w:t>Model comparison</w:t>
      </w:r>
    </w:p>
    <w:p>
      <w:pPr>
        <w:pStyle w:val="Compact"/>
        <w:numPr>
          <w:ilvl w:val="0"/>
          <w:numId w:val="24"/>
        </w:numPr>
        <w:rPr/>
      </w:pPr>
      <w:r>
        <w:rPr/>
        <w:t>Explainable AI</w:t>
      </w:r>
    </w:p>
    <w:p>
      <w:pPr>
        <w:pStyle w:val="Compact"/>
        <w:numPr>
          <w:ilvl w:val="0"/>
          <w:numId w:val="25"/>
        </w:numPr>
        <w:rPr/>
      </w:pPr>
      <w:r>
        <w:rPr/>
        <w:t>Customer-level predictions</w:t>
      </w:r>
    </w:p>
    <w:p>
      <w:pPr>
        <w:pStyle w:val="BodyText"/>
        <w:rPr/>
      </w:pPr>
      <w:hyperlink r:id="rId4">
        <w:r>
          <w:rPr>
            <w:rStyle w:val="Hyperlink"/>
          </w:rPr>
          <w:t>Customer Support Ticket Dataset</w:t>
        </w:r>
      </w:hyperlink>
    </w:p>
    <w:p>
      <w:pPr>
        <w:pStyle w:val="BodyText"/>
        <w:rPr/>
      </w:pPr>
      <w:r>
        <w:rPr/>
        <w:t>This dataset  used for:</w:t>
      </w:r>
    </w:p>
    <w:p>
      <w:pPr>
        <w:pStyle w:val="Compact"/>
        <w:numPr>
          <w:ilvl w:val="0"/>
          <w:numId w:val="26"/>
        </w:numPr>
        <w:rPr/>
      </w:pPr>
      <w:r>
        <w:rPr/>
        <w:t>Text preprocessing</w:t>
      </w:r>
    </w:p>
    <w:p>
      <w:pPr>
        <w:pStyle w:val="Compact"/>
        <w:numPr>
          <w:ilvl w:val="0"/>
          <w:numId w:val="27"/>
        </w:numPr>
        <w:rPr/>
      </w:pPr>
      <w:r>
        <w:rPr/>
        <w:t>Text classification</w:t>
      </w:r>
    </w:p>
    <w:p>
      <w:pPr>
        <w:pStyle w:val="Compact"/>
        <w:numPr>
          <w:ilvl w:val="0"/>
          <w:numId w:val="28"/>
        </w:numPr>
        <w:rPr/>
      </w:pPr>
      <w:r>
        <w:rPr/>
        <w:t>Sentiment analysis where applicable</w:t>
      </w:r>
    </w:p>
    <w:p>
      <w:pPr>
        <w:pStyle w:val="Compact"/>
        <w:numPr>
          <w:ilvl w:val="0"/>
          <w:numId w:val="29"/>
        </w:numPr>
        <w:rPr/>
      </w:pPr>
      <w:r>
        <w:rPr/>
        <w:t>TF-IDF</w:t>
      </w:r>
    </w:p>
    <w:p>
      <w:pPr>
        <w:pStyle w:val="Compact"/>
        <w:numPr>
          <w:ilvl w:val="0"/>
          <w:numId w:val="30"/>
        </w:numPr>
        <w:rPr/>
      </w:pPr>
      <w:r>
        <w:rPr/>
        <w:t>Embeddings</w:t>
      </w:r>
    </w:p>
    <w:p>
      <w:pPr>
        <w:pStyle w:val="Compact"/>
        <w:numPr>
          <w:ilvl w:val="0"/>
          <w:numId w:val="31"/>
        </w:numPr>
        <w:rPr/>
      </w:pPr>
      <w:r>
        <w:rPr/>
        <w:t>Semantic search</w:t>
      </w:r>
    </w:p>
    <w:p>
      <w:pPr>
        <w:pStyle w:val="Compact"/>
        <w:numPr>
          <w:ilvl w:val="0"/>
          <w:numId w:val="32"/>
        </w:numPr>
        <w:rPr/>
      </w:pPr>
      <w:r>
        <w:rPr/>
        <w:t>RAG demonstrations</w:t>
      </w:r>
    </w:p>
    <w:p>
      <w:pPr>
        <w:pStyle w:val="Heading1"/>
        <w:rPr/>
      </w:pPr>
      <w:r>
        <w:rPr/>
        <w:t>3</w:t>
      </w:r>
      <w:r>
        <w:rPr/>
        <w:t>. Exploratory Data Analysis</w:t>
      </w:r>
    </w:p>
    <w:p>
      <w:pPr>
        <w:pStyle w:val="FirstParagraph"/>
        <w:rPr/>
      </w:pPr>
      <w:r>
        <w:rPr/>
        <w:t>Perform EDA on the structured customer dataset</w:t>
      </w:r>
    </w:p>
    <w:p>
      <w:pPr>
        <w:pStyle w:val="BodyText"/>
        <w:rPr/>
      </w:pPr>
      <w:r>
        <w:rPr/>
        <w:t>Performed detailed EDA by analyzing dataset dimensions, columns, data types, missing values, duplicates, unique values, statistical summaries, churn distribution, customer demographics, services, contracts, payment methods, tenure, monthly charges, total charges, correlations, customer segments, and outliers.</w:t>
      </w:r>
    </w:p>
    <w:p>
      <w:pPr>
        <w:pStyle w:val="Heading3"/>
        <w:spacing w:before="200" w:after="283"/>
        <w:rPr/>
      </w:pPr>
      <w:r>
        <w:rPr/>
        <w:t>3</w:t>
      </w:r>
      <w:r>
        <w:rPr/>
        <w:t>.</w:t>
      </w:r>
      <w:r>
        <w:rPr/>
        <w:t>1</w:t>
      </w:r>
      <w:r>
        <w:rPr/>
        <w:t xml:space="preserve"> SQL Customer Analytics</w:t>
      </w:r>
    </w:p>
    <w:p>
      <w:pPr>
        <w:pStyle w:val="BodyText"/>
        <w:rPr/>
      </w:pPr>
      <w:r>
        <w:rPr/>
        <w:t>Loaded the processed customer data into SQLite and implemented SQL queries for total customers, churned customers, churn rate, churn by contract/payment/internet service, average charges, high-value customers, high-risk groups, long-tenure customers, service segments, and revenue-related analysis.</w:t>
      </w:r>
    </w:p>
    <w:p>
      <w:pPr>
        <w:pStyle w:val="Heading3"/>
        <w:spacing w:before="200" w:after="283"/>
        <w:rPr/>
      </w:pPr>
      <w:r>
        <w:rPr/>
        <w:t>3.2</w:t>
      </w:r>
      <w:r>
        <w:rPr/>
        <w:t xml:space="preserve"> Data Preprocessing</w:t>
      </w:r>
    </w:p>
    <w:p>
      <w:pPr>
        <w:pStyle w:val="BodyText"/>
        <w:rPr/>
      </w:pPr>
      <w:r>
        <w:rPr/>
        <w:t>Cleaned the customer dataset by handling missing values, converting incorrect data types, removing the customer identifier from ML features, encoding categorical variables, scaling numerical features, splitting the data into training and testing sets, and handling class imbalance.</w:t>
      </w:r>
    </w:p>
    <w:p>
      <w:pPr>
        <w:pStyle w:val="Heading3"/>
        <w:spacing w:before="200" w:after="283"/>
        <w:rPr/>
      </w:pPr>
      <w:r>
        <w:rPr/>
        <w:t>3</w:t>
      </w:r>
      <w:r>
        <w:rPr/>
        <w:t xml:space="preserve">. </w:t>
      </w:r>
      <w:r>
        <w:rPr/>
        <w:t xml:space="preserve">3  </w:t>
      </w:r>
      <w:r>
        <w:rPr/>
        <w:t>Feature Engineering</w:t>
      </w:r>
    </w:p>
    <w:p>
      <w:pPr>
        <w:pStyle w:val="BodyText"/>
        <w:rPr/>
      </w:pPr>
      <w:r>
        <w:rPr/>
        <w:t>Created customer-level features including new-customer and long-term indicators, charge-to-tenure ratio, high monthly charge indicator, and high-value/high-risk indicators to improve churn analysis</w:t>
      </w:r>
    </w:p>
    <w:p>
      <w:pPr>
        <w:pStyle w:val="Heading3"/>
        <w:rPr>
          <w:b/>
          <w:bCs/>
          <w:position w:val="0"/>
          <w:sz w:val="32"/>
          <w:sz w:val="32"/>
          <w:szCs w:val="32"/>
          <w:vertAlign w:val="baseline"/>
        </w:rPr>
      </w:pPr>
      <w:r>
        <w:rPr>
          <w:b/>
          <w:bCs/>
          <w:position w:val="0"/>
          <w:sz w:val="32"/>
          <w:sz w:val="32"/>
          <w:szCs w:val="32"/>
          <w:vertAlign w:val="baseline"/>
        </w:rPr>
        <w:t>Visualization</w:t>
      </w:r>
    </w:p>
    <w:p>
      <w:pPr>
        <w:pStyle w:val="Normal"/>
        <w:rPr>
          <w:b/>
          <w:bCs/>
          <w:position w:val="0"/>
          <w:sz w:val="32"/>
          <w:sz w:val="32"/>
          <w:szCs w:val="32"/>
          <w:vertAlign w:val="baseline"/>
        </w:rPr>
      </w:pPr>
      <w:r>
        <w:rPr>
          <w:b/>
          <w:bCs/>
          <w:position w:val="0"/>
          <w:sz w:val="32"/>
          <w:sz w:val="32"/>
          <w:szCs w:val="32"/>
          <w:vertAlign w:val="baseline"/>
        </w:rPr>
      </w:r>
    </w:p>
    <w:p>
      <w:pPr>
        <w:pStyle w:val="Normal"/>
        <w:rPr/>
      </w:pPr>
      <w:r>
        <w:rPr/>
        <w:drawing>
          <wp:inline distT="0" distB="0" distL="0" distR="0">
            <wp:extent cx="6436995" cy="429768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5"/>
                    <a:stretch>
                      <a:fillRect/>
                    </a:stretch>
                  </pic:blipFill>
                  <pic:spPr bwMode="auto">
                    <a:xfrm>
                      <a:off x="0" y="0"/>
                      <a:ext cx="6436995" cy="4297680"/>
                    </a:xfrm>
                    <a:prstGeom prst="rect">
                      <a:avLst/>
                    </a:prstGeom>
                  </pic:spPr>
                </pic:pic>
              </a:graphicData>
            </a:graphic>
          </wp:inline>
        </w:drawing>
      </w:r>
    </w:p>
    <w:p>
      <w:pPr>
        <w:pStyle w:val="Normal"/>
        <w:rPr/>
      </w:pPr>
      <w:r>
        <w:rPr/>
        <w:drawing>
          <wp:inline distT="0" distB="0" distL="0" distR="0">
            <wp:extent cx="7022465" cy="458978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7022465" cy="4589780"/>
                    </a:xfrm>
                    <a:prstGeom prst="rect">
                      <a:avLst/>
                    </a:prstGeom>
                  </pic:spPr>
                </pic:pic>
              </a:graphicData>
            </a:graphic>
          </wp:inline>
        </w:drawing>
      </w:r>
    </w:p>
    <w:p>
      <w:pPr>
        <w:pStyle w:val="Normal"/>
        <w:rPr/>
      </w:pPr>
      <w:r>
        <w:rPr/>
        <w:drawing>
          <wp:inline distT="0" distB="0" distL="0" distR="0">
            <wp:extent cx="6355080" cy="429768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6355080" cy="4297680"/>
                    </a:xfrm>
                    <a:prstGeom prst="rect">
                      <a:avLst/>
                    </a:prstGeom>
                  </pic:spPr>
                </pic:pic>
              </a:graphicData>
            </a:graphic>
          </wp:inline>
        </w:drawing>
      </w:r>
    </w:p>
    <w:p>
      <w:pPr>
        <w:pStyle w:val="Heading1"/>
        <w:rPr/>
      </w:pPr>
      <w:r>
        <w:rPr/>
      </w:r>
    </w:p>
    <w:p>
      <w:pPr>
        <w:pStyle w:val="Heading1"/>
        <w:rPr/>
      </w:pPr>
      <w:r>
        <w:rPr/>
        <w:t>4.</w:t>
      </w:r>
      <w:r>
        <w:rPr/>
        <w:t xml:space="preserve"> Machine Learning</w:t>
      </w:r>
    </w:p>
    <w:p>
      <w:pPr>
        <w:pStyle w:val="Normal"/>
        <w:rPr/>
      </w:pPr>
      <w:r>
        <w:rPr/>
        <w:t>Implemented and compared Logistic Regression, Decision Tree, KNN, Random Forest, Gradient Boosting and XGBoost. Evaluated Accuracy, Precision, Recall, F1-score, ROC-AUC and PR-AUC. Model improvement included class weighting, cross-validation, hyperparameter tuning and probability-threshold adjustment.</w:t>
      </w:r>
    </w:p>
    <w:p>
      <w:pPr>
        <w:pStyle w:val="Normal"/>
        <w:rPr/>
      </w:pPr>
      <w:r>
        <w:rPr/>
        <w:t xml:space="preserve">Implemented a complete customer churn machine-learning pipeline by preparing the preprocessed customer data, defining churn as the target variable, separating features and target, removing the customer ID identifier, applying numerical scaling and categorical encoding, creating stratified training and testing datasets, and developing baseline models including Logistic Regression, Decision Tree, and K-Nearest Neighbors. </w:t>
      </w:r>
    </w:p>
    <w:p>
      <w:pPr>
        <w:pStyle w:val="Normal"/>
        <w:rPr/>
      </w:pPr>
      <w:r>
        <w:rPr/>
        <w:t>Implemented ensemble models including Random Forest, Gradient Boosting, and XGBoost, and evaluated all models using Accuracy, Precision, Recall, F1-score, ROC-AUC, PR-AUC, and confusion matrices, with particular attention to churn Recall, Precision, and F1-score. Improved the Logistic Regression model using class weighting, Stratified K-Fold cross-validation, hyperparameter tuning with RandomizedSearchCV, and probability-threshold adjustment. Tested multiple classification thresholds from 0.30 to 0.70 and selected a threshold of 0.55 based on the highest F1-score. Saved the improved Logistic Regression model for customer-level churn prediction and integrated the model with the customer profile, SHAP explainability, knowledge-base retrieval, local LLM, and final Flask application.</w:t>
      </w:r>
    </w:p>
    <w:p>
      <w:pPr>
        <w:pStyle w:val="Normal"/>
        <w:rPr/>
      </w:pPr>
      <w:r>
        <w:rPr/>
      </w:r>
    </w:p>
    <w:p>
      <w:pPr>
        <w:pStyle w:val="Normal"/>
        <w:rPr/>
      </w:pPr>
      <w:r>
        <w:rPr/>
        <w:drawing>
          <wp:inline distT="0" distB="0" distL="0" distR="0">
            <wp:extent cx="5303520" cy="42976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5303520" cy="4297680"/>
                    </a:xfrm>
                    <a:prstGeom prst="rect">
                      <a:avLst/>
                    </a:prstGeom>
                  </pic:spPr>
                </pic:pic>
              </a:graphicData>
            </a:graphic>
          </wp:inline>
        </w:drawing>
      </w:r>
    </w:p>
    <w:p>
      <w:pPr>
        <w:pStyle w:val="Heading1"/>
        <w:rPr/>
      </w:pPr>
      <w:r>
        <w:rPr/>
      </w:r>
    </w:p>
    <w:p>
      <w:pPr>
        <w:pStyle w:val="FirstParagraph"/>
        <w:rPr/>
      </w:pPr>
      <w:r>
        <w:rPr/>
        <w:t>Evaluate the models using:</w:t>
      </w:r>
    </w:p>
    <w:p>
      <w:pPr>
        <w:pStyle w:val="Compact"/>
        <w:numPr>
          <w:ilvl w:val="0"/>
          <w:numId w:val="33"/>
        </w:numPr>
        <w:rPr/>
      </w:pPr>
      <w:r>
        <w:rPr/>
        <w:t>Accuracy</w:t>
      </w:r>
    </w:p>
    <w:p>
      <w:pPr>
        <w:pStyle w:val="Compact"/>
        <w:numPr>
          <w:ilvl w:val="0"/>
          <w:numId w:val="34"/>
        </w:numPr>
        <w:rPr/>
      </w:pPr>
      <w:r>
        <w:rPr/>
        <w:t>Precision</w:t>
      </w:r>
    </w:p>
    <w:p>
      <w:pPr>
        <w:pStyle w:val="Compact"/>
        <w:numPr>
          <w:ilvl w:val="0"/>
          <w:numId w:val="35"/>
        </w:numPr>
        <w:rPr/>
      </w:pPr>
      <w:r>
        <w:rPr/>
        <w:t>Recall</w:t>
      </w:r>
    </w:p>
    <w:p>
      <w:pPr>
        <w:pStyle w:val="Compact"/>
        <w:numPr>
          <w:ilvl w:val="0"/>
          <w:numId w:val="36"/>
        </w:numPr>
        <w:rPr/>
      </w:pPr>
      <w:r>
        <w:rPr/>
        <w:t>F1-score</w:t>
      </w:r>
    </w:p>
    <w:p>
      <w:pPr>
        <w:pStyle w:val="Compact"/>
        <w:numPr>
          <w:ilvl w:val="0"/>
          <w:numId w:val="37"/>
        </w:numPr>
        <w:rPr/>
      </w:pPr>
      <w:r>
        <w:rPr/>
        <w:t>ROC-AUC</w:t>
      </w:r>
    </w:p>
    <w:p>
      <w:pPr>
        <w:pStyle w:val="Compact"/>
        <w:numPr>
          <w:ilvl w:val="0"/>
          <w:numId w:val="38"/>
        </w:numPr>
        <w:rPr/>
      </w:pPr>
      <w:r>
        <w:rPr/>
        <w:t>PR-AUC</w:t>
      </w:r>
    </w:p>
    <w:p>
      <w:pPr>
        <w:pStyle w:val="Compact"/>
        <w:numPr>
          <w:ilvl w:val="0"/>
          <w:numId w:val="39"/>
        </w:numPr>
        <w:rPr/>
      </w:pPr>
      <w:r>
        <w:rPr/>
        <w:t>Confusion matrix</w:t>
      </w:r>
    </w:p>
    <w:p>
      <w:pPr>
        <w:pStyle w:val="FirstParagraph"/>
        <w:rPr/>
      </w:pPr>
      <w:r>
        <w:rPr/>
        <w:t>Because churn prediction is a customer-retention problem, pay particular attention to:</w:t>
      </w:r>
    </w:p>
    <w:p>
      <w:pPr>
        <w:pStyle w:val="Compact"/>
        <w:numPr>
          <w:ilvl w:val="0"/>
          <w:numId w:val="40"/>
        </w:numPr>
        <w:rPr/>
      </w:pPr>
      <w:r>
        <w:rPr/>
        <w:t>Recall for churned customers</w:t>
      </w:r>
    </w:p>
    <w:p>
      <w:pPr>
        <w:pStyle w:val="Compact"/>
        <w:numPr>
          <w:ilvl w:val="0"/>
          <w:numId w:val="41"/>
        </w:numPr>
        <w:rPr/>
      </w:pPr>
      <w:r>
        <w:rPr/>
        <w:t>Precision</w:t>
      </w:r>
    </w:p>
    <w:p>
      <w:pPr>
        <w:pStyle w:val="Compact"/>
        <w:numPr>
          <w:ilvl w:val="0"/>
          <w:numId w:val="42"/>
        </w:numPr>
        <w:rPr/>
      </w:pPr>
      <w:r>
        <w:rPr/>
        <w:t>F1-score</w:t>
      </w:r>
    </w:p>
    <w:p>
      <w:pPr>
        <w:pStyle w:val="Compact"/>
        <w:numPr>
          <w:ilvl w:val="0"/>
          <w:numId w:val="43"/>
        </w:numPr>
        <w:rPr/>
      </w:pPr>
      <w:r>
        <w:rPr/>
        <w:t>ROC-AUC / PR-AUC</w:t>
      </w:r>
    </w:p>
    <w:p>
      <w:pPr>
        <w:pStyle w:val="FirstParagraph"/>
        <w:rPr/>
      </w:pPr>
      <w:r>
        <w:rPr/>
        <w:t>Select the best model based on both performance and computational efficiency.</w:t>
      </w:r>
    </w:p>
    <w:p>
      <w:pPr>
        <w:pStyle w:val="Heading1"/>
        <w:rPr/>
      </w:pPr>
      <w:r>
        <w:rPr/>
      </w:r>
    </w:p>
    <w:tbl>
      <w:tblPr>
        <w:tblW w:w="9178" w:type="dxa"/>
        <w:jc w:val="left"/>
        <w:tblInd w:w="-225" w:type="dxa"/>
        <w:tblLayout w:type="fixed"/>
        <w:tblCellMar>
          <w:top w:w="0" w:type="dxa"/>
          <w:left w:w="0" w:type="dxa"/>
          <w:bottom w:w="0" w:type="dxa"/>
          <w:right w:w="0" w:type="dxa"/>
        </w:tblCellMar>
      </w:tblPr>
      <w:tblGrid>
        <w:gridCol w:w="1110"/>
        <w:gridCol w:w="1890"/>
        <w:gridCol w:w="1065"/>
        <w:gridCol w:w="1155"/>
        <w:gridCol w:w="990"/>
        <w:gridCol w:w="915"/>
        <w:gridCol w:w="1005"/>
        <w:gridCol w:w="1048"/>
      </w:tblGrid>
      <w:tr>
        <w:trPr>
          <w:tblHeader w:val="true"/>
        </w:trPr>
        <w:tc>
          <w:tcPr>
            <w:tcW w:w="1110" w:type="dxa"/>
            <w:tcBorders/>
            <w:vAlign w:val="center"/>
          </w:tcPr>
          <w:p>
            <w:pPr>
              <w:pStyle w:val="TableHeading"/>
              <w:spacing w:before="0" w:after="200"/>
              <w:ind w:hanging="0" w:left="0" w:right="0"/>
              <w:jc w:val="right"/>
              <w:rPr>
                <w:b/>
              </w:rPr>
            </w:pPr>
            <w:r>
              <w:rPr>
                <w:b/>
              </w:rPr>
            </w:r>
          </w:p>
        </w:tc>
        <w:tc>
          <w:tcPr>
            <w:tcW w:w="1890" w:type="dxa"/>
            <w:tcBorders/>
            <w:vAlign w:val="center"/>
          </w:tcPr>
          <w:p>
            <w:pPr>
              <w:pStyle w:val="TableHeading"/>
              <w:spacing w:before="0" w:after="200"/>
              <w:ind w:hanging="0" w:left="0" w:right="0"/>
              <w:jc w:val="right"/>
              <w:rPr>
                <w:b/>
              </w:rPr>
            </w:pPr>
            <w:r>
              <w:rPr>
                <w:b/>
              </w:rPr>
              <w:t>Model Accuracy</w:t>
            </w:r>
          </w:p>
        </w:tc>
        <w:tc>
          <w:tcPr>
            <w:tcW w:w="1065" w:type="dxa"/>
            <w:tcBorders/>
            <w:vAlign w:val="center"/>
          </w:tcPr>
          <w:p>
            <w:pPr>
              <w:pStyle w:val="TableHeading"/>
              <w:spacing w:before="0" w:after="200"/>
              <w:ind w:hanging="0" w:left="0" w:right="0"/>
              <w:jc w:val="right"/>
              <w:rPr>
                <w:b/>
              </w:rPr>
            </w:pPr>
            <w:r>
              <w:rPr>
                <w:b/>
              </w:rPr>
              <w:t xml:space="preserve">Accuracy </w:t>
            </w:r>
          </w:p>
        </w:tc>
        <w:tc>
          <w:tcPr>
            <w:tcW w:w="1155" w:type="dxa"/>
            <w:tcBorders/>
            <w:vAlign w:val="center"/>
          </w:tcPr>
          <w:p>
            <w:pPr>
              <w:pStyle w:val="TableHeading"/>
              <w:spacing w:before="0" w:after="200"/>
              <w:ind w:hanging="0" w:left="0" w:right="0"/>
              <w:jc w:val="right"/>
              <w:rPr>
                <w:b/>
              </w:rPr>
            </w:pPr>
            <w:r>
              <w:rPr>
                <w:b/>
              </w:rPr>
              <w:t xml:space="preserve">Precision </w:t>
            </w:r>
          </w:p>
        </w:tc>
        <w:tc>
          <w:tcPr>
            <w:tcW w:w="990" w:type="dxa"/>
            <w:tcBorders/>
            <w:vAlign w:val="center"/>
          </w:tcPr>
          <w:p>
            <w:pPr>
              <w:pStyle w:val="TableHeading"/>
              <w:spacing w:before="0" w:after="200"/>
              <w:ind w:hanging="0" w:left="0" w:right="0"/>
              <w:jc w:val="right"/>
              <w:rPr>
                <w:b/>
              </w:rPr>
            </w:pPr>
            <w:r>
              <w:rPr>
                <w:b/>
              </w:rPr>
              <w:t xml:space="preserve">Recall </w:t>
            </w:r>
          </w:p>
        </w:tc>
        <w:tc>
          <w:tcPr>
            <w:tcW w:w="915" w:type="dxa"/>
            <w:tcBorders/>
            <w:vAlign w:val="center"/>
          </w:tcPr>
          <w:p>
            <w:pPr>
              <w:pStyle w:val="TableHeading"/>
              <w:spacing w:before="0" w:after="200"/>
              <w:ind w:hanging="0" w:left="0" w:right="0"/>
              <w:jc w:val="right"/>
              <w:rPr>
                <w:b/>
              </w:rPr>
            </w:pPr>
            <w:r>
              <w:rPr>
                <w:b/>
              </w:rPr>
              <w:t xml:space="preserve">F1 </w:t>
            </w:r>
          </w:p>
        </w:tc>
        <w:tc>
          <w:tcPr>
            <w:tcW w:w="1005" w:type="dxa"/>
            <w:tcBorders/>
            <w:vAlign w:val="center"/>
          </w:tcPr>
          <w:p>
            <w:pPr>
              <w:pStyle w:val="TableHeading"/>
              <w:spacing w:before="0" w:after="200"/>
              <w:ind w:hanging="0" w:left="0" w:right="0"/>
              <w:jc w:val="right"/>
              <w:rPr>
                <w:b/>
              </w:rPr>
            </w:pPr>
            <w:r>
              <w:rPr>
                <w:b/>
              </w:rPr>
              <w:t>-AUC</w:t>
            </w:r>
          </w:p>
        </w:tc>
        <w:tc>
          <w:tcPr>
            <w:tcW w:w="1048" w:type="dxa"/>
            <w:tcBorders>
              <w:top w:val="double" w:sz="2" w:space="0" w:color="808080"/>
              <w:left w:val="double" w:sz="2" w:space="0" w:color="808080"/>
              <w:bottom w:val="double" w:sz="2" w:space="0" w:color="808080"/>
              <w:right w:val="double" w:sz="2" w:space="0" w:color="808080"/>
            </w:tcBorders>
            <w:tcMar>
              <w:top w:w="28" w:type="dxa"/>
              <w:left w:w="28" w:type="dxa"/>
              <w:bottom w:w="28" w:type="dxa"/>
              <w:right w:w="28" w:type="dxa"/>
            </w:tcMar>
          </w:tcPr>
          <w:p>
            <w:pPr>
              <w:pStyle w:val="TableContents"/>
              <w:spacing w:before="0" w:after="200"/>
              <w:rPr>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szCs w:val="21"/>
                <w14:textFill>
                  <w14:solidFill>
                    <w14:srgbClr w14:val="000000">
                      <w14:alpha w14:val="13333"/>
                    </w14:srgbClr>
                  </w14:solidFill>
                </w14:textFill>
              </w:rPr>
            </w:pPr>
            <w:r>
              <w:rPr>
                <w:rFonts w:ascii="system-ui;apple-system;blinkmacsystemfont;Segoe UI;helvetica;arial;sans-serif;Apple Color Emoji;Segoe UI Emoji;Segoe UI Symbol" w:hAnsi="system-ui;apple-system;blinkmacsystemfont;Segoe UI;helvetica;arial;sans-serif;Apple Color Emoji;Segoe UI Emoji;Segoe UI Symbol"/>
                <w:b/>
                <w:i w:val="false"/>
                <w:caps w:val="false"/>
                <w:smallCaps w:val="false"/>
                <w:color w:val="000000"/>
                <w:spacing w:val="0"/>
                <w:sz w:val="21"/>
                <w:szCs w:val="21"/>
                <w14:textFill>
                  <w14:solidFill>
                    <w14:srgbClr w14:val="000000">
                      <w14:alpha w14:val="13333"/>
                    </w14:srgbClr>
                  </w14:solidFill>
                </w14:textFill>
              </w:rPr>
              <w:t>PR-AUC</w:t>
            </w:r>
          </w:p>
        </w:tc>
      </w:tr>
      <w:tr>
        <w:trPr/>
        <w:tc>
          <w:tcPr>
            <w:tcW w:w="1110" w:type="dxa"/>
            <w:tcBorders/>
            <w:vAlign w:val="center"/>
          </w:tcPr>
          <w:p>
            <w:pPr>
              <w:pStyle w:val="TableHeading"/>
              <w:spacing w:before="0" w:after="200"/>
              <w:ind w:hanging="0" w:left="0" w:right="0"/>
              <w:jc w:val="right"/>
              <w:rPr>
                <w:b/>
              </w:rPr>
            </w:pPr>
            <w:r>
              <w:rPr>
                <w:b/>
              </w:rPr>
              <w:t>0</w:t>
            </w:r>
          </w:p>
        </w:tc>
        <w:tc>
          <w:tcPr>
            <w:tcW w:w="1890" w:type="dxa"/>
            <w:tcBorders/>
            <w:vAlign w:val="center"/>
          </w:tcPr>
          <w:p>
            <w:pPr>
              <w:pStyle w:val="TableContents"/>
              <w:spacing w:before="0" w:after="200"/>
              <w:ind w:hanging="0" w:left="0" w:right="0"/>
              <w:jc w:val="right"/>
              <w:rPr/>
            </w:pPr>
            <w:r>
              <w:rPr/>
              <w:t>Logistic Regression</w:t>
            </w:r>
          </w:p>
        </w:tc>
        <w:tc>
          <w:tcPr>
            <w:tcW w:w="1065" w:type="dxa"/>
            <w:tcBorders/>
            <w:vAlign w:val="center"/>
          </w:tcPr>
          <w:p>
            <w:pPr>
              <w:pStyle w:val="TableContents"/>
              <w:spacing w:before="0" w:after="200"/>
              <w:ind w:hanging="0" w:left="0" w:right="0"/>
              <w:jc w:val="right"/>
              <w:rPr/>
            </w:pPr>
            <w:r>
              <w:rPr/>
              <w:t>0.748048</w:t>
            </w:r>
          </w:p>
        </w:tc>
        <w:tc>
          <w:tcPr>
            <w:tcW w:w="1155" w:type="dxa"/>
            <w:tcBorders/>
            <w:vAlign w:val="center"/>
          </w:tcPr>
          <w:p>
            <w:pPr>
              <w:pStyle w:val="TableContents"/>
              <w:spacing w:before="0" w:after="200"/>
              <w:ind w:hanging="0" w:left="0" w:right="0"/>
              <w:jc w:val="right"/>
              <w:rPr/>
            </w:pPr>
            <w:r>
              <w:rPr/>
              <w:t>0.516295</w:t>
            </w:r>
          </w:p>
        </w:tc>
        <w:tc>
          <w:tcPr>
            <w:tcW w:w="990" w:type="dxa"/>
            <w:tcBorders/>
            <w:vAlign w:val="center"/>
          </w:tcPr>
          <w:p>
            <w:pPr>
              <w:pStyle w:val="TableContents"/>
              <w:spacing w:before="0" w:after="200"/>
              <w:ind w:hanging="0" w:left="0" w:right="0"/>
              <w:jc w:val="right"/>
              <w:rPr/>
            </w:pPr>
            <w:r>
              <w:rPr/>
              <w:t>0.804813</w:t>
            </w:r>
          </w:p>
        </w:tc>
        <w:tc>
          <w:tcPr>
            <w:tcW w:w="915" w:type="dxa"/>
            <w:tcBorders/>
            <w:vAlign w:val="center"/>
          </w:tcPr>
          <w:p>
            <w:pPr>
              <w:pStyle w:val="TableContents"/>
              <w:spacing w:before="0" w:after="200"/>
              <w:ind w:hanging="0" w:left="0" w:right="0"/>
              <w:jc w:val="right"/>
              <w:rPr/>
            </w:pPr>
            <w:r>
              <w:rPr/>
              <w:t>0.629049</w:t>
            </w:r>
          </w:p>
        </w:tc>
        <w:tc>
          <w:tcPr>
            <w:tcW w:w="1005" w:type="dxa"/>
            <w:tcBorders/>
            <w:vAlign w:val="center"/>
          </w:tcPr>
          <w:p>
            <w:pPr>
              <w:pStyle w:val="TableContents"/>
              <w:spacing w:before="0" w:after="200"/>
              <w:ind w:hanging="0" w:left="0" w:right="0"/>
              <w:jc w:val="right"/>
              <w:rPr/>
            </w:pPr>
            <w:r>
              <w:rPr/>
              <w:t>0.847157</w:t>
            </w:r>
          </w:p>
        </w:tc>
        <w:tc>
          <w:tcPr>
            <w:tcW w:w="1048" w:type="dxa"/>
            <w:tcBorders/>
            <w:vAlign w:val="center"/>
          </w:tcPr>
          <w:p>
            <w:pPr>
              <w:pStyle w:val="TableContents"/>
              <w:spacing w:before="0" w:after="200"/>
              <w:ind w:hanging="0" w:left="0" w:right="0"/>
              <w:jc w:val="right"/>
              <w:rPr/>
            </w:pPr>
            <w:r>
              <w:rPr/>
              <w:t>0.659388</w:t>
            </w:r>
          </w:p>
        </w:tc>
      </w:tr>
      <w:tr>
        <w:trPr/>
        <w:tc>
          <w:tcPr>
            <w:tcW w:w="1110" w:type="dxa"/>
            <w:tcBorders/>
            <w:vAlign w:val="center"/>
          </w:tcPr>
          <w:p>
            <w:pPr>
              <w:pStyle w:val="TableHeading"/>
              <w:spacing w:before="0" w:after="200"/>
              <w:ind w:hanging="0" w:left="0" w:right="0"/>
              <w:jc w:val="right"/>
              <w:rPr>
                <w:b/>
              </w:rPr>
            </w:pPr>
            <w:r>
              <w:rPr>
                <w:b/>
              </w:rPr>
              <w:t>1</w:t>
            </w:r>
          </w:p>
        </w:tc>
        <w:tc>
          <w:tcPr>
            <w:tcW w:w="1890" w:type="dxa"/>
            <w:tcBorders/>
            <w:vAlign w:val="center"/>
          </w:tcPr>
          <w:p>
            <w:pPr>
              <w:pStyle w:val="TableContents"/>
              <w:spacing w:before="0" w:after="200"/>
              <w:ind w:hanging="0" w:left="0" w:right="0"/>
              <w:jc w:val="right"/>
              <w:rPr/>
            </w:pPr>
            <w:r>
              <w:rPr/>
              <w:t>Random Forest</w:t>
            </w:r>
          </w:p>
        </w:tc>
        <w:tc>
          <w:tcPr>
            <w:tcW w:w="1065" w:type="dxa"/>
            <w:tcBorders/>
            <w:vAlign w:val="center"/>
          </w:tcPr>
          <w:p>
            <w:pPr>
              <w:pStyle w:val="TableContents"/>
              <w:spacing w:before="0" w:after="200"/>
              <w:ind w:hanging="0" w:left="0" w:right="0"/>
              <w:jc w:val="right"/>
              <w:rPr/>
            </w:pPr>
            <w:r>
              <w:rPr/>
              <w:t>0.772889</w:t>
            </w:r>
          </w:p>
        </w:tc>
        <w:tc>
          <w:tcPr>
            <w:tcW w:w="1155" w:type="dxa"/>
            <w:tcBorders/>
            <w:vAlign w:val="center"/>
          </w:tcPr>
          <w:p>
            <w:pPr>
              <w:pStyle w:val="TableContents"/>
              <w:spacing w:before="0" w:after="200"/>
              <w:ind w:hanging="0" w:left="0" w:right="0"/>
              <w:jc w:val="right"/>
              <w:rPr/>
            </w:pPr>
            <w:r>
              <w:rPr/>
              <w:t>0.555785</w:t>
            </w:r>
          </w:p>
        </w:tc>
        <w:tc>
          <w:tcPr>
            <w:tcW w:w="990" w:type="dxa"/>
            <w:tcBorders/>
            <w:vAlign w:val="center"/>
          </w:tcPr>
          <w:p>
            <w:pPr>
              <w:pStyle w:val="TableContents"/>
              <w:spacing w:before="0" w:after="200"/>
              <w:ind w:hanging="0" w:left="0" w:right="0"/>
              <w:jc w:val="right"/>
              <w:rPr/>
            </w:pPr>
            <w:r>
              <w:rPr/>
              <w:t>0.719251</w:t>
            </w:r>
          </w:p>
        </w:tc>
        <w:tc>
          <w:tcPr>
            <w:tcW w:w="915" w:type="dxa"/>
            <w:tcBorders/>
            <w:vAlign w:val="center"/>
          </w:tcPr>
          <w:p>
            <w:pPr>
              <w:pStyle w:val="TableContents"/>
              <w:spacing w:before="0" w:after="200"/>
              <w:ind w:hanging="0" w:left="0" w:right="0"/>
              <w:jc w:val="right"/>
              <w:rPr/>
            </w:pPr>
            <w:r>
              <w:rPr/>
              <w:t>0.627040</w:t>
            </w:r>
          </w:p>
        </w:tc>
        <w:tc>
          <w:tcPr>
            <w:tcW w:w="1005" w:type="dxa"/>
            <w:tcBorders/>
            <w:vAlign w:val="center"/>
          </w:tcPr>
          <w:p>
            <w:pPr>
              <w:pStyle w:val="TableContents"/>
              <w:spacing w:before="0" w:after="200"/>
              <w:ind w:hanging="0" w:left="0" w:right="0"/>
              <w:jc w:val="right"/>
              <w:rPr/>
            </w:pPr>
            <w:r>
              <w:rPr/>
              <w:t>0.843199</w:t>
            </w:r>
          </w:p>
        </w:tc>
        <w:tc>
          <w:tcPr>
            <w:tcW w:w="1048" w:type="dxa"/>
            <w:tcBorders/>
            <w:vAlign w:val="center"/>
          </w:tcPr>
          <w:p>
            <w:pPr>
              <w:pStyle w:val="TableContents"/>
              <w:spacing w:before="0" w:after="200"/>
              <w:ind w:hanging="0" w:left="0" w:right="0"/>
              <w:jc w:val="right"/>
              <w:rPr/>
            </w:pPr>
            <w:r>
              <w:rPr/>
              <w:t>0.654105</w:t>
            </w:r>
          </w:p>
        </w:tc>
      </w:tr>
      <w:tr>
        <w:trPr/>
        <w:tc>
          <w:tcPr>
            <w:tcW w:w="1110" w:type="dxa"/>
            <w:tcBorders/>
            <w:vAlign w:val="center"/>
          </w:tcPr>
          <w:p>
            <w:pPr>
              <w:pStyle w:val="TableHeading"/>
              <w:spacing w:before="0" w:after="200"/>
              <w:ind w:hanging="0" w:left="0" w:right="0"/>
              <w:jc w:val="right"/>
              <w:rPr>
                <w:b/>
              </w:rPr>
            </w:pPr>
            <w:r>
              <w:rPr>
                <w:b/>
              </w:rPr>
              <w:t>2</w:t>
            </w:r>
          </w:p>
        </w:tc>
        <w:tc>
          <w:tcPr>
            <w:tcW w:w="1890" w:type="dxa"/>
            <w:tcBorders/>
            <w:vAlign w:val="center"/>
          </w:tcPr>
          <w:p>
            <w:pPr>
              <w:pStyle w:val="TableContents"/>
              <w:spacing w:before="0" w:after="200"/>
              <w:ind w:hanging="0" w:left="0" w:right="0"/>
              <w:jc w:val="right"/>
              <w:rPr/>
            </w:pPr>
            <w:r>
              <w:rPr/>
              <w:t>Decision Tree</w:t>
            </w:r>
          </w:p>
        </w:tc>
        <w:tc>
          <w:tcPr>
            <w:tcW w:w="1065" w:type="dxa"/>
            <w:tcBorders/>
            <w:vAlign w:val="center"/>
          </w:tcPr>
          <w:p>
            <w:pPr>
              <w:pStyle w:val="TableContents"/>
              <w:spacing w:before="0" w:after="200"/>
              <w:ind w:hanging="0" w:left="0" w:right="0"/>
              <w:jc w:val="right"/>
              <w:rPr/>
            </w:pPr>
            <w:r>
              <w:rPr/>
              <w:t>0.739532</w:t>
            </w:r>
          </w:p>
        </w:tc>
        <w:tc>
          <w:tcPr>
            <w:tcW w:w="1155" w:type="dxa"/>
            <w:tcBorders/>
            <w:vAlign w:val="center"/>
          </w:tcPr>
          <w:p>
            <w:pPr>
              <w:pStyle w:val="TableContents"/>
              <w:spacing w:before="0" w:after="200"/>
              <w:ind w:hanging="0" w:left="0" w:right="0"/>
              <w:jc w:val="right"/>
              <w:rPr/>
            </w:pPr>
            <w:r>
              <w:rPr/>
              <w:t>0.505902</w:t>
            </w:r>
          </w:p>
        </w:tc>
        <w:tc>
          <w:tcPr>
            <w:tcW w:w="990" w:type="dxa"/>
            <w:tcBorders/>
            <w:vAlign w:val="center"/>
          </w:tcPr>
          <w:p>
            <w:pPr>
              <w:pStyle w:val="TableContents"/>
              <w:spacing w:before="0" w:after="200"/>
              <w:ind w:hanging="0" w:left="0" w:right="0"/>
              <w:jc w:val="right"/>
              <w:rPr/>
            </w:pPr>
            <w:r>
              <w:rPr/>
              <w:t>0.802139</w:t>
            </w:r>
          </w:p>
        </w:tc>
        <w:tc>
          <w:tcPr>
            <w:tcW w:w="915" w:type="dxa"/>
            <w:tcBorders/>
            <w:vAlign w:val="center"/>
          </w:tcPr>
          <w:p>
            <w:pPr>
              <w:pStyle w:val="TableContents"/>
              <w:spacing w:before="0" w:after="200"/>
              <w:ind w:hanging="0" w:left="0" w:right="0"/>
              <w:jc w:val="right"/>
              <w:rPr/>
            </w:pPr>
            <w:r>
              <w:rPr/>
              <w:t>0.620476</w:t>
            </w:r>
          </w:p>
        </w:tc>
        <w:tc>
          <w:tcPr>
            <w:tcW w:w="1005" w:type="dxa"/>
            <w:tcBorders/>
            <w:vAlign w:val="center"/>
          </w:tcPr>
          <w:p>
            <w:pPr>
              <w:pStyle w:val="TableContents"/>
              <w:spacing w:before="0" w:after="200"/>
              <w:ind w:hanging="0" w:left="0" w:right="0"/>
              <w:jc w:val="right"/>
              <w:rPr/>
            </w:pPr>
            <w:r>
              <w:rPr/>
              <w:t>0.825699</w:t>
            </w:r>
          </w:p>
        </w:tc>
        <w:tc>
          <w:tcPr>
            <w:tcW w:w="1048" w:type="dxa"/>
            <w:tcBorders/>
            <w:vAlign w:val="center"/>
          </w:tcPr>
          <w:p>
            <w:pPr>
              <w:pStyle w:val="TableContents"/>
              <w:spacing w:before="0" w:after="200"/>
              <w:ind w:hanging="0" w:left="0" w:right="0"/>
              <w:jc w:val="right"/>
              <w:rPr/>
            </w:pPr>
            <w:r>
              <w:rPr/>
              <w:t>0.613713</w:t>
            </w:r>
          </w:p>
        </w:tc>
      </w:tr>
      <w:tr>
        <w:trPr/>
        <w:tc>
          <w:tcPr>
            <w:tcW w:w="1110" w:type="dxa"/>
            <w:tcBorders/>
            <w:vAlign w:val="center"/>
          </w:tcPr>
          <w:p>
            <w:pPr>
              <w:pStyle w:val="TableHeading"/>
              <w:spacing w:before="0" w:after="200"/>
              <w:ind w:hanging="0" w:left="0" w:right="0"/>
              <w:jc w:val="right"/>
              <w:rPr>
                <w:b/>
              </w:rPr>
            </w:pPr>
            <w:r>
              <w:rPr>
                <w:b/>
              </w:rPr>
              <w:t>3</w:t>
            </w:r>
          </w:p>
        </w:tc>
        <w:tc>
          <w:tcPr>
            <w:tcW w:w="1890" w:type="dxa"/>
            <w:tcBorders/>
            <w:vAlign w:val="center"/>
          </w:tcPr>
          <w:p>
            <w:pPr>
              <w:pStyle w:val="TableContents"/>
              <w:spacing w:before="0" w:after="200"/>
              <w:ind w:hanging="0" w:left="0" w:right="0"/>
              <w:jc w:val="right"/>
              <w:rPr/>
            </w:pPr>
            <w:r>
              <w:rPr/>
              <w:t>XGBoost</w:t>
            </w:r>
          </w:p>
        </w:tc>
        <w:tc>
          <w:tcPr>
            <w:tcW w:w="1065" w:type="dxa"/>
            <w:tcBorders/>
            <w:vAlign w:val="center"/>
          </w:tcPr>
          <w:p>
            <w:pPr>
              <w:pStyle w:val="TableContents"/>
              <w:spacing w:before="0" w:after="200"/>
              <w:ind w:hanging="0" w:left="0" w:right="0"/>
              <w:jc w:val="right"/>
              <w:rPr/>
            </w:pPr>
            <w:r>
              <w:rPr/>
              <w:t>0.804826</w:t>
            </w:r>
          </w:p>
        </w:tc>
        <w:tc>
          <w:tcPr>
            <w:tcW w:w="1155" w:type="dxa"/>
            <w:tcBorders/>
            <w:vAlign w:val="center"/>
          </w:tcPr>
          <w:p>
            <w:pPr>
              <w:pStyle w:val="TableContents"/>
              <w:spacing w:before="0" w:after="200"/>
              <w:ind w:hanging="0" w:left="0" w:right="0"/>
              <w:jc w:val="right"/>
              <w:rPr/>
            </w:pPr>
            <w:r>
              <w:rPr/>
              <w:t>0.670103</w:t>
            </w:r>
          </w:p>
        </w:tc>
        <w:tc>
          <w:tcPr>
            <w:tcW w:w="990" w:type="dxa"/>
            <w:tcBorders/>
            <w:vAlign w:val="center"/>
          </w:tcPr>
          <w:p>
            <w:pPr>
              <w:pStyle w:val="TableContents"/>
              <w:spacing w:before="0" w:after="200"/>
              <w:ind w:hanging="0" w:left="0" w:right="0"/>
              <w:jc w:val="right"/>
              <w:rPr/>
            </w:pPr>
            <w:r>
              <w:rPr/>
              <w:t>0.521390</w:t>
            </w:r>
          </w:p>
        </w:tc>
        <w:tc>
          <w:tcPr>
            <w:tcW w:w="915" w:type="dxa"/>
            <w:tcBorders/>
            <w:vAlign w:val="center"/>
          </w:tcPr>
          <w:p>
            <w:pPr>
              <w:pStyle w:val="TableContents"/>
              <w:spacing w:before="0" w:after="200"/>
              <w:ind w:hanging="0" w:left="0" w:right="0"/>
              <w:jc w:val="right"/>
              <w:rPr/>
            </w:pPr>
            <w:r>
              <w:rPr/>
              <w:t>0.586466</w:t>
            </w:r>
          </w:p>
        </w:tc>
        <w:tc>
          <w:tcPr>
            <w:tcW w:w="1005" w:type="dxa"/>
            <w:tcBorders/>
            <w:vAlign w:val="center"/>
          </w:tcPr>
          <w:p>
            <w:pPr>
              <w:pStyle w:val="TableContents"/>
              <w:spacing w:before="0" w:after="200"/>
              <w:ind w:hanging="0" w:left="0" w:right="0"/>
              <w:jc w:val="right"/>
              <w:rPr/>
            </w:pPr>
            <w:r>
              <w:rPr/>
              <w:t>0.846138</w:t>
            </w:r>
          </w:p>
        </w:tc>
        <w:tc>
          <w:tcPr>
            <w:tcW w:w="1048" w:type="dxa"/>
            <w:tcBorders/>
            <w:vAlign w:val="center"/>
          </w:tcPr>
          <w:p>
            <w:pPr>
              <w:pStyle w:val="TableContents"/>
              <w:spacing w:before="0" w:after="200"/>
              <w:ind w:hanging="0" w:left="0" w:right="0"/>
              <w:jc w:val="right"/>
              <w:rPr/>
            </w:pPr>
            <w:r>
              <w:rPr/>
              <w:t>0.655262</w:t>
            </w:r>
          </w:p>
        </w:tc>
      </w:tr>
      <w:tr>
        <w:trPr/>
        <w:tc>
          <w:tcPr>
            <w:tcW w:w="1110" w:type="dxa"/>
            <w:tcBorders/>
            <w:vAlign w:val="center"/>
          </w:tcPr>
          <w:p>
            <w:pPr>
              <w:pStyle w:val="TableHeading"/>
              <w:spacing w:before="0" w:after="200"/>
              <w:ind w:hanging="0" w:left="0" w:right="0"/>
              <w:jc w:val="right"/>
              <w:rPr>
                <w:b/>
              </w:rPr>
            </w:pPr>
            <w:r>
              <w:rPr>
                <w:b/>
              </w:rPr>
              <w:t>4</w:t>
            </w:r>
          </w:p>
        </w:tc>
        <w:tc>
          <w:tcPr>
            <w:tcW w:w="1890" w:type="dxa"/>
            <w:tcBorders/>
            <w:vAlign w:val="center"/>
          </w:tcPr>
          <w:p>
            <w:pPr>
              <w:pStyle w:val="TableContents"/>
              <w:spacing w:before="0" w:after="200"/>
              <w:ind w:hanging="0" w:left="0" w:right="0"/>
              <w:jc w:val="right"/>
              <w:rPr/>
            </w:pPr>
            <w:r>
              <w:rPr/>
              <w:t>Gradient Boosting</w:t>
            </w:r>
          </w:p>
        </w:tc>
        <w:tc>
          <w:tcPr>
            <w:tcW w:w="1065" w:type="dxa"/>
            <w:tcBorders/>
            <w:vAlign w:val="center"/>
          </w:tcPr>
          <w:p>
            <w:pPr>
              <w:pStyle w:val="TableContents"/>
              <w:spacing w:before="0" w:after="200"/>
              <w:ind w:hanging="0" w:left="0" w:right="0"/>
              <w:jc w:val="right"/>
              <w:rPr/>
            </w:pPr>
            <w:r>
              <w:rPr/>
              <w:t>0.806246</w:t>
            </w:r>
          </w:p>
        </w:tc>
        <w:tc>
          <w:tcPr>
            <w:tcW w:w="1155" w:type="dxa"/>
            <w:tcBorders/>
            <w:vAlign w:val="center"/>
          </w:tcPr>
          <w:p>
            <w:pPr>
              <w:pStyle w:val="TableContents"/>
              <w:spacing w:before="0" w:after="200"/>
              <w:ind w:hanging="0" w:left="0" w:right="0"/>
              <w:jc w:val="right"/>
              <w:rPr/>
            </w:pPr>
            <w:r>
              <w:rPr/>
              <w:t>0.681004</w:t>
            </w:r>
          </w:p>
        </w:tc>
        <w:tc>
          <w:tcPr>
            <w:tcW w:w="990" w:type="dxa"/>
            <w:tcBorders/>
            <w:vAlign w:val="center"/>
          </w:tcPr>
          <w:p>
            <w:pPr>
              <w:pStyle w:val="TableContents"/>
              <w:spacing w:before="0" w:after="200"/>
              <w:ind w:hanging="0" w:left="0" w:right="0"/>
              <w:jc w:val="right"/>
              <w:rPr/>
            </w:pPr>
            <w:r>
              <w:rPr/>
              <w:t>0.508021</w:t>
            </w:r>
          </w:p>
        </w:tc>
        <w:tc>
          <w:tcPr>
            <w:tcW w:w="915" w:type="dxa"/>
            <w:tcBorders/>
            <w:vAlign w:val="center"/>
          </w:tcPr>
          <w:p>
            <w:pPr>
              <w:pStyle w:val="TableContents"/>
              <w:spacing w:before="0" w:after="200"/>
              <w:ind w:hanging="0" w:left="0" w:right="0"/>
              <w:jc w:val="right"/>
              <w:rPr/>
            </w:pPr>
            <w:r>
              <w:rPr/>
              <w:t>0.581930</w:t>
            </w:r>
          </w:p>
        </w:tc>
        <w:tc>
          <w:tcPr>
            <w:tcW w:w="1005" w:type="dxa"/>
            <w:tcBorders/>
            <w:vAlign w:val="center"/>
          </w:tcPr>
          <w:p>
            <w:pPr>
              <w:pStyle w:val="TableContents"/>
              <w:spacing w:before="0" w:after="200"/>
              <w:ind w:hanging="0" w:left="0" w:right="0"/>
              <w:jc w:val="right"/>
              <w:rPr/>
            </w:pPr>
            <w:r>
              <w:rPr/>
              <w:t>0.845271</w:t>
            </w:r>
          </w:p>
        </w:tc>
        <w:tc>
          <w:tcPr>
            <w:tcW w:w="1048" w:type="dxa"/>
            <w:tcBorders/>
            <w:vAlign w:val="center"/>
          </w:tcPr>
          <w:p>
            <w:pPr>
              <w:pStyle w:val="TableContents"/>
              <w:spacing w:before="0" w:after="200"/>
              <w:ind w:hanging="0" w:left="0" w:right="0"/>
              <w:jc w:val="right"/>
              <w:rPr/>
            </w:pPr>
            <w:r>
              <w:rPr/>
              <w:t>0.661632</w:t>
            </w:r>
          </w:p>
        </w:tc>
      </w:tr>
      <w:tr>
        <w:trPr/>
        <w:tc>
          <w:tcPr>
            <w:tcW w:w="1110" w:type="dxa"/>
            <w:tcBorders/>
            <w:vAlign w:val="center"/>
          </w:tcPr>
          <w:p>
            <w:pPr>
              <w:pStyle w:val="TableHeading"/>
              <w:spacing w:before="0" w:after="200"/>
              <w:ind w:hanging="0" w:left="0" w:right="0"/>
              <w:jc w:val="right"/>
              <w:rPr>
                <w:b/>
              </w:rPr>
            </w:pPr>
            <w:r>
              <w:rPr>
                <w:b/>
              </w:rPr>
              <w:t>5</w:t>
            </w:r>
          </w:p>
        </w:tc>
        <w:tc>
          <w:tcPr>
            <w:tcW w:w="1890" w:type="dxa"/>
            <w:tcBorders/>
            <w:vAlign w:val="center"/>
          </w:tcPr>
          <w:p>
            <w:pPr>
              <w:pStyle w:val="TableContents"/>
              <w:spacing w:before="0" w:after="200"/>
              <w:ind w:hanging="0" w:left="0" w:right="0"/>
              <w:jc w:val="right"/>
              <w:rPr/>
            </w:pPr>
            <w:r>
              <w:rPr/>
              <w:t>KNN</w:t>
            </w:r>
          </w:p>
        </w:tc>
        <w:tc>
          <w:tcPr>
            <w:tcW w:w="1065" w:type="dxa"/>
            <w:tcBorders/>
            <w:vAlign w:val="center"/>
          </w:tcPr>
          <w:p>
            <w:pPr>
              <w:pStyle w:val="TableContents"/>
              <w:spacing w:before="0" w:after="200"/>
              <w:ind w:hanging="0" w:left="0" w:right="0"/>
              <w:jc w:val="right"/>
              <w:rPr/>
            </w:pPr>
            <w:r>
              <w:rPr/>
              <w:t>0.765791</w:t>
            </w:r>
          </w:p>
        </w:tc>
        <w:tc>
          <w:tcPr>
            <w:tcW w:w="1155" w:type="dxa"/>
            <w:tcBorders/>
            <w:vAlign w:val="center"/>
          </w:tcPr>
          <w:p>
            <w:pPr>
              <w:pStyle w:val="TableContents"/>
              <w:spacing w:before="0" w:after="200"/>
              <w:ind w:hanging="0" w:left="0" w:right="0"/>
              <w:jc w:val="right"/>
              <w:rPr/>
            </w:pPr>
            <w:r>
              <w:rPr/>
              <w:t>0.561798</w:t>
            </w:r>
          </w:p>
        </w:tc>
        <w:tc>
          <w:tcPr>
            <w:tcW w:w="990" w:type="dxa"/>
            <w:tcBorders/>
            <w:vAlign w:val="center"/>
          </w:tcPr>
          <w:p>
            <w:pPr>
              <w:pStyle w:val="TableContents"/>
              <w:spacing w:before="0" w:after="200"/>
              <w:ind w:hanging="0" w:left="0" w:right="0"/>
              <w:jc w:val="right"/>
              <w:rPr/>
            </w:pPr>
            <w:r>
              <w:rPr/>
              <w:t>0.534759</w:t>
            </w:r>
          </w:p>
        </w:tc>
        <w:tc>
          <w:tcPr>
            <w:tcW w:w="915" w:type="dxa"/>
            <w:tcBorders/>
            <w:vAlign w:val="center"/>
          </w:tcPr>
          <w:p>
            <w:pPr>
              <w:pStyle w:val="TableContents"/>
              <w:spacing w:before="0" w:after="200"/>
              <w:ind w:hanging="0" w:left="0" w:right="0"/>
              <w:jc w:val="right"/>
              <w:rPr/>
            </w:pPr>
            <w:r>
              <w:rPr/>
              <w:t>0.547945</w:t>
            </w:r>
          </w:p>
        </w:tc>
        <w:tc>
          <w:tcPr>
            <w:tcW w:w="1005" w:type="dxa"/>
            <w:tcBorders/>
            <w:vAlign w:val="center"/>
          </w:tcPr>
          <w:p>
            <w:pPr>
              <w:pStyle w:val="TableContents"/>
              <w:spacing w:before="0" w:after="200"/>
              <w:ind w:hanging="0" w:left="0" w:right="0"/>
              <w:jc w:val="right"/>
              <w:rPr/>
            </w:pPr>
            <w:r>
              <w:rPr/>
              <w:t>0.798704</w:t>
            </w:r>
          </w:p>
        </w:tc>
        <w:tc>
          <w:tcPr>
            <w:tcW w:w="1048" w:type="dxa"/>
            <w:tcBorders/>
            <w:vAlign w:val="center"/>
          </w:tcPr>
          <w:p>
            <w:pPr>
              <w:pStyle w:val="TableContents"/>
              <w:spacing w:before="0" w:after="200"/>
              <w:jc w:val="right"/>
              <w:rPr/>
            </w:pPr>
            <w:r>
              <w:rPr/>
              <w:t>0.540624</w:t>
            </w:r>
          </w:p>
        </w:tc>
      </w:tr>
    </w:tbl>
    <w:p>
      <w:pPr>
        <w:pStyle w:val="BodyText"/>
        <w:ind w:hanging="0" w:left="0" w:right="0"/>
        <w:rPr/>
      </w:pPr>
      <w:r>
        <w:rPr/>
        <w:br/>
      </w:r>
    </w:p>
    <w:p>
      <w:pPr>
        <w:pStyle w:val="Heading1"/>
        <w:rPr/>
      </w:pPr>
      <w:r>
        <w:rPr/>
      </w:r>
    </w:p>
    <w:p>
      <w:pPr>
        <w:pStyle w:val="Heading1"/>
        <w:rPr/>
      </w:pPr>
      <w:r>
        <w:rPr/>
        <w:t>5. Explainable AI</w:t>
      </w:r>
    </w:p>
    <w:p>
      <w:pPr>
        <w:pStyle w:val="Normal"/>
        <w:rPr/>
      </w:pPr>
      <w:r>
        <w:rPr/>
        <w:t>Implemented SHAP-based explainability using the tree-based model, providing:</w:t>
      </w:r>
    </w:p>
    <w:p>
      <w:pPr>
        <w:pStyle w:val="ListBullet"/>
        <w:numPr>
          <w:ilvl w:val="0"/>
          <w:numId w:val="1"/>
        </w:numPr>
        <w:rPr/>
      </w:pPr>
      <w:r>
        <w:rPr/>
        <w:t>Global feature importance</w:t>
      </w:r>
    </w:p>
    <w:p>
      <w:pPr>
        <w:pStyle w:val="ListBullet"/>
        <w:numPr>
          <w:ilvl w:val="0"/>
          <w:numId w:val="1"/>
        </w:numPr>
        <w:rPr/>
      </w:pPr>
      <w:r>
        <w:rPr/>
        <w:t>Individual customer explanations</w:t>
      </w:r>
    </w:p>
    <w:p>
      <w:pPr>
        <w:pStyle w:val="ListBullet"/>
        <w:numPr>
          <w:ilvl w:val="0"/>
          <w:numId w:val="1"/>
        </w:numPr>
        <w:rPr/>
      </w:pPr>
      <w:r>
        <w:rPr/>
        <w:t>Positive churn contributors</w:t>
      </w:r>
    </w:p>
    <w:p>
      <w:pPr>
        <w:pStyle w:val="ListBullet"/>
        <w:numPr>
          <w:ilvl w:val="0"/>
          <w:numId w:val="1"/>
        </w:numPr>
        <w:rPr/>
      </w:pPr>
      <w:r>
        <w:rPr/>
        <w:t>Negative churn contributors</w:t>
      </w:r>
    </w:p>
    <w:p>
      <w:pPr>
        <w:pStyle w:val="ListBullet"/>
        <w:numPr>
          <w:ilvl w:val="0"/>
          <w:numId w:val="1"/>
        </w:numPr>
        <w:rPr/>
      </w:pPr>
      <w:r>
        <w:rPr/>
        <w:t>Feature contribution values</w:t>
      </w:r>
    </w:p>
    <w:p>
      <w:pPr>
        <w:pStyle w:val="ListBullet"/>
        <w:numPr>
          <w:ilvl w:val="0"/>
          <w:numId w:val="0"/>
        </w:numPr>
        <w:rPr/>
      </w:pPr>
      <w:r>
        <w:rPr/>
      </w:r>
    </w:p>
    <w:p>
      <w:pPr>
        <w:pStyle w:val="ListBullet"/>
        <w:numPr>
          <w:ilvl w:val="0"/>
          <w:numId w:val="0"/>
        </w:numPr>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400800" cy="36004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9"/>
                    <a:stretch>
                      <a:fillRect/>
                    </a:stretch>
                  </pic:blipFill>
                  <pic:spPr bwMode="auto">
                    <a:xfrm>
                      <a:off x="0" y="0"/>
                      <a:ext cx="6400800" cy="3600450"/>
                    </a:xfrm>
                    <a:prstGeom prst="rect">
                      <a:avLst/>
                    </a:prstGeom>
                  </pic:spPr>
                </pic:pic>
              </a:graphicData>
            </a:graphic>
          </wp:anchor>
        </w:drawing>
      </w:r>
    </w:p>
    <w:p>
      <w:pPr>
        <w:pStyle w:val="ListBullet"/>
        <w:numPr>
          <w:ilvl w:val="0"/>
          <w:numId w:val="0"/>
        </w:numPr>
        <w:rPr/>
      </w:pPr>
      <w:r>
        <w:rPr/>
      </w:r>
    </w:p>
    <w:p>
      <w:pPr>
        <w:pStyle w:val="ListBullet"/>
        <w:numPr>
          <w:ilvl w:val="0"/>
          <w:numId w:val="0"/>
        </w:numPr>
        <w:rPr/>
      </w:pPr>
      <w:r>
        <w:rPr/>
      </w:r>
    </w:p>
    <w:p>
      <w:pPr>
        <w:pStyle w:val="ListBullet"/>
        <w:numPr>
          <w:ilvl w:val="0"/>
          <w:numId w:val="0"/>
        </w:numPr>
        <w:rPr/>
      </w:pPr>
      <w:r>
        <w:rPr/>
      </w:r>
    </w:p>
    <w:p>
      <w:pPr>
        <w:pStyle w:val="ListBullet"/>
        <w:numPr>
          <w:ilvl w:val="0"/>
          <w:numId w:val="0"/>
        </w:numPr>
        <w:ind w:hanging="0" w:left="360"/>
        <w:rPr/>
      </w:pPr>
      <w:r>
        <w:rPr/>
      </w:r>
    </w:p>
    <w:p>
      <w:pPr>
        <w:pStyle w:val="Heading1"/>
        <w:rPr/>
      </w:pPr>
      <w:r>
        <w:rPr/>
        <w:t>6. NLP, Embeddings and Semantic Search</w:t>
      </w:r>
    </w:p>
    <w:p>
      <w:pPr>
        <w:pStyle w:val="Normal"/>
        <w:rPr/>
      </w:pPr>
      <w:r>
        <w:rPr/>
        <w:t>Processed customer-support tickets using text cleaning, tokenization, stopword handling, word-frequency and n-gram analysis. Implemented TF-IDF classification, Sentence Transformer embeddings and local FAISS semantic search.</w:t>
      </w:r>
    </w:p>
    <w:p>
      <w:pPr>
        <w:pStyle w:val="FirstParagraph"/>
        <w:rPr/>
      </w:pPr>
      <w:r>
        <w:rPr/>
        <w:t>Use</w:t>
      </w:r>
      <w:r>
        <w:rPr/>
        <w:t>d</w:t>
      </w:r>
      <w:r>
        <w:rPr/>
        <w:t xml:space="preserve"> the customer-support text dataset for NLP.</w:t>
      </w:r>
    </w:p>
    <w:p>
      <w:pPr>
        <w:pStyle w:val="BodyText"/>
        <w:rPr/>
      </w:pPr>
      <w:r>
        <w:rPr/>
      </w:r>
    </w:p>
    <w:p>
      <w:pPr>
        <w:pStyle w:val="Compact"/>
        <w:numPr>
          <w:ilvl w:val="0"/>
          <w:numId w:val="44"/>
        </w:numPr>
        <w:rPr/>
      </w:pPr>
      <w:r>
        <w:rPr/>
        <w:t>Text cleaning</w:t>
      </w:r>
    </w:p>
    <w:p>
      <w:pPr>
        <w:pStyle w:val="Compact"/>
        <w:numPr>
          <w:ilvl w:val="0"/>
          <w:numId w:val="45"/>
        </w:numPr>
        <w:rPr/>
      </w:pPr>
      <w:r>
        <w:rPr/>
        <w:t>Lowercasing</w:t>
      </w:r>
    </w:p>
    <w:p>
      <w:pPr>
        <w:pStyle w:val="Compact"/>
        <w:numPr>
          <w:ilvl w:val="0"/>
          <w:numId w:val="46"/>
        </w:numPr>
        <w:rPr/>
      </w:pPr>
      <w:r>
        <w:rPr/>
        <w:t>Removing unnecessary characters</w:t>
      </w:r>
    </w:p>
    <w:p>
      <w:pPr>
        <w:pStyle w:val="Compact"/>
        <w:numPr>
          <w:ilvl w:val="0"/>
          <w:numId w:val="47"/>
        </w:numPr>
        <w:rPr/>
      </w:pPr>
      <w:r>
        <w:rPr/>
        <w:t>Tokenization</w:t>
      </w:r>
    </w:p>
    <w:p>
      <w:pPr>
        <w:pStyle w:val="Compact"/>
        <w:numPr>
          <w:ilvl w:val="0"/>
          <w:numId w:val="48"/>
        </w:numPr>
        <w:rPr/>
      </w:pPr>
      <w:r>
        <w:rPr/>
        <w:t>Stop-word handling where appropriate</w:t>
      </w:r>
    </w:p>
    <w:p>
      <w:pPr>
        <w:pStyle w:val="Compact"/>
        <w:numPr>
          <w:ilvl w:val="0"/>
          <w:numId w:val="49"/>
        </w:numPr>
        <w:rPr/>
      </w:pPr>
      <w:r>
        <w:rPr/>
        <w:t>Basic text statistics</w:t>
      </w:r>
    </w:p>
    <w:p>
      <w:pPr>
        <w:pStyle w:val="Compact"/>
        <w:numPr>
          <w:ilvl w:val="0"/>
          <w:numId w:val="50"/>
        </w:numPr>
        <w:rPr/>
      </w:pPr>
      <w:r>
        <w:rPr/>
        <w:t>Word /term frequency analysis</w:t>
      </w:r>
    </w:p>
    <w:p>
      <w:pPr>
        <w:pStyle w:val="Compact"/>
        <w:numPr>
          <w:ilvl w:val="0"/>
          <w:numId w:val="51"/>
        </w:numPr>
        <w:rPr/>
      </w:pPr>
      <w:r>
        <w:rPr/>
        <w:t>N-gram analysis</w:t>
      </w:r>
    </w:p>
    <w:p>
      <w:pPr>
        <w:pStyle w:val="FirstParagraph"/>
        <w:rPr/>
      </w:pPr>
      <w:r>
        <w:rPr/>
        <w:t>Convert</w:t>
      </w:r>
      <w:r>
        <w:rPr/>
        <w:t xml:space="preserve">ed </w:t>
      </w:r>
      <w:r>
        <w:rPr/>
        <w:t xml:space="preserve"> text into numerical features using </w:t>
      </w:r>
      <w:r>
        <w:rPr>
          <w:b/>
          <w:bCs/>
        </w:rPr>
        <w:t>TF-IDF</w:t>
      </w:r>
      <w:r>
        <w:rPr/>
        <w:t>.</w:t>
      </w:r>
    </w:p>
    <w:p>
      <w:pPr>
        <w:pStyle w:val="BodyText"/>
        <w:rPr/>
      </w:pPr>
      <w:r>
        <w:rPr/>
        <w:t>Buil</w:t>
      </w:r>
      <w:r>
        <w:rPr/>
        <w:t xml:space="preserve">t </w:t>
      </w:r>
      <w:r>
        <w:rPr/>
        <w:t>lightweight text-classification models such as:</w:t>
      </w:r>
    </w:p>
    <w:p>
      <w:pPr>
        <w:pStyle w:val="Compact"/>
        <w:numPr>
          <w:ilvl w:val="0"/>
          <w:numId w:val="52"/>
        </w:numPr>
        <w:rPr/>
      </w:pPr>
      <w:r>
        <w:rPr/>
        <w:t>Logistic Regression</w:t>
      </w:r>
    </w:p>
    <w:p>
      <w:pPr>
        <w:pStyle w:val="Compact"/>
        <w:numPr>
          <w:ilvl w:val="0"/>
          <w:numId w:val="53"/>
        </w:numPr>
        <w:rPr/>
      </w:pPr>
      <w:r>
        <w:rPr/>
        <w:t>Naive Bayes</w:t>
      </w:r>
    </w:p>
    <w:p>
      <w:pPr>
        <w:pStyle w:val="FirstParagraph"/>
        <w:rPr/>
      </w:pPr>
      <w:r>
        <w:rPr/>
        <w:t>Evaluate</w:t>
      </w:r>
      <w:r>
        <w:rPr/>
        <w:t>d</w:t>
      </w:r>
      <w:r>
        <w:rPr/>
        <w:t xml:space="preserve"> using appropriate classification metrics.</w:t>
      </w:r>
    </w:p>
    <w:p>
      <w:pPr>
        <w:pStyle w:val="BodyText"/>
        <w:rPr/>
      </w:pPr>
      <w:r>
        <w:rPr/>
        <w:t>The goal is to establish a traditional NLP baseline before introducing embeddings and an LLM.</w:t>
      </w:r>
    </w:p>
    <w:p>
      <w:pPr>
        <w:pStyle w:val="Heading1"/>
        <w:rPr>
          <w:b w:val="false"/>
          <w:bCs w:val="false"/>
        </w:rPr>
      </w:pPr>
      <w:r>
        <w:rPr>
          <w:b w:val="false"/>
          <w:bCs w:val="false"/>
        </w:rPr>
        <w:t xml:space="preserve"> </w:t>
      </w:r>
      <w:r>
        <w:rPr>
          <w:b w:val="false"/>
          <w:bCs w:val="false"/>
        </w:rPr>
        <w:t>Text Embeddings</w:t>
      </w:r>
    </w:p>
    <w:p>
      <w:pPr>
        <w:pStyle w:val="Normal"/>
        <w:rPr>
          <w:b w:val="false"/>
          <w:bCs w:val="false"/>
        </w:rPr>
      </w:pPr>
      <w:r>
        <w:rPr>
          <w:b w:val="false"/>
          <w:bCs w:val="false"/>
        </w:rPr>
      </w:r>
    </w:p>
    <w:p>
      <w:pPr>
        <w:pStyle w:val="FirstParagraph"/>
        <w:rPr/>
      </w:pPr>
      <w:r>
        <w:rPr/>
        <w:t>Generate semantic embeddings using a small sentence-transformer model.</w:t>
      </w:r>
    </w:p>
    <w:p>
      <w:pPr>
        <w:pStyle w:val="BodyText"/>
        <w:rPr/>
      </w:pPr>
      <w:r>
        <w:rPr/>
        <w:t>A lightweight model such as:</w:t>
      </w:r>
    </w:p>
    <w:p>
      <w:pPr>
        <w:pStyle w:val="SourceCode"/>
        <w:rPr/>
      </w:pPr>
      <w:r>
        <w:rPr>
          <w:rStyle w:val="VerbatimChar"/>
        </w:rPr>
        <w:t>all-MiniLM-L6-v2</w:t>
      </w:r>
    </w:p>
    <w:p>
      <w:pPr>
        <w:pStyle w:val="FirstParagraph"/>
        <w:rPr/>
      </w:pPr>
      <w:r>
        <w:rPr/>
        <w:t>can be used.</w:t>
      </w:r>
    </w:p>
    <w:p>
      <w:pPr>
        <w:pStyle w:val="BodyText"/>
        <w:rPr/>
      </w:pPr>
      <w:r>
        <w:rPr/>
        <w:t>Embeddings should run locally on CPU.</w:t>
      </w:r>
    </w:p>
    <w:p>
      <w:pPr>
        <w:pStyle w:val="BodyText"/>
        <w:rPr/>
      </w:pPr>
      <w:r>
        <w:rPr/>
        <w:t>Use embeddings to represent:</w:t>
      </w:r>
    </w:p>
    <w:p>
      <w:pPr>
        <w:pStyle w:val="Compact"/>
        <w:numPr>
          <w:ilvl w:val="0"/>
          <w:numId w:val="54"/>
        </w:numPr>
        <w:rPr/>
      </w:pPr>
      <w:r>
        <w:rPr/>
        <w:t>Customer-support questions</w:t>
      </w:r>
    </w:p>
    <w:p>
      <w:pPr>
        <w:pStyle w:val="Compact"/>
        <w:numPr>
          <w:ilvl w:val="0"/>
          <w:numId w:val="55"/>
        </w:numPr>
        <w:rPr/>
      </w:pPr>
      <w:r>
        <w:rPr/>
        <w:t>Support tickets</w:t>
      </w:r>
    </w:p>
    <w:p>
      <w:pPr>
        <w:pStyle w:val="Compact"/>
        <w:numPr>
          <w:ilvl w:val="0"/>
          <w:numId w:val="56"/>
        </w:numPr>
        <w:rPr/>
      </w:pPr>
      <w:r>
        <w:rPr/>
        <w:t>Knowledge-base documents</w:t>
      </w:r>
    </w:p>
    <w:p>
      <w:pPr>
        <w:pStyle w:val="Compact"/>
        <w:numPr>
          <w:ilvl w:val="0"/>
          <w:numId w:val="0"/>
        </w:numPr>
        <w:ind w:hanging="0" w:left="720"/>
        <w:rPr/>
      </w:pPr>
      <w:r>
        <w:rPr/>
      </w:r>
    </w:p>
    <w:p>
      <w:pPr>
        <w:pStyle w:val="Heading1"/>
        <w:rPr/>
      </w:pPr>
      <w:r>
        <w:rPr/>
        <w:t>7. RAG and Local LLM</w:t>
      </w:r>
    </w:p>
    <w:p>
      <w:pPr>
        <w:pStyle w:val="Normal"/>
        <w:rPr/>
      </w:pPr>
      <w:r>
        <w:rPr/>
        <w:t>Created a local knowledge base covering billing, contracts, cancellation, retention, FAQs and business rules. Implemented FAISS retrieval and a local LLM pipeline for grounded responses.</w:t>
      </w:r>
    </w:p>
    <w:p>
      <w:pPr>
        <w:pStyle w:val="Normal"/>
        <w:rPr/>
      </w:pPr>
      <w:r>
        <w:rPr/>
        <w:t>Implemented a Retrieval-Augmented Generation pipeline that retrieves relevant knowledge-base documents using FAISS and provides the retrieved context to the local LLM for grounded responses.</w:t>
      </w:r>
    </w:p>
    <w:p>
      <w:pPr>
        <w:pStyle w:val="Normal"/>
        <w:rPr/>
      </w:pPr>
      <w:r>
        <w:rPr/>
      </w:r>
    </w:p>
    <w:p>
      <w:pPr>
        <w:pStyle w:val="Normal"/>
        <w:rPr/>
      </w:pPr>
      <w:r>
        <w:rPr/>
        <w:t xml:space="preserve">Integrated the locally running </w:t>
      </w:r>
      <w:r>
        <w:rPr>
          <w:rStyle w:val="SourceText"/>
        </w:rPr>
        <w:t>Qwen2.5-1.5B-Instruct</w:t>
      </w:r>
      <w:r>
        <w:rPr/>
        <w:t xml:space="preserve"> model to understand user questions, combine verified information, generate explanations, summarize customer information, and produce grounded responses.</w:t>
      </w:r>
    </w:p>
    <w:p>
      <w:pPr>
        <w:pStyle w:val="Normal"/>
        <w:rPr/>
      </w:pPr>
      <w:r>
        <w:rPr/>
        <w:t>Created and compared different prompting strategies including basic, context-based, structured, customer-intelligence, and evidence-grounded prompts.</w:t>
      </w:r>
    </w:p>
    <w:p>
      <w:pPr>
        <w:pStyle w:val="BodyText"/>
        <w:rPr/>
      </w:pPr>
      <w:r>
        <w:rPr/>
        <w:t>The LLM should be responsible for:</w:t>
      </w:r>
    </w:p>
    <w:p>
      <w:pPr>
        <w:pStyle w:val="Compact"/>
        <w:numPr>
          <w:ilvl w:val="0"/>
          <w:numId w:val="57"/>
        </w:numPr>
        <w:rPr/>
      </w:pPr>
      <w:r>
        <w:rPr/>
        <w:t>Understanding user questions</w:t>
      </w:r>
    </w:p>
    <w:p>
      <w:pPr>
        <w:pStyle w:val="Compact"/>
        <w:numPr>
          <w:ilvl w:val="0"/>
          <w:numId w:val="58"/>
        </w:numPr>
        <w:rPr/>
      </w:pPr>
      <w:r>
        <w:rPr/>
        <w:t>Combining verified information</w:t>
      </w:r>
    </w:p>
    <w:p>
      <w:pPr>
        <w:pStyle w:val="Compact"/>
        <w:numPr>
          <w:ilvl w:val="0"/>
          <w:numId w:val="59"/>
        </w:numPr>
        <w:rPr/>
      </w:pPr>
      <w:r>
        <w:rPr/>
        <w:t>Generating explanations</w:t>
      </w:r>
    </w:p>
    <w:p>
      <w:pPr>
        <w:pStyle w:val="Compact"/>
        <w:numPr>
          <w:ilvl w:val="0"/>
          <w:numId w:val="60"/>
        </w:numPr>
        <w:rPr/>
      </w:pPr>
      <w:r>
        <w:rPr/>
        <w:t>Summarizing customer information</w:t>
      </w:r>
    </w:p>
    <w:p>
      <w:pPr>
        <w:pStyle w:val="Compact"/>
        <w:numPr>
          <w:ilvl w:val="0"/>
          <w:numId w:val="61"/>
        </w:numPr>
        <w:rPr/>
      </w:pPr>
      <w:r>
        <w:rPr/>
        <w:t>Producing grounded responses</w:t>
      </w:r>
    </w:p>
    <w:p>
      <w:pPr>
        <w:pStyle w:val="FirstParagraph"/>
        <w:rPr/>
      </w:pPr>
      <w:r>
        <w:rPr/>
        <w:t xml:space="preserve">The LLM should </w:t>
      </w:r>
      <w:r>
        <w:rPr>
          <w:b/>
          <w:bCs/>
        </w:rPr>
        <w:t>not</w:t>
      </w:r>
      <w:r>
        <w:rPr/>
        <w:t xml:space="preserve"> calculate churn probability itself.</w:t>
      </w:r>
    </w:p>
    <w:p>
      <w:pPr>
        <w:pStyle w:val="FirstParagraph"/>
        <w:rPr/>
      </w:pPr>
      <w:r>
        <w:rPr/>
        <w:t>Create and compare simple prompt strategies.</w:t>
      </w:r>
    </w:p>
    <w:p>
      <w:pPr>
        <w:pStyle w:val="BodyText"/>
        <w:rPr/>
      </w:pPr>
      <w:r>
        <w:rPr/>
        <w:t>Examples:</w:t>
      </w:r>
    </w:p>
    <w:p>
      <w:pPr>
        <w:pStyle w:val="Heading3"/>
        <w:rPr/>
      </w:pPr>
      <w:bookmarkStart w:id="0" w:name="basic-instruction"/>
      <w:bookmarkEnd w:id="0"/>
      <w:r>
        <w:rPr/>
        <w:t>Basic instruction</w:t>
      </w:r>
    </w:p>
    <w:p>
      <w:pPr>
        <w:pStyle w:val="FirstParagraph"/>
        <w:rPr/>
      </w:pPr>
      <w:r>
        <w:rPr/>
        <w:t>Ask the model to answer the user’s question.</w:t>
      </w:r>
    </w:p>
    <w:p>
      <w:pPr>
        <w:pStyle w:val="Heading3"/>
        <w:rPr/>
      </w:pPr>
      <w:bookmarkStart w:id="1" w:name="basic-instruction"/>
      <w:bookmarkStart w:id="2" w:name="context-based-prompt"/>
      <w:bookmarkEnd w:id="1"/>
      <w:bookmarkEnd w:id="2"/>
      <w:r>
        <w:rPr/>
        <w:t>Context-based prompt</w:t>
      </w:r>
    </w:p>
    <w:p>
      <w:pPr>
        <w:pStyle w:val="FirstParagraph"/>
        <w:rPr/>
      </w:pPr>
      <w:r>
        <w:rPr/>
        <w:t>Provide retrieved documents as context.</w:t>
      </w:r>
    </w:p>
    <w:p>
      <w:pPr>
        <w:pStyle w:val="Heading3"/>
        <w:rPr/>
      </w:pPr>
      <w:bookmarkStart w:id="3" w:name="context-based-prompt"/>
      <w:bookmarkStart w:id="4" w:name="structured-prompt"/>
      <w:bookmarkEnd w:id="3"/>
      <w:bookmarkEnd w:id="4"/>
      <w:r>
        <w:rPr/>
        <w:t>Structured prompt</w:t>
      </w:r>
    </w:p>
    <w:p>
      <w:pPr>
        <w:pStyle w:val="FirstParagraph"/>
        <w:rPr/>
      </w:pPr>
      <w:r>
        <w:rPr/>
        <w:t>Provide:</w:t>
      </w:r>
    </w:p>
    <w:p>
      <w:pPr>
        <w:pStyle w:val="Compact"/>
        <w:numPr>
          <w:ilvl w:val="0"/>
          <w:numId w:val="62"/>
        </w:numPr>
        <w:rPr/>
      </w:pPr>
      <w:r>
        <w:rPr/>
        <w:t>Customer information</w:t>
      </w:r>
    </w:p>
    <w:p>
      <w:pPr>
        <w:pStyle w:val="Compact"/>
        <w:numPr>
          <w:ilvl w:val="0"/>
          <w:numId w:val="63"/>
        </w:numPr>
        <w:rPr/>
      </w:pPr>
      <w:r>
        <w:rPr/>
        <w:t>Churn probability</w:t>
      </w:r>
    </w:p>
    <w:p>
      <w:pPr>
        <w:pStyle w:val="Compact"/>
        <w:numPr>
          <w:ilvl w:val="0"/>
          <w:numId w:val="64"/>
        </w:numPr>
        <w:rPr/>
      </w:pPr>
      <w:r>
        <w:rPr/>
        <w:t>Important SHAP features</w:t>
      </w:r>
    </w:p>
    <w:p>
      <w:pPr>
        <w:pStyle w:val="Compact"/>
        <w:numPr>
          <w:ilvl w:val="0"/>
          <w:numId w:val="65"/>
        </w:numPr>
        <w:rPr/>
      </w:pPr>
      <w:r>
        <w:rPr/>
        <w:t>Retrieved knowledge</w:t>
      </w:r>
    </w:p>
    <w:p>
      <w:pPr>
        <w:pStyle w:val="Compact"/>
        <w:numPr>
          <w:ilvl w:val="0"/>
          <w:numId w:val="66"/>
        </w:numPr>
        <w:rPr/>
      </w:pPr>
      <w:r>
        <w:rPr/>
        <w:t>User question</w:t>
      </w:r>
    </w:p>
    <w:p>
      <w:pPr>
        <w:pStyle w:val="Heading3"/>
        <w:rPr/>
      </w:pPr>
      <w:bookmarkStart w:id="5" w:name="structured-prompt"/>
      <w:bookmarkEnd w:id="5"/>
      <w:r>
        <w:rPr/>
        <w:t>Evidence-grounded prompt</w:t>
      </w:r>
    </w:p>
    <w:p>
      <w:pPr>
        <w:pStyle w:val="FirstParagraph"/>
        <w:rPr/>
      </w:pPr>
      <w:r>
        <w:rPr/>
        <w:t>Require the model to base its answer only on the supplied information.</w:t>
      </w:r>
    </w:p>
    <w:p>
      <w:pPr>
        <w:pStyle w:val="BodyText"/>
        <w:rPr/>
      </w:pPr>
      <w:r>
        <w:rPr/>
        <w:t>Evaluate prompts for:</w:t>
      </w:r>
    </w:p>
    <w:p>
      <w:pPr>
        <w:pStyle w:val="Compact"/>
        <w:numPr>
          <w:ilvl w:val="0"/>
          <w:numId w:val="67"/>
        </w:numPr>
        <w:rPr/>
      </w:pPr>
      <w:r>
        <w:rPr/>
        <w:t>Correctness</w:t>
      </w:r>
    </w:p>
    <w:p>
      <w:pPr>
        <w:pStyle w:val="Compact"/>
        <w:numPr>
          <w:ilvl w:val="0"/>
          <w:numId w:val="68"/>
        </w:numPr>
        <w:rPr/>
      </w:pPr>
      <w:r>
        <w:rPr/>
        <w:t>Relevance</w:t>
      </w:r>
    </w:p>
    <w:p>
      <w:pPr>
        <w:pStyle w:val="Compact"/>
        <w:numPr>
          <w:ilvl w:val="0"/>
          <w:numId w:val="69"/>
        </w:numPr>
        <w:rPr/>
      </w:pPr>
      <w:r>
        <w:rPr/>
        <w:t>Consistency</w:t>
      </w:r>
    </w:p>
    <w:p>
      <w:pPr>
        <w:pStyle w:val="Compact"/>
        <w:numPr>
          <w:ilvl w:val="0"/>
          <w:numId w:val="70"/>
        </w:numPr>
        <w:rPr/>
      </w:pPr>
      <w:r>
        <w:rPr/>
        <w:t>Groundedness</w:t>
      </w:r>
    </w:p>
    <w:p>
      <w:pPr>
        <w:pStyle w:val="Compact"/>
        <w:numPr>
          <w:ilvl w:val="0"/>
          <w:numId w:val="71"/>
        </w:numPr>
        <w:rPr/>
      </w:pPr>
      <w:r>
        <w:rPr/>
        <w:t>Hallucination</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400800" cy="360045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0"/>
                    <a:stretch>
                      <a:fillRect/>
                    </a:stretch>
                  </pic:blipFill>
                  <pic:spPr bwMode="auto">
                    <a:xfrm>
                      <a:off x="0" y="0"/>
                      <a:ext cx="6400800" cy="3600450"/>
                    </a:xfrm>
                    <a:prstGeom prst="rect">
                      <a:avLst/>
                    </a:prstGeom>
                  </pic:spPr>
                </pic:pic>
              </a:graphicData>
            </a:graphic>
          </wp:anchor>
        </w:drawing>
      </w:r>
    </w:p>
    <w:p>
      <w:pPr>
        <w:pStyle w:val="Heading1"/>
        <w:rPr/>
      </w:pPr>
      <w:r>
        <w:rPr/>
        <w:t>8. Tool Calling and Agent Workflow</w:t>
      </w:r>
    </w:p>
    <w:p>
      <w:pPr>
        <w:pStyle w:val="Normal"/>
        <w:rPr/>
      </w:pPr>
      <w:r>
        <w:rPr/>
        <w:t>Implemented the following local tools:</w:t>
      </w:r>
    </w:p>
    <w:p>
      <w:pPr>
        <w:pStyle w:val="ListBullet"/>
        <w:numPr>
          <w:ilvl w:val="0"/>
          <w:numId w:val="1"/>
        </w:numPr>
        <w:rPr/>
      </w:pPr>
      <w:r>
        <w:rPr/>
        <w:t>get_customer_profile(customer_id)</w:t>
      </w:r>
    </w:p>
    <w:p>
      <w:pPr>
        <w:pStyle w:val="ListBullet"/>
        <w:numPr>
          <w:ilvl w:val="0"/>
          <w:numId w:val="1"/>
        </w:numPr>
        <w:rPr/>
      </w:pPr>
      <w:r>
        <w:rPr/>
        <w:t>predict_churn(customer_id)</w:t>
      </w:r>
    </w:p>
    <w:p>
      <w:pPr>
        <w:pStyle w:val="ListBullet"/>
        <w:numPr>
          <w:ilvl w:val="0"/>
          <w:numId w:val="1"/>
        </w:numPr>
        <w:rPr/>
      </w:pPr>
      <w:r>
        <w:rPr/>
        <w:t>get_shap_explanation(customer_id)</w:t>
      </w:r>
    </w:p>
    <w:p>
      <w:pPr>
        <w:pStyle w:val="ListBullet"/>
        <w:numPr>
          <w:ilvl w:val="0"/>
          <w:numId w:val="1"/>
        </w:numPr>
        <w:rPr/>
      </w:pPr>
      <w:r>
        <w:rPr/>
        <w:t>search_knowledge_base(query)</w:t>
      </w:r>
    </w:p>
    <w:p>
      <w:pPr>
        <w:pStyle w:val="Normal"/>
        <w:rPr/>
      </w:pPr>
      <w:r>
        <w:rPr/>
        <w:t>Implemented a lightweight single-agent workflow that selects required tools, collects verified results and generates the final response.</w:t>
      </w:r>
    </w:p>
    <w:p>
      <w:pPr>
        <w:pStyle w:val="Normal"/>
        <w:rPr/>
      </w:pPr>
      <w:r>
        <w:rPr/>
        <w:t>Integrated SQLite customer information, ML churn prediction, SHAP explanations, knowledge-base retrieval, and the local LLM into a single customer intelligence workflow.</w:t>
      </w:r>
    </w:p>
    <w:p>
      <w:pPr>
        <w:pStyle w:val="Normal"/>
        <w:rPr/>
      </w:pPr>
      <w:r>
        <w:rPr/>
        <w:t xml:space="preserve">Implemented the required tools </w:t>
      </w:r>
      <w:r>
        <w:rPr>
          <w:rStyle w:val="SourceText"/>
        </w:rPr>
        <w:t>get_customer_profile()</w:t>
      </w:r>
      <w:r>
        <w:rPr/>
        <w:t xml:space="preserve">, </w:t>
      </w:r>
      <w:r>
        <w:rPr>
          <w:rStyle w:val="SourceText"/>
        </w:rPr>
        <w:t>predict_churn()</w:t>
      </w:r>
      <w:r>
        <w:rPr/>
        <w:t xml:space="preserve">, </w:t>
      </w:r>
      <w:r>
        <w:rPr>
          <w:rStyle w:val="SourceText"/>
        </w:rPr>
        <w:t>get_shap_explanation()</w:t>
      </w:r>
      <w:r>
        <w:rPr/>
        <w:t xml:space="preserve">, and </w:t>
      </w:r>
      <w:r>
        <w:rPr>
          <w:rStyle w:val="SourceText"/>
        </w:rPr>
        <w:t>search_knowledge_base()</w:t>
      </w:r>
      <w:r>
        <w:rPr/>
        <w:t xml:space="preserve"> to provide verified information from the underlying systems.</w:t>
      </w:r>
    </w:p>
    <w:p>
      <w:pPr>
        <w:pStyle w:val="Normal"/>
        <w:rPr/>
      </w:pPr>
      <w:r>
        <w:rPr/>
        <w:t>Implemented a lightweight single-agent workflow that understands the user question, determines the required information, calls the appropriate tools, collects verified results, and generates the final response using the local LLM.</w:t>
      </w:r>
    </w:p>
    <w:p>
      <w:pPr>
        <w:pStyle w:val="SourceCode"/>
        <w:rPr>
          <w:rStyle w:val="VerbatimChar"/>
        </w:rPr>
      </w:pPr>
      <w:r>
        <w:rPr/>
      </w:r>
    </w:p>
    <w:p>
      <w:pPr>
        <w:pStyle w:val="SourceCode"/>
        <w:rPr/>
      </w:pPr>
      <w:r>
        <w:rPr>
          <w:rStyle w:val="VerbatimChar"/>
        </w:rPr>
        <w:t>Customer ID / User Question</w:t>
      </w:r>
      <w:r>
        <w:rPr/>
        <w:br/>
      </w:r>
      <w:r>
        <w:rPr>
          <w:rStyle w:val="VerbatimChar"/>
        </w:rPr>
        <w:t xml:space="preserve">          ↓</w:t>
      </w:r>
      <w:r>
        <w:rPr/>
        <w:br/>
      </w:r>
      <w:r>
        <w:rPr>
          <w:rStyle w:val="VerbatimChar"/>
        </w:rPr>
        <w:t xml:space="preserve">      SQLite</w:t>
      </w:r>
      <w:r>
        <w:rPr/>
        <w:br/>
      </w:r>
      <w:r>
        <w:rPr>
          <w:rStyle w:val="VerbatimChar"/>
        </w:rPr>
        <w:t xml:space="preserve">          ↓</w:t>
      </w:r>
      <w:r>
        <w:rPr/>
        <w:br/>
      </w:r>
      <w:r>
        <w:rPr>
          <w:rStyle w:val="VerbatimChar"/>
        </w:rPr>
        <w:t xml:space="preserve"> Customer Profile</w:t>
      </w:r>
      <w:r>
        <w:rPr/>
        <w:br/>
      </w:r>
      <w:r>
        <w:rPr>
          <w:rStyle w:val="VerbatimChar"/>
        </w:rPr>
        <w:t xml:space="preserve">          ↓</w:t>
      </w:r>
      <w:r>
        <w:rPr/>
        <w:br/>
      </w:r>
      <w:r>
        <w:rPr>
          <w:rStyle w:val="VerbatimChar"/>
        </w:rPr>
        <w:t xml:space="preserve">   ML Churn Model</w:t>
      </w:r>
      <w:r>
        <w:rPr/>
        <w:br/>
      </w:r>
      <w:r>
        <w:rPr>
          <w:rStyle w:val="VerbatimChar"/>
        </w:rPr>
        <w:t xml:space="preserve">          ↓</w:t>
      </w:r>
      <w:r>
        <w:rPr/>
        <w:br/>
      </w:r>
      <w:r>
        <w:rPr>
          <w:rStyle w:val="VerbatimChar"/>
        </w:rPr>
        <w:t xml:space="preserve">   Churn Probability</w:t>
      </w:r>
      <w:r>
        <w:rPr/>
        <w:br/>
      </w:r>
      <w:r>
        <w:rPr>
          <w:rStyle w:val="VerbatimChar"/>
        </w:rPr>
        <w:t xml:space="preserve">          ↓</w:t>
      </w:r>
      <w:r>
        <w:rPr/>
        <w:br/>
      </w:r>
      <w:r>
        <w:rPr>
          <w:rStyle w:val="VerbatimChar"/>
        </w:rPr>
        <w:t xml:space="preserve">       SHAP</w:t>
      </w:r>
      <w:r>
        <w:rPr/>
        <w:br/>
      </w:r>
      <w:r>
        <w:rPr>
          <w:rStyle w:val="VerbatimChar"/>
        </w:rPr>
        <w:t xml:space="preserve">          ↓</w:t>
      </w:r>
      <w:r>
        <w:rPr/>
        <w:br/>
      </w:r>
      <w:r>
        <w:rPr>
          <w:rStyle w:val="VerbatimChar"/>
        </w:rPr>
        <w:t xml:space="preserve"> Important Risk Factors</w:t>
      </w:r>
      <w:r>
        <w:rPr/>
        <w:br/>
      </w:r>
      <w:r>
        <w:rPr>
          <w:rStyle w:val="VerbatimChar"/>
        </w:rPr>
        <w:t xml:space="preserve">          ↓</w:t>
      </w:r>
      <w:r>
        <w:rPr/>
        <w:br/>
      </w:r>
      <w:r>
        <w:rPr>
          <w:rStyle w:val="VerbatimChar"/>
        </w:rPr>
        <w:t xml:space="preserve">      RAG Search</w:t>
      </w:r>
      <w:r>
        <w:rPr/>
        <w:br/>
      </w:r>
      <w:r>
        <w:rPr>
          <w:rStyle w:val="VerbatimChar"/>
        </w:rPr>
        <w:t xml:space="preserve">          ↓</w:t>
      </w:r>
      <w:r>
        <w:rPr/>
        <w:br/>
      </w:r>
      <w:r>
        <w:rPr>
          <w:rStyle w:val="VerbatimChar"/>
        </w:rPr>
        <w:t>Relevant Business Knowledge</w:t>
      </w:r>
      <w:r>
        <w:rPr/>
        <w:br/>
      </w:r>
      <w:r>
        <w:rPr>
          <w:rStyle w:val="VerbatimChar"/>
        </w:rPr>
        <w:t xml:space="preserve">          ↓</w:t>
      </w:r>
      <w:r>
        <w:rPr/>
        <w:br/>
      </w:r>
      <w:r>
        <w:rPr>
          <w:rStyle w:val="VerbatimChar"/>
        </w:rPr>
        <w:t xml:space="preserve">      Local LLM</w:t>
      </w:r>
      <w:r>
        <w:rPr/>
        <w:br/>
      </w:r>
      <w:r>
        <w:rPr>
          <w:rStyle w:val="VerbatimChar"/>
        </w:rPr>
        <w:t xml:space="preserve">          ↓</w:t>
      </w:r>
      <w:r>
        <w:rPr/>
        <w:br/>
      </w:r>
      <w:r>
        <w:rPr>
          <w:rStyle w:val="VerbatimChar"/>
        </w:rPr>
        <w:t>Final Customer Explanation</w:t>
      </w:r>
    </w:p>
    <w:p>
      <w:pPr>
        <w:pStyle w:val="FirstParagraph"/>
        <w:rPr/>
      </w:pPr>
      <w:r>
        <w:rPr/>
        <w:t>The LLM combines verified information from SQL, ML, SHAP and RAG.</w:t>
      </w:r>
    </w:p>
    <w:p>
      <w:pPr>
        <w:pStyle w:val="BodyText"/>
        <w:rPr/>
      </w:pPr>
      <w:r>
        <w:rPr/>
        <w:t>It should not invent customer information or calculate model predictions.</w:t>
      </w:r>
    </w:p>
    <w:p>
      <w:pPr>
        <w:pStyle w:val="Heading1"/>
        <w:rPr/>
      </w:pPr>
      <w:r>
        <w:rPr/>
        <w:t>9. GenAI Evaluation</w:t>
      </w:r>
    </w:p>
    <w:p>
      <w:pPr>
        <w:pStyle w:val="Normal"/>
        <w:rPr/>
      </w:pPr>
      <w:r>
        <w:rPr/>
        <w:t>Completed evaluation using representative customer and knowledge-base questions, covering correctness, relevance, groundedness, evidence usage, consistency, hallucination and response time.</w:t>
      </w:r>
    </w:p>
    <w:p>
      <w:pPr>
        <w:pStyle w:val="BodyText"/>
        <w:rPr/>
      </w:pPr>
      <w:r>
        <w:rPr/>
        <w:t xml:space="preserve">Questions </w:t>
      </w:r>
      <w:r>
        <w:rPr/>
        <w:t>would be</w:t>
      </w:r>
      <w:r>
        <w:rPr/>
        <w:t xml:space="preserve"> cover</w:t>
      </w:r>
      <w:r>
        <w:rPr/>
        <w:t>ed</w:t>
      </w:r>
      <w:r>
        <w:rPr/>
        <w:t>:</w:t>
      </w:r>
    </w:p>
    <w:p>
      <w:pPr>
        <w:pStyle w:val="Compact"/>
        <w:numPr>
          <w:ilvl w:val="0"/>
          <w:numId w:val="72"/>
        </w:numPr>
        <w:rPr/>
      </w:pPr>
      <w:r>
        <w:rPr/>
        <w:t>Customer lookup</w:t>
      </w:r>
    </w:p>
    <w:p>
      <w:pPr>
        <w:pStyle w:val="Compact"/>
        <w:numPr>
          <w:ilvl w:val="0"/>
          <w:numId w:val="73"/>
        </w:numPr>
        <w:rPr/>
      </w:pPr>
      <w:r>
        <w:rPr/>
        <w:t>Churn explanation</w:t>
      </w:r>
    </w:p>
    <w:p>
      <w:pPr>
        <w:pStyle w:val="Compact"/>
        <w:numPr>
          <w:ilvl w:val="0"/>
          <w:numId w:val="74"/>
        </w:numPr>
        <w:rPr/>
      </w:pPr>
      <w:r>
        <w:rPr/>
        <w:t>Risk-factor explanation</w:t>
      </w:r>
    </w:p>
    <w:p>
      <w:pPr>
        <w:pStyle w:val="Compact"/>
        <w:numPr>
          <w:ilvl w:val="0"/>
          <w:numId w:val="75"/>
        </w:numPr>
        <w:rPr/>
      </w:pPr>
      <w:r>
        <w:rPr/>
        <w:t>Policy questions</w:t>
      </w:r>
    </w:p>
    <w:p>
      <w:pPr>
        <w:pStyle w:val="Compact"/>
        <w:numPr>
          <w:ilvl w:val="0"/>
          <w:numId w:val="76"/>
        </w:numPr>
        <w:rPr/>
      </w:pPr>
      <w:r>
        <w:rPr/>
        <w:t>Knowledge-base questions</w:t>
      </w:r>
    </w:p>
    <w:p>
      <w:pPr>
        <w:pStyle w:val="Compact"/>
        <w:numPr>
          <w:ilvl w:val="0"/>
          <w:numId w:val="77"/>
        </w:numPr>
        <w:rPr/>
      </w:pPr>
      <w:r>
        <w:rPr/>
        <w:t>Combined customer + policy questions</w:t>
      </w:r>
    </w:p>
    <w:p>
      <w:pPr>
        <w:pStyle w:val="Heading1"/>
        <w:rPr/>
      </w:pPr>
      <w:r>
        <w:rPr/>
        <w:t>10. Resource Benchmarking</w:t>
      </w:r>
    </w:p>
    <w:p>
      <w:pPr>
        <w:pStyle w:val="Normal"/>
        <w:rPr/>
      </w:pPr>
      <w:r>
        <w:rPr/>
        <w:t>Completed benchmarking for:</w:t>
      </w:r>
    </w:p>
    <w:p>
      <w:pPr>
        <w:pStyle w:val="ListBullet"/>
        <w:numPr>
          <w:ilvl w:val="0"/>
          <w:numId w:val="1"/>
        </w:numPr>
        <w:rPr/>
      </w:pPr>
      <w:r>
        <w:rPr/>
        <w:t>Model loading</w:t>
      </w:r>
    </w:p>
    <w:p>
      <w:pPr>
        <w:pStyle w:val="ListBullet"/>
        <w:numPr>
          <w:ilvl w:val="0"/>
          <w:numId w:val="1"/>
        </w:numPr>
        <w:rPr/>
      </w:pPr>
      <w:r>
        <w:rPr/>
        <w:t>ML inference</w:t>
      </w:r>
    </w:p>
    <w:p>
      <w:pPr>
        <w:pStyle w:val="ListBullet"/>
        <w:numPr>
          <w:ilvl w:val="0"/>
          <w:numId w:val="1"/>
        </w:numPr>
        <w:rPr/>
      </w:pPr>
      <w:r>
        <w:rPr/>
        <w:t>Embedding generation</w:t>
      </w:r>
    </w:p>
    <w:p>
      <w:pPr>
        <w:pStyle w:val="ListBullet"/>
        <w:numPr>
          <w:ilvl w:val="0"/>
          <w:numId w:val="1"/>
        </w:numPr>
        <w:rPr/>
      </w:pPr>
      <w:r>
        <w:rPr/>
        <w:t>FAISS search</w:t>
      </w:r>
    </w:p>
    <w:p>
      <w:pPr>
        <w:pStyle w:val="ListBullet"/>
        <w:numPr>
          <w:ilvl w:val="0"/>
          <w:numId w:val="1"/>
        </w:numPr>
        <w:rPr/>
      </w:pPr>
      <w:r>
        <w:rPr/>
        <w:t>RAG retrieval</w:t>
      </w:r>
    </w:p>
    <w:p>
      <w:pPr>
        <w:pStyle w:val="ListBullet"/>
        <w:numPr>
          <w:ilvl w:val="0"/>
          <w:numId w:val="1"/>
        </w:numPr>
        <w:rPr/>
      </w:pPr>
      <w:r>
        <w:rPr/>
        <w:t>LLM inference</w:t>
      </w:r>
    </w:p>
    <w:p>
      <w:pPr>
        <w:pStyle w:val="ListBullet"/>
        <w:numPr>
          <w:ilvl w:val="0"/>
          <w:numId w:val="1"/>
        </w:numPr>
        <w:rPr/>
      </w:pPr>
      <w:r>
        <w:rPr/>
        <w:t>End-to-end response</w:t>
      </w:r>
    </w:p>
    <w:p>
      <w:pPr>
        <w:pStyle w:val="ListBullet"/>
        <w:numPr>
          <w:ilvl w:val="0"/>
          <w:numId w:val="1"/>
        </w:numPr>
        <w:rPr/>
      </w:pPr>
      <w:r>
        <w:rPr/>
        <w:t>Approximate RAM usage</w:t>
      </w:r>
    </w:p>
    <w:p>
      <w:pPr>
        <w:pStyle w:val="Heading1"/>
        <w:rPr/>
      </w:pPr>
      <w:r>
        <w:rPr/>
        <w:t>11. Flask Application</w:t>
      </w:r>
    </w:p>
    <w:p>
      <w:pPr>
        <w:pStyle w:val="Normal"/>
        <w:rPr/>
      </w:pPr>
      <w:r>
        <w:rPr/>
        <w:t>The final Flask application includes:</w:t>
      </w:r>
    </w:p>
    <w:p>
      <w:pPr>
        <w:pStyle w:val="ListBullet"/>
        <w:numPr>
          <w:ilvl w:val="0"/>
          <w:numId w:val="1"/>
        </w:numPr>
        <w:rPr/>
      </w:pPr>
      <w:r>
        <w:rPr/>
        <w:t>Dashboard: customer and churn analytics</w:t>
      </w:r>
    </w:p>
    <w:p>
      <w:pPr>
        <w:pStyle w:val="ListBullet"/>
        <w:numPr>
          <w:ilvl w:val="0"/>
          <w:numId w:val="1"/>
        </w:numPr>
        <w:rPr/>
      </w:pPr>
      <w:r>
        <w:rPr/>
        <w:t>Customer Profile: customer information, services, contract, tenure and charges</w:t>
      </w:r>
    </w:p>
    <w:p>
      <w:pPr>
        <w:pStyle w:val="ListBullet"/>
        <w:numPr>
          <w:ilvl w:val="0"/>
          <w:numId w:val="1"/>
        </w:numPr>
        <w:rPr/>
      </w:pPr>
      <w:r>
        <w:rPr/>
        <w:t>SHAP Explainable AI: churn probability and important risk factors</w:t>
      </w:r>
    </w:p>
    <w:p>
      <w:pPr>
        <w:pStyle w:val="ListBullet"/>
        <w:numPr>
          <w:ilvl w:val="0"/>
          <w:numId w:val="1"/>
        </w:numPr>
        <w:rPr/>
      </w:pPr>
      <w:r>
        <w:rPr/>
        <w:t>Ask AI: natural-language customer intelligence assistant</w:t>
      </w:r>
    </w:p>
    <w:p>
      <w:pPr>
        <w:pStyle w:val="Normal"/>
        <w:rPr/>
      </w:pPr>
      <w:r>
        <w:rPr/>
        <w:t>The application integrates the SQL, ML, SHAP, RAG and LLM components developed during the project.</w:t>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400800" cy="360045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1"/>
                    <a:stretch>
                      <a:fillRect/>
                    </a:stretch>
                  </pic:blipFill>
                  <pic:spPr bwMode="auto">
                    <a:xfrm>
                      <a:off x="0" y="0"/>
                      <a:ext cx="6400800" cy="3600450"/>
                    </a:xfrm>
                    <a:prstGeom prst="rect">
                      <a:avLst/>
                    </a:prstGeom>
                  </pic:spPr>
                </pic:pic>
              </a:graphicData>
            </a:graphic>
          </wp:anchor>
        </w:drawing>
      </w:r>
    </w:p>
    <w:p>
      <w:pPr>
        <w:pStyle w:val="Heading1"/>
        <w:rPr/>
      </w:pPr>
      <w:r>
        <w:rPr/>
      </w:r>
    </w:p>
    <w:p>
      <w:pPr>
        <w:pStyle w:val="Heading1"/>
        <w:rPr/>
      </w:pPr>
      <w:r>
        <w:rPr/>
        <w:t xml:space="preserve">12. </w:t>
      </w:r>
      <w:r>
        <w:rPr/>
        <w:t>Conclusion</w:t>
      </w:r>
    </w:p>
    <w:p>
      <w:pPr>
        <w:pStyle w:val="Normal"/>
        <w:rPr>
          <w:b/>
          <w:sz w:val="26"/>
        </w:rPr>
      </w:pPr>
      <w:r>
        <w:rPr/>
      </w:r>
    </w:p>
    <w:p>
      <w:pPr>
        <w:pStyle w:val="Normal"/>
        <w:widowControl/>
        <w:bidi w:val="0"/>
        <w:spacing w:lineRule="auto" w:line="276" w:before="0" w:after="200"/>
        <w:jc w:val="left"/>
        <w:rPr/>
      </w:pPr>
      <w:r>
        <w:rPr/>
        <w:t>All major development stages, AI components, evaluation, benchmarking and Flask integration have been completed. The project is ready for GitHub submission, documentation review and assessment demonstration.</w:t>
      </w:r>
    </w:p>
    <w:sectPr>
      <w:footerReference w:type="even" r:id="rId12"/>
      <w:footerReference w:type="default" r:id="rId13"/>
      <w:footerReference w:type="first" r:id="rId14"/>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nsolas">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system-ui">
    <w:altName w:val="apple-system"/>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
    <w:lvlOverride w:ilvl="0">
      <w:lvl w:ilvl="0">
        <w:start w:val="1"/>
        <w:numFmt w:val="bullet"/>
        <w:lvlText w:val=""/>
        <w:lvlJc w:val="left"/>
        <w:pPr>
          <w:tabs>
            <w:tab w:val="num" w:pos="1080"/>
          </w:tabs>
          <w:ind w:left="1080" w:hanging="360"/>
        </w:pPr>
        <w:rPr>
          <w:rFonts w:ascii="Symbol" w:hAnsi="Symbol" w:cs="Symbol" w:hint="default"/>
        </w:rPr>
      </w:lvl>
    </w:lvlOverride>
  </w:num>
  <w:num w:numId="19">
    <w:abstractNumId w:val="1"/>
    <w:lvlOverride w:ilvl="0">
      <w:lvl w:ilvl="0">
        <w:start w:val="1"/>
        <w:numFmt w:val="bullet"/>
        <w:lvlText w:val=""/>
        <w:lvlJc w:val="left"/>
        <w:pPr>
          <w:tabs>
            <w:tab w:val="num" w:pos="1080"/>
          </w:tabs>
          <w:ind w:left="1080" w:hanging="360"/>
        </w:pPr>
        <w:rPr>
          <w:rFonts w:ascii="Symbol" w:hAnsi="Symbol" w:cs="Symbol" w:hint="default"/>
        </w:rPr>
      </w:lvl>
    </w:lvlOverride>
  </w:num>
  <w:num w:numId="20">
    <w:abstractNumId w:val="1"/>
    <w:lvlOverride w:ilvl="0">
      <w:lvl w:ilvl="0">
        <w:start w:val="1"/>
        <w:numFmt w:val="bullet"/>
        <w:lvlText w:val=""/>
        <w:lvlJc w:val="left"/>
        <w:pPr>
          <w:tabs>
            <w:tab w:val="num" w:pos="1080"/>
          </w:tabs>
          <w:ind w:left="1080" w:hanging="360"/>
        </w:pPr>
        <w:rPr>
          <w:rFonts w:ascii="Symbol" w:hAnsi="Symbol" w:cs="Symbol" w:hint="default"/>
        </w:rPr>
      </w:lvl>
    </w:lvlOverride>
  </w:num>
  <w:num w:numId="21">
    <w:abstractNumId w:val="1"/>
    <w:lvlOverride w:ilvl="0">
      <w:lvl w:ilvl="0">
        <w:start w:val="1"/>
        <w:numFmt w:val="bullet"/>
        <w:lvlText w:val=""/>
        <w:lvlJc w:val="left"/>
        <w:pPr>
          <w:tabs>
            <w:tab w:val="num" w:pos="1080"/>
          </w:tabs>
          <w:ind w:left="1080" w:hanging="360"/>
        </w:pPr>
        <w:rPr>
          <w:rFonts w:ascii="Symbol" w:hAnsi="Symbol" w:cs="Symbol" w:hint="default"/>
        </w:rPr>
      </w:lvl>
    </w:lvlOverride>
  </w:num>
  <w:num w:numId="22">
    <w:abstractNumId w:val="1"/>
    <w:lvlOverride w:ilvl="0">
      <w:lvl w:ilvl="0">
        <w:start w:val="1"/>
        <w:numFmt w:val="bullet"/>
        <w:lvlText w:val=""/>
        <w:lvlJc w:val="left"/>
        <w:pPr>
          <w:tabs>
            <w:tab w:val="num" w:pos="1080"/>
          </w:tabs>
          <w:ind w:left="1080" w:hanging="360"/>
        </w:pPr>
        <w:rPr>
          <w:rFonts w:ascii="Symbol" w:hAnsi="Symbol" w:cs="Symbol" w:hint="default"/>
        </w:rPr>
      </w:lvl>
    </w:lvlOverride>
  </w:num>
  <w:num w:numId="23">
    <w:abstractNumId w:val="1"/>
    <w:lvlOverride w:ilvl="0">
      <w:lvl w:ilvl="0">
        <w:start w:val="1"/>
        <w:numFmt w:val="bullet"/>
        <w:lvlText w:val=""/>
        <w:lvlJc w:val="left"/>
        <w:pPr>
          <w:tabs>
            <w:tab w:val="num" w:pos="1080"/>
          </w:tabs>
          <w:ind w:left="1080" w:hanging="360"/>
        </w:pPr>
        <w:rPr>
          <w:rFonts w:ascii="Symbol" w:hAnsi="Symbol" w:cs="Symbol" w:hint="default"/>
        </w:rPr>
      </w:lvl>
    </w:lvlOverride>
  </w:num>
  <w:num w:numId="24">
    <w:abstractNumId w:val="1"/>
    <w:lvlOverride w:ilvl="0">
      <w:lvl w:ilvl="0">
        <w:start w:val="1"/>
        <w:numFmt w:val="bullet"/>
        <w:lvlText w:val=""/>
        <w:lvlJc w:val="left"/>
        <w:pPr>
          <w:tabs>
            <w:tab w:val="num" w:pos="1080"/>
          </w:tabs>
          <w:ind w:left="1080" w:hanging="360"/>
        </w:pPr>
        <w:rPr>
          <w:rFonts w:ascii="Symbol" w:hAnsi="Symbol" w:cs="Symbol" w:hint="default"/>
        </w:rPr>
      </w:lvl>
    </w:lvlOverride>
  </w:num>
  <w:num w:numId="25">
    <w:abstractNumId w:val="1"/>
    <w:lvlOverride w:ilvl="0">
      <w:lvl w:ilvl="0">
        <w:start w:val="1"/>
        <w:numFmt w:val="bullet"/>
        <w:lvlText w:val=""/>
        <w:lvlJc w:val="left"/>
        <w:pPr>
          <w:tabs>
            <w:tab w:val="num" w:pos="1080"/>
          </w:tabs>
          <w:ind w:left="1080" w:hanging="360"/>
        </w:pPr>
        <w:rPr>
          <w:rFonts w:ascii="Symbol" w:hAnsi="Symbol" w:cs="Symbol" w:hint="default"/>
        </w:rPr>
      </w:lvl>
    </w:lvlOverride>
  </w:num>
  <w:num w:numId="26">
    <w:abstractNumId w:val="1"/>
    <w:lvlOverride w:ilvl="0">
      <w:lvl w:ilvl="0">
        <w:start w:val="1"/>
        <w:numFmt w:val="bullet"/>
        <w:lvlText w:val=""/>
        <w:lvlJc w:val="left"/>
        <w:pPr>
          <w:tabs>
            <w:tab w:val="num" w:pos="1440"/>
          </w:tabs>
          <w:ind w:left="1440" w:hanging="360"/>
        </w:pPr>
        <w:rPr>
          <w:rFonts w:ascii="Symbol" w:hAnsi="Symbol" w:cs="Symbol" w:hint="default"/>
        </w:rPr>
      </w:lvl>
    </w:lvlOverride>
  </w:num>
  <w:num w:numId="27">
    <w:abstractNumId w:val="1"/>
    <w:lvlOverride w:ilvl="0">
      <w:lvl w:ilvl="0">
        <w:start w:val="1"/>
        <w:numFmt w:val="bullet"/>
        <w:lvlText w:val=""/>
        <w:lvlJc w:val="left"/>
        <w:pPr>
          <w:tabs>
            <w:tab w:val="num" w:pos="1440"/>
          </w:tabs>
          <w:ind w:left="1440" w:hanging="360"/>
        </w:pPr>
        <w:rPr>
          <w:rFonts w:ascii="Symbol" w:hAnsi="Symbol" w:cs="Symbol" w:hint="default"/>
        </w:rPr>
      </w:lvl>
    </w:lvlOverride>
  </w:num>
  <w:num w:numId="28">
    <w:abstractNumId w:val="1"/>
    <w:lvlOverride w:ilvl="0">
      <w:lvl w:ilvl="0">
        <w:start w:val="1"/>
        <w:numFmt w:val="bullet"/>
        <w:lvlText w:val=""/>
        <w:lvlJc w:val="left"/>
        <w:pPr>
          <w:tabs>
            <w:tab w:val="num" w:pos="1440"/>
          </w:tabs>
          <w:ind w:left="1440" w:hanging="360"/>
        </w:pPr>
        <w:rPr>
          <w:rFonts w:ascii="Symbol" w:hAnsi="Symbol" w:cs="Symbol" w:hint="default"/>
        </w:rPr>
      </w:lvl>
    </w:lvlOverride>
  </w:num>
  <w:num w:numId="29">
    <w:abstractNumId w:val="1"/>
    <w:lvlOverride w:ilvl="0">
      <w:lvl w:ilvl="0">
        <w:start w:val="1"/>
        <w:numFmt w:val="bullet"/>
        <w:lvlText w:val=""/>
        <w:lvlJc w:val="left"/>
        <w:pPr>
          <w:tabs>
            <w:tab w:val="num" w:pos="1440"/>
          </w:tabs>
          <w:ind w:left="1440" w:hanging="360"/>
        </w:pPr>
        <w:rPr>
          <w:rFonts w:ascii="Symbol" w:hAnsi="Symbol" w:cs="Symbol" w:hint="default"/>
        </w:rPr>
      </w:lvl>
    </w:lvlOverride>
  </w:num>
  <w:num w:numId="30">
    <w:abstractNumId w:val="1"/>
    <w:lvlOverride w:ilvl="0">
      <w:lvl w:ilvl="0">
        <w:start w:val="1"/>
        <w:numFmt w:val="bullet"/>
        <w:lvlText w:val=""/>
        <w:lvlJc w:val="left"/>
        <w:pPr>
          <w:tabs>
            <w:tab w:val="num" w:pos="1440"/>
          </w:tabs>
          <w:ind w:left="1440" w:hanging="360"/>
        </w:pPr>
        <w:rPr>
          <w:rFonts w:ascii="Symbol" w:hAnsi="Symbol" w:cs="Symbol" w:hint="default"/>
        </w:rPr>
      </w:lvl>
    </w:lvlOverride>
  </w:num>
  <w:num w:numId="31">
    <w:abstractNumId w:val="1"/>
    <w:lvlOverride w:ilvl="0">
      <w:lvl w:ilvl="0">
        <w:start w:val="1"/>
        <w:numFmt w:val="bullet"/>
        <w:lvlText w:val=""/>
        <w:lvlJc w:val="left"/>
        <w:pPr>
          <w:tabs>
            <w:tab w:val="num" w:pos="1440"/>
          </w:tabs>
          <w:ind w:left="1440" w:hanging="360"/>
        </w:pPr>
        <w:rPr>
          <w:rFonts w:ascii="Symbol" w:hAnsi="Symbol" w:cs="Symbol" w:hint="default"/>
        </w:rPr>
      </w:lvl>
    </w:lvlOverride>
  </w:num>
  <w:num w:numId="32">
    <w:abstractNumId w:val="1"/>
    <w:lvlOverride w:ilvl="0">
      <w:lvl w:ilvl="0">
        <w:start w:val="1"/>
        <w:numFmt w:val="bullet"/>
        <w:lvlText w:val=""/>
        <w:lvlJc w:val="left"/>
        <w:pPr>
          <w:tabs>
            <w:tab w:val="num" w:pos="1440"/>
          </w:tabs>
          <w:ind w:left="1440" w:hanging="360"/>
        </w:pPr>
        <w:rPr>
          <w:rFonts w:ascii="Symbol" w:hAnsi="Symbol" w:cs="Symbol" w:hint="default"/>
        </w:rPr>
      </w:lvl>
    </w:lvlOverride>
  </w:num>
  <w:num w:numId="33">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34">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35">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36">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37">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38">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39">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0">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1">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2">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3">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4">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5">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6">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7">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8">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49">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0">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1">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2">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3">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4">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5">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6">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7">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8">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59">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0">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1">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2">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3">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4">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5">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6">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7">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8">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69">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70">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71">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72">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73">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74">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75">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76">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 w:numId="77">
    <w:abstractNumId w:val="1"/>
    <w:lvlOverride w:ilvl="0">
      <w:lvl w:ilvl="0">
        <w:numFmt w:val="bullet"/>
        <w:lvlText w:val=""/>
        <w:lvlJc w:val="left"/>
        <w:pPr>
          <w:tabs>
            <w:tab w:val="num" w:pos="0"/>
          </w:tabs>
          <w:ind w:left="720" w:hanging="360"/>
        </w:pPr>
        <w:rPr>
          <w:rFonts w:ascii="Symbol" w:hAnsi="Symbol" w:cs="Symbol" w:hint="default"/>
        </w:rPr>
      </w:lvl>
    </w:lvlOverride>
    <w:lvlOverride w:ilvl="0">
      <w:startOverride w:val="0"/>
    </w:lvlOverride>
    <w:lvlOverride w:ilvl="1">
      <w:lvl w:ilvl="1">
        <w:start w:val="0"/>
        <w:numFmt w:val="bullet"/>
        <w:lvlText w:val="o"/>
        <w:lvlJc w:val="left"/>
        <w:pPr>
          <w:tabs>
            <w:tab w:val="num" w:pos="0"/>
          </w:tabs>
          <w:ind w:left="1440" w:hanging="360"/>
        </w:pPr>
        <w:rPr>
          <w:rFonts w:ascii="Courier New" w:hAnsi="Courier New" w:cs="Courier New" w:hint="default"/>
        </w:rPr>
      </w:lvl>
    </w:lvlOverride>
    <w:lvlOverride w:ilvl="1">
      <w:startOverride w:val="0"/>
    </w:lvlOverride>
    <w:lvlOverride w:ilvl="2">
      <w:lvl w:ilvl="2">
        <w:start w:val="0"/>
        <w:numFmt w:val="bullet"/>
        <w:lvlText w:val=""/>
        <w:lvlJc w:val="left"/>
        <w:pPr>
          <w:tabs>
            <w:tab w:val="num" w:pos="0"/>
          </w:tabs>
          <w:ind w:left="2160" w:hanging="360"/>
        </w:pPr>
        <w:rPr>
          <w:rFonts w:ascii="Wingdings" w:hAnsi="Wingdings" w:cs="Wingdings" w:hint="default"/>
        </w:rPr>
      </w:lvl>
    </w:lvlOverride>
    <w:lvlOverride w:ilvl="2">
      <w:startOverride w:val="0"/>
    </w:lvlOverride>
    <w:lvlOverride w:ilvl="3">
      <w:lvl w:ilvl="3">
        <w:start w:val="0"/>
        <w:numFmt w:val="bullet"/>
        <w:lvlText w:val=""/>
        <w:lvlJc w:val="left"/>
        <w:pPr>
          <w:tabs>
            <w:tab w:val="num" w:pos="0"/>
          </w:tabs>
          <w:ind w:left="2880" w:hanging="360"/>
        </w:pPr>
        <w:rPr>
          <w:rFonts w:ascii="Symbol" w:hAnsi="Symbol" w:cs="Symbol" w:hint="default"/>
        </w:rPr>
      </w:lvl>
    </w:lvlOverride>
    <w:lvlOverride w:ilvl="3">
      <w:startOverride w:val="0"/>
    </w:lvlOverride>
    <w:lvlOverride w:ilvl="4">
      <w:lvl w:ilvl="4">
        <w:start w:val="0"/>
        <w:numFmt w:val="bullet"/>
        <w:lvlText w:val="o"/>
        <w:lvlJc w:val="left"/>
        <w:pPr>
          <w:tabs>
            <w:tab w:val="num" w:pos="0"/>
          </w:tabs>
          <w:ind w:left="3600" w:hanging="360"/>
        </w:pPr>
        <w:rPr>
          <w:rFonts w:ascii="Courier New" w:hAnsi="Courier New" w:cs="Courier New" w:hint="default"/>
        </w:rPr>
      </w:lvl>
    </w:lvlOverride>
    <w:lvlOverride w:ilvl="4">
      <w:startOverride w:val="0"/>
    </w:lvlOverride>
    <w:lvlOverride w:ilvl="5">
      <w:lvl w:ilvl="5">
        <w:start w:val="0"/>
        <w:numFmt w:val="bullet"/>
        <w:lvlText w:val=""/>
        <w:lvlJc w:val="left"/>
        <w:pPr>
          <w:tabs>
            <w:tab w:val="num" w:pos="0"/>
          </w:tabs>
          <w:ind w:left="4320" w:hanging="360"/>
        </w:pPr>
        <w:rPr>
          <w:rFonts w:ascii="Wingdings" w:hAnsi="Wingdings" w:cs="Wingdings" w:hint="default"/>
        </w:rPr>
      </w:lvl>
    </w:lvlOverride>
    <w:lvlOverride w:ilvl="5">
      <w:startOverride w:val="0"/>
    </w:lvlOverride>
    <w:lvlOverride w:ilvl="6">
      <w:lvl w:ilvl="6">
        <w:start w:val="0"/>
        <w:numFmt w:val="bullet"/>
        <w:lvlText w:val=""/>
        <w:lvlJc w:val="left"/>
        <w:pPr>
          <w:tabs>
            <w:tab w:val="num" w:pos="0"/>
          </w:tabs>
          <w:ind w:left="5040" w:hanging="360"/>
        </w:pPr>
        <w:rPr>
          <w:rFonts w:ascii="Symbol" w:hAnsi="Symbol" w:cs="Symbol" w:hint="default"/>
        </w:rPr>
      </w:lvl>
    </w:lvlOverride>
    <w:lvlOverride w:ilvl="6">
      <w:startOverride w:val="0"/>
    </w:lvlOverride>
    <w:lvlOverride w:ilvl="7">
      <w:lvl w:ilvl="7">
        <w:start w:val="0"/>
        <w:numFmt w:val="bullet"/>
        <w:lvlText w:val="o"/>
        <w:lvlJc w:val="left"/>
        <w:pPr>
          <w:tabs>
            <w:tab w:val="num" w:pos="0"/>
          </w:tabs>
          <w:ind w:left="5760" w:hanging="360"/>
        </w:pPr>
        <w:rPr>
          <w:rFonts w:ascii="Courier New" w:hAnsi="Courier New" w:cs="Courier New" w:hint="default"/>
        </w:rPr>
      </w:lvl>
    </w:lvlOverride>
    <w:lvlOverride w:ilvl="7">
      <w:startOverride w:val="0"/>
    </w:lvlOverride>
    <w:lvlOverride w:ilvl="8">
      <w:lvl w:ilvl="8">
        <w:start w:val="0"/>
        <w:numFmt w:val="bullet"/>
        <w:lvlText w:val=""/>
        <w:lvlJc w:val="left"/>
        <w:pPr>
          <w:tabs>
            <w:tab w:val="num" w:pos="0"/>
          </w:tabs>
          <w:ind w:left="6480" w:hanging="360"/>
        </w:pPr>
        <w:rPr>
          <w:rFonts w:ascii="Wingdings" w:hAnsi="Wingdings" w:cs="Wingdings" w:hint="default"/>
        </w:rPr>
      </w:lvl>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aptionChar">
    <w:name w:val="Caption Char"/>
    <w:basedOn w:val="DefaultParagraphFont"/>
    <w:qFormat/>
    <w:rPr/>
  </w:style>
  <w:style w:type="character" w:styleId="VerbatimChar">
    <w:name w:val="Verbatim Char"/>
    <w:basedOn w:val="CaptionChar"/>
    <w:qFormat/>
    <w:rPr>
      <w:rFonts w:ascii="Consolas" w:hAnsi="Consolas"/>
      <w:sz w:val="22"/>
    </w:rPr>
  </w:style>
  <w:style w:type="character" w:styleId="Hyperlink">
    <w:name w:val="Hyperlink"/>
    <w:basedOn w:val="CaptionChar"/>
    <w:rPr>
      <w:color w:themeColor="accent1" w:val="156082"/>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5"/>
      </w:numPr>
      <w:spacing w:before="0" w:after="200"/>
      <w:contextualSpacing/>
    </w:pPr>
    <w:rPr/>
  </w:style>
  <w:style w:type="paragraph" w:styleId="ListNumber2">
    <w:name w:val="List Number 2"/>
    <w:basedOn w:val="Normal"/>
    <w:uiPriority w:val="99"/>
    <w:unhideWhenUsed/>
    <w:rsid w:val="0029639d"/>
    <w:pPr>
      <w:numPr>
        <w:ilvl w:val="0"/>
        <w:numId w:val="6"/>
      </w:numPr>
      <w:spacing w:before="0" w:after="200"/>
      <w:contextualSpacing/>
    </w:pPr>
    <w:rPr/>
  </w:style>
  <w:style w:type="paragraph" w:styleId="ListNumber3">
    <w:name w:val="List Number 3"/>
    <w:basedOn w:val="Normal"/>
    <w:uiPriority w:val="99"/>
    <w:unhideWhenUsed/>
    <w:rsid w:val="0029639d"/>
    <w:pPr>
      <w:numPr>
        <w:ilvl w:val="0"/>
        <w:numId w:val="7"/>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mpact">
    <w:name w:val="Compact"/>
    <w:basedOn w:val="BodyText"/>
    <w:qFormat/>
    <w:pPr>
      <w:spacing w:before="36" w:after="36"/>
    </w:pPr>
    <w:rPr/>
  </w:style>
  <w:style w:type="paragraph" w:styleId="FirstParagraph">
    <w:name w:val="First Paragraph"/>
    <w:basedOn w:val="BodyText"/>
    <w:next w:val="BodyText"/>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SourceCode">
    <w:name w:val="Source Cod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aggle.com/datasets/suraj520/customer-support-ticket-dataset/data" TargetMode="External"/><Relationship Id="rId3" Type="http://schemas.openxmlformats.org/officeDocument/2006/relationships/hyperlink" Target="https://www.kaggle.com/datasets/blastchar/telco-customer-churn" TargetMode="External"/><Relationship Id="rId4" Type="http://schemas.openxmlformats.org/officeDocument/2006/relationships/hyperlink" Target="https://www.kaggle.com/datasets/suraj520/customer-support-ticket-dataset/data"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Pages>
  <Words>1390</Words>
  <Characters>9285</Characters>
  <CharactersWithSpaces>10478</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2026-09-22T17:51:12Z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