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5FE1F" w14:textId="77777777" w:rsidR="00016F2A" w:rsidRDefault="00016F2A">
      <w:pPr>
        <w:spacing w:before="240" w:after="240" w:line="360" w:lineRule="auto"/>
        <w:rPr>
          <w:rFonts w:ascii="Times New Roman" w:eastAsia="Times New Roman" w:hAnsi="Times New Roman" w:cs="Times New Roman"/>
          <w:b/>
          <w:bCs/>
          <w:sz w:val="52"/>
          <w:szCs w:val="52"/>
        </w:rPr>
      </w:pPr>
      <w:bookmarkStart w:id="0" w:name="_heading=h.jhm8xwvnibu" w:colFirst="0" w:colLast="0"/>
      <w:bookmarkEnd w:id="0"/>
    </w:p>
    <w:p w14:paraId="0392BDE9" w14:textId="77777777" w:rsidR="00016F2A" w:rsidRDefault="00016F2A">
      <w:pPr>
        <w:spacing w:before="240" w:after="240" w:line="360" w:lineRule="auto"/>
        <w:rPr>
          <w:rFonts w:ascii="Times New Roman" w:eastAsia="Times New Roman" w:hAnsi="Times New Roman" w:cs="Times New Roman"/>
          <w:b/>
          <w:bCs/>
          <w:sz w:val="52"/>
          <w:szCs w:val="52"/>
        </w:rPr>
      </w:pPr>
    </w:p>
    <w:p w14:paraId="2F8C5489" w14:textId="77777777" w:rsidR="00016F2A" w:rsidRDefault="00016F2A">
      <w:pPr>
        <w:spacing w:before="240" w:after="240" w:line="360" w:lineRule="auto"/>
        <w:rPr>
          <w:rFonts w:ascii="Times New Roman" w:eastAsia="Times New Roman" w:hAnsi="Times New Roman" w:cs="Times New Roman"/>
          <w:b/>
          <w:bCs/>
          <w:sz w:val="52"/>
          <w:szCs w:val="52"/>
        </w:rPr>
      </w:pPr>
    </w:p>
    <w:p w14:paraId="3593CAC9" w14:textId="77777777" w:rsidR="00016F2A" w:rsidRDefault="00016F2A">
      <w:pPr>
        <w:spacing w:before="240" w:after="240" w:line="360" w:lineRule="auto"/>
        <w:rPr>
          <w:rFonts w:ascii="Times New Roman" w:eastAsia="Times New Roman" w:hAnsi="Times New Roman" w:cs="Times New Roman"/>
          <w:b/>
          <w:bCs/>
          <w:sz w:val="52"/>
          <w:szCs w:val="52"/>
        </w:rPr>
      </w:pPr>
    </w:p>
    <w:p w14:paraId="01D751A6" w14:textId="77777777" w:rsidR="00016F2A" w:rsidRDefault="00016F2A">
      <w:pPr>
        <w:spacing w:before="240" w:after="240" w:line="360" w:lineRule="auto"/>
        <w:rPr>
          <w:rFonts w:ascii="Times New Roman" w:eastAsia="Times New Roman" w:hAnsi="Times New Roman" w:cs="Times New Roman"/>
          <w:b/>
          <w:bCs/>
          <w:sz w:val="52"/>
          <w:szCs w:val="52"/>
        </w:rPr>
      </w:pPr>
    </w:p>
    <w:p w14:paraId="3C63EB80" w14:textId="77777777" w:rsidR="00016F2A" w:rsidRDefault="00000000">
      <w:pPr>
        <w:spacing w:before="240" w:after="240" w:line="480" w:lineRule="auto"/>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PRODUCT REQUIREMENT DOCUMENT (PRD) </w:t>
      </w:r>
    </w:p>
    <w:p w14:paraId="604E6F0F" w14:textId="77777777" w:rsidR="00016F2A" w:rsidRDefault="00000000">
      <w:pPr>
        <w:spacing w:before="240" w:after="240" w:line="480" w:lineRule="auto"/>
        <w:jc w:val="right"/>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UMHackathon 2026</w:t>
      </w:r>
    </w:p>
    <w:p w14:paraId="3C076FF6" w14:textId="77777777" w:rsidR="00016F2A" w:rsidRDefault="00000000">
      <w:pPr>
        <w:widowControl w:val="0"/>
        <w:spacing w:before="159" w:line="240" w:lineRule="auto"/>
        <w:ind w:right="60"/>
        <w:jc w:val="right"/>
        <w:rPr>
          <w:rFonts w:ascii="Times New Roman" w:eastAsia="Times New Roman" w:hAnsi="Times New Roman" w:cs="Times New Roman"/>
          <w:b/>
          <w:bCs/>
          <w:color w:val="1155CC"/>
          <w:sz w:val="38"/>
          <w:szCs w:val="38"/>
          <w:u w:val="single"/>
        </w:rPr>
      </w:pPr>
      <w:r>
        <w:rPr>
          <w:rFonts w:ascii="Times New Roman" w:eastAsia="Times New Roman" w:hAnsi="Times New Roman" w:cs="Times New Roman"/>
          <w:b/>
          <w:bCs/>
          <w:color w:val="1155CC"/>
          <w:sz w:val="38"/>
          <w:szCs w:val="38"/>
          <w:u w:val="single"/>
        </w:rPr>
        <w:t xml:space="preserve">umhackathon@um.edu.my </w:t>
      </w:r>
    </w:p>
    <w:p w14:paraId="045EFE39" w14:textId="77777777" w:rsidR="00016F2A" w:rsidRDefault="00000000">
      <w:pPr>
        <w:spacing w:before="240" w:after="240" w:line="360" w:lineRule="auto"/>
        <w:jc w:val="right"/>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_______________________________________________</w:t>
      </w:r>
    </w:p>
    <w:p w14:paraId="4B4B799E" w14:textId="77777777" w:rsidR="00016F2A" w:rsidRDefault="00000000">
      <w:pPr>
        <w:rPr>
          <w:rFonts w:ascii="Times New Roman" w:eastAsia="Times New Roman" w:hAnsi="Times New Roman" w:cs="Times New Roman"/>
          <w:b/>
          <w:bCs/>
          <w:color w:val="1F1F1F"/>
          <w:sz w:val="36"/>
          <w:szCs w:val="36"/>
          <w:highlight w:val="white"/>
        </w:rPr>
      </w:pPr>
      <w:r>
        <w:br w:type="page"/>
      </w:r>
    </w:p>
    <w:p w14:paraId="298582FC" w14:textId="77777777" w:rsidR="00016F2A" w:rsidRDefault="00016F2A">
      <w:pPr>
        <w:spacing w:line="360" w:lineRule="auto"/>
        <w:jc w:val="both"/>
      </w:pPr>
    </w:p>
    <w:p w14:paraId="01FEB632" w14:textId="77777777" w:rsidR="00016F2A" w:rsidRDefault="00016F2A">
      <w:pPr>
        <w:spacing w:line="360" w:lineRule="auto"/>
        <w:jc w:val="both"/>
      </w:pPr>
    </w:p>
    <w:sdt>
      <w:sdtPr>
        <w:id w:val="559220891"/>
        <w:docPartObj>
          <w:docPartGallery w:val="Table of Contents"/>
          <w:docPartUnique/>
        </w:docPartObj>
      </w:sdtPr>
      <w:sdtContent>
        <w:p w14:paraId="23A05BEE" w14:textId="77777777" w:rsidR="00016F2A" w:rsidRDefault="00000000">
          <w:pPr>
            <w:widowControl w:val="0"/>
            <w:tabs>
              <w:tab w:val="right" w:pos="9360"/>
            </w:tabs>
            <w:spacing w:before="60" w:line="360" w:lineRule="auto"/>
            <w:jc w:val="both"/>
            <w:rPr>
              <w:rFonts w:ascii="Times New Roman" w:eastAsia="Times New Roman" w:hAnsi="Times New Roman" w:cs="Times New Roman"/>
              <w:b/>
              <w:bCs/>
              <w:color w:val="000000"/>
              <w:sz w:val="24"/>
              <w:szCs w:val="24"/>
            </w:rPr>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bCs/>
              <w:sz w:val="24"/>
              <w:szCs w:val="24"/>
            </w:rPr>
            <w:t>Table of Contents</w:t>
          </w:r>
        </w:p>
        <w:p w14:paraId="59F3830B" w14:textId="77777777" w:rsidR="00016F2A" w:rsidRDefault="00016F2A">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hyperlink w:anchor="_heading=h.gyb359e3wezj">
            <w:r>
              <w:rPr>
                <w:rFonts w:ascii="Times New Roman" w:eastAsia="Times New Roman" w:hAnsi="Times New Roman" w:cs="Times New Roman"/>
                <w:color w:val="000000"/>
                <w:sz w:val="24"/>
                <w:szCs w:val="24"/>
              </w:rPr>
              <w:t>1. Project Overview</w:t>
            </w:r>
            <w:r>
              <w:rPr>
                <w:rFonts w:ascii="Times New Roman" w:eastAsia="Times New Roman" w:hAnsi="Times New Roman" w:cs="Times New Roman"/>
                <w:color w:val="000000"/>
                <w:sz w:val="24"/>
                <w:szCs w:val="24"/>
              </w:rPr>
              <w:tab/>
            </w:r>
          </w:hyperlink>
          <w:r w:rsidR="00000000">
            <w:fldChar w:fldCharType="begin"/>
          </w:r>
          <w:r w:rsidR="00000000">
            <w:instrText xml:space="preserve"> PAGEREF _heading=h.gyb359e3wezj \h </w:instrText>
          </w:r>
          <w:r w:rsidR="00000000">
            <w:fldChar w:fldCharType="separate"/>
          </w:r>
          <w:r w:rsidR="00000000">
            <w:rPr>
              <w:rFonts w:ascii="Times New Roman" w:eastAsia="Times New Roman" w:hAnsi="Times New Roman" w:cs="Times New Roman"/>
              <w:sz w:val="24"/>
              <w:szCs w:val="24"/>
            </w:rPr>
            <w:t>1</w:t>
          </w:r>
          <w:hyperlink w:anchor="_heading=h.gyb359e3wezj" w:history="1"/>
        </w:p>
        <w:p w14:paraId="6DF715B5" w14:textId="77777777" w:rsidR="00016F2A" w:rsidRDefault="00000000">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r>
            <w:fldChar w:fldCharType="end"/>
          </w:r>
          <w:hyperlink w:anchor="_heading=h.nzwm5cd0xsaq">
            <w:r w:rsidR="00016F2A">
              <w:rPr>
                <w:rFonts w:ascii="Times New Roman" w:eastAsia="Times New Roman" w:hAnsi="Times New Roman" w:cs="Times New Roman"/>
                <w:color w:val="000000"/>
                <w:sz w:val="24"/>
                <w:szCs w:val="24"/>
              </w:rPr>
              <w:t>2. Background &amp; Business Objective</w:t>
            </w:r>
            <w:r w:rsidR="00016F2A">
              <w:rPr>
                <w:rFonts w:ascii="Times New Roman" w:eastAsia="Times New Roman" w:hAnsi="Times New Roman" w:cs="Times New Roman"/>
                <w:color w:val="000000"/>
                <w:sz w:val="24"/>
                <w:szCs w:val="24"/>
              </w:rPr>
              <w:tab/>
            </w:r>
          </w:hyperlink>
          <w:r>
            <w:fldChar w:fldCharType="begin"/>
          </w:r>
          <w:r>
            <w:instrText xml:space="preserve"> PAGEREF _heading=h.nzwm5cd0xsaq \h </w:instrText>
          </w:r>
          <w:r>
            <w:fldChar w:fldCharType="separate"/>
          </w:r>
          <w:r>
            <w:rPr>
              <w:rFonts w:ascii="Times New Roman" w:eastAsia="Times New Roman" w:hAnsi="Times New Roman" w:cs="Times New Roman"/>
              <w:sz w:val="24"/>
              <w:szCs w:val="24"/>
            </w:rPr>
            <w:t>1</w:t>
          </w:r>
          <w:hyperlink w:anchor="_heading=h.nzwm5cd0xsaq" w:history="1"/>
        </w:p>
        <w:p w14:paraId="3B08C35B" w14:textId="77777777" w:rsidR="00016F2A" w:rsidRDefault="00000000">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r>
            <w:fldChar w:fldCharType="end"/>
          </w:r>
          <w:hyperlink w:anchor="_heading=h.dntztqwax8e1">
            <w:r w:rsidR="00016F2A">
              <w:rPr>
                <w:rFonts w:ascii="Times New Roman" w:eastAsia="Times New Roman" w:hAnsi="Times New Roman" w:cs="Times New Roman"/>
                <w:color w:val="000000"/>
                <w:sz w:val="24"/>
                <w:szCs w:val="24"/>
              </w:rPr>
              <w:t>3. Product Purpose</w:t>
            </w:r>
            <w:r w:rsidR="00016F2A">
              <w:rPr>
                <w:rFonts w:ascii="Times New Roman" w:eastAsia="Times New Roman" w:hAnsi="Times New Roman" w:cs="Times New Roman"/>
                <w:color w:val="000000"/>
                <w:sz w:val="24"/>
                <w:szCs w:val="24"/>
              </w:rPr>
              <w:tab/>
            </w:r>
          </w:hyperlink>
          <w:r>
            <w:fldChar w:fldCharType="begin"/>
          </w:r>
          <w:r>
            <w:instrText xml:space="preserve"> PAGEREF _heading=h.dntztqwax8e1 \h </w:instrText>
          </w:r>
          <w:r>
            <w:fldChar w:fldCharType="separate"/>
          </w:r>
          <w:r>
            <w:rPr>
              <w:rFonts w:ascii="Times New Roman" w:eastAsia="Times New Roman" w:hAnsi="Times New Roman" w:cs="Times New Roman"/>
              <w:sz w:val="24"/>
              <w:szCs w:val="24"/>
            </w:rPr>
            <w:t>2</w:t>
          </w:r>
          <w:hyperlink w:anchor="_heading=h.dntztqwax8e1" w:history="1"/>
        </w:p>
        <w:p w14:paraId="5A3B449C" w14:textId="77777777" w:rsidR="00016F2A" w:rsidRDefault="00000000">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r>
            <w:fldChar w:fldCharType="end"/>
          </w:r>
          <w:hyperlink w:anchor="_heading=h.cnzaafrgfbi2">
            <w:r w:rsidR="00016F2A">
              <w:rPr>
                <w:rFonts w:ascii="Times New Roman" w:eastAsia="Times New Roman" w:hAnsi="Times New Roman" w:cs="Times New Roman"/>
                <w:color w:val="000000"/>
                <w:sz w:val="24"/>
                <w:szCs w:val="24"/>
              </w:rPr>
              <w:t>4. System Functionalities</w:t>
            </w:r>
            <w:r w:rsidR="00016F2A">
              <w:rPr>
                <w:rFonts w:ascii="Times New Roman" w:eastAsia="Times New Roman" w:hAnsi="Times New Roman" w:cs="Times New Roman"/>
                <w:color w:val="000000"/>
                <w:sz w:val="24"/>
                <w:szCs w:val="24"/>
              </w:rPr>
              <w:tab/>
            </w:r>
          </w:hyperlink>
          <w:r>
            <w:fldChar w:fldCharType="begin"/>
          </w:r>
          <w:r>
            <w:instrText xml:space="preserve"> PAGEREF _heading=h.cnzaafrgfbi2 \h </w:instrText>
          </w:r>
          <w:r>
            <w:fldChar w:fldCharType="separate"/>
          </w:r>
          <w:r>
            <w:rPr>
              <w:rFonts w:ascii="Times New Roman" w:eastAsia="Times New Roman" w:hAnsi="Times New Roman" w:cs="Times New Roman"/>
              <w:sz w:val="24"/>
              <w:szCs w:val="24"/>
            </w:rPr>
            <w:t>2</w:t>
          </w:r>
          <w:hyperlink w:anchor="_heading=h.cnzaafrgfbi2" w:history="1"/>
        </w:p>
        <w:p w14:paraId="2EC40A9C" w14:textId="77777777" w:rsidR="00016F2A" w:rsidRDefault="00000000">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r>
            <w:fldChar w:fldCharType="end"/>
          </w:r>
          <w:hyperlink w:anchor="_heading=h.eft37bt17p6t">
            <w:r w:rsidR="00016F2A">
              <w:rPr>
                <w:rFonts w:ascii="Times New Roman" w:eastAsia="Times New Roman" w:hAnsi="Times New Roman" w:cs="Times New Roman"/>
                <w:color w:val="000000"/>
                <w:sz w:val="24"/>
                <w:szCs w:val="24"/>
              </w:rPr>
              <w:t>5. User Stories &amp; Use Cases</w:t>
            </w:r>
            <w:r w:rsidR="00016F2A">
              <w:rPr>
                <w:rFonts w:ascii="Times New Roman" w:eastAsia="Times New Roman" w:hAnsi="Times New Roman" w:cs="Times New Roman"/>
                <w:color w:val="000000"/>
                <w:sz w:val="24"/>
                <w:szCs w:val="24"/>
              </w:rPr>
              <w:tab/>
            </w:r>
          </w:hyperlink>
          <w:r>
            <w:fldChar w:fldCharType="begin"/>
          </w:r>
          <w:r>
            <w:instrText xml:space="preserve"> PAGEREF _heading=h.eft37bt17p6t \h </w:instrText>
          </w:r>
          <w:r>
            <w:fldChar w:fldCharType="separate"/>
          </w:r>
          <w:r>
            <w:rPr>
              <w:rFonts w:ascii="Times New Roman" w:eastAsia="Times New Roman" w:hAnsi="Times New Roman" w:cs="Times New Roman"/>
              <w:sz w:val="24"/>
              <w:szCs w:val="24"/>
            </w:rPr>
            <w:t>3</w:t>
          </w:r>
          <w:hyperlink w:anchor="_heading=h.eft37bt17p6t" w:history="1"/>
        </w:p>
        <w:p w14:paraId="31D7D8C4" w14:textId="77777777" w:rsidR="00016F2A" w:rsidRDefault="00000000">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r>
            <w:fldChar w:fldCharType="end"/>
          </w:r>
          <w:hyperlink w:anchor="_heading=h.6wk22721h2gw">
            <w:r w:rsidR="00016F2A">
              <w:rPr>
                <w:rFonts w:ascii="Times New Roman" w:eastAsia="Times New Roman" w:hAnsi="Times New Roman" w:cs="Times New Roman"/>
                <w:color w:val="000000"/>
                <w:sz w:val="24"/>
                <w:szCs w:val="24"/>
              </w:rPr>
              <w:t>6. Features Included (Scope Definition)</w:t>
            </w:r>
            <w:r w:rsidR="00016F2A">
              <w:rPr>
                <w:rFonts w:ascii="Times New Roman" w:eastAsia="Times New Roman" w:hAnsi="Times New Roman" w:cs="Times New Roman"/>
                <w:color w:val="000000"/>
                <w:sz w:val="24"/>
                <w:szCs w:val="24"/>
              </w:rPr>
              <w:tab/>
            </w:r>
          </w:hyperlink>
          <w:r>
            <w:fldChar w:fldCharType="begin"/>
          </w:r>
          <w:r>
            <w:instrText xml:space="preserve"> PAGEREF _heading=h.6wk22721h2gw \h </w:instrText>
          </w:r>
          <w:r>
            <w:fldChar w:fldCharType="separate"/>
          </w:r>
          <w:r>
            <w:rPr>
              <w:rFonts w:ascii="Times New Roman" w:eastAsia="Times New Roman" w:hAnsi="Times New Roman" w:cs="Times New Roman"/>
              <w:sz w:val="24"/>
              <w:szCs w:val="24"/>
            </w:rPr>
            <w:t>3</w:t>
          </w:r>
          <w:hyperlink w:anchor="_heading=h.6wk22721h2gw" w:history="1"/>
        </w:p>
        <w:p w14:paraId="40A3A5BA" w14:textId="77777777" w:rsidR="00016F2A" w:rsidRDefault="00000000">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r>
            <w:fldChar w:fldCharType="end"/>
          </w:r>
          <w:hyperlink w:anchor="_heading=h.cp6w4f9dnq7g">
            <w:r w:rsidR="00016F2A">
              <w:rPr>
                <w:rFonts w:ascii="Times New Roman" w:eastAsia="Times New Roman" w:hAnsi="Times New Roman" w:cs="Times New Roman"/>
                <w:color w:val="000000"/>
                <w:sz w:val="24"/>
                <w:szCs w:val="24"/>
              </w:rPr>
              <w:t>7. Features Not Included (Scope Control)</w:t>
            </w:r>
            <w:r w:rsidR="00016F2A">
              <w:rPr>
                <w:rFonts w:ascii="Times New Roman" w:eastAsia="Times New Roman" w:hAnsi="Times New Roman" w:cs="Times New Roman"/>
                <w:color w:val="000000"/>
                <w:sz w:val="24"/>
                <w:szCs w:val="24"/>
              </w:rPr>
              <w:tab/>
            </w:r>
          </w:hyperlink>
          <w:r>
            <w:fldChar w:fldCharType="begin"/>
          </w:r>
          <w:r>
            <w:instrText xml:space="preserve"> PAGEREF _heading=h.cp6w4f9dnq7g \h </w:instrText>
          </w:r>
          <w:r>
            <w:fldChar w:fldCharType="separate"/>
          </w:r>
          <w:r>
            <w:rPr>
              <w:rFonts w:ascii="Times New Roman" w:eastAsia="Times New Roman" w:hAnsi="Times New Roman" w:cs="Times New Roman"/>
              <w:sz w:val="24"/>
              <w:szCs w:val="24"/>
            </w:rPr>
            <w:t>3</w:t>
          </w:r>
          <w:hyperlink w:anchor="_heading=h.cp6w4f9dnq7g" w:history="1"/>
        </w:p>
        <w:p w14:paraId="6119B832" w14:textId="77777777" w:rsidR="00016F2A" w:rsidRDefault="00000000">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r>
            <w:fldChar w:fldCharType="end"/>
          </w:r>
          <w:hyperlink w:anchor="_heading=h.4qg47wchndgo">
            <w:r w:rsidR="00016F2A">
              <w:rPr>
                <w:rFonts w:ascii="Times New Roman" w:eastAsia="Times New Roman" w:hAnsi="Times New Roman" w:cs="Times New Roman"/>
                <w:color w:val="000000"/>
                <w:sz w:val="24"/>
                <w:szCs w:val="24"/>
              </w:rPr>
              <w:t>8. Assumptions &amp; Constraints</w:t>
            </w:r>
            <w:r w:rsidR="00016F2A">
              <w:rPr>
                <w:rFonts w:ascii="Times New Roman" w:eastAsia="Times New Roman" w:hAnsi="Times New Roman" w:cs="Times New Roman"/>
                <w:color w:val="000000"/>
                <w:sz w:val="24"/>
                <w:szCs w:val="24"/>
              </w:rPr>
              <w:tab/>
            </w:r>
          </w:hyperlink>
          <w:r>
            <w:fldChar w:fldCharType="begin"/>
          </w:r>
          <w:r>
            <w:instrText xml:space="preserve"> PAGEREF _heading=h.4qg47wchndgo \h </w:instrText>
          </w:r>
          <w:r>
            <w:fldChar w:fldCharType="separate"/>
          </w:r>
          <w:r>
            <w:rPr>
              <w:rFonts w:ascii="Times New Roman" w:eastAsia="Times New Roman" w:hAnsi="Times New Roman" w:cs="Times New Roman"/>
              <w:sz w:val="24"/>
              <w:szCs w:val="24"/>
            </w:rPr>
            <w:t>4</w:t>
          </w:r>
          <w:hyperlink w:anchor="_heading=h.4qg47wchndgo" w:history="1"/>
        </w:p>
        <w:p w14:paraId="32BC3806" w14:textId="77777777" w:rsidR="00016F2A" w:rsidRDefault="00000000">
          <w:pPr>
            <w:widowControl w:val="0"/>
            <w:tabs>
              <w:tab w:val="right" w:pos="9360"/>
            </w:tabs>
            <w:spacing w:before="60" w:line="360" w:lineRule="auto"/>
            <w:ind w:left="720"/>
            <w:jc w:val="both"/>
            <w:rPr>
              <w:rFonts w:ascii="Times New Roman" w:eastAsia="Times New Roman" w:hAnsi="Times New Roman" w:cs="Times New Roman"/>
              <w:color w:val="000000"/>
              <w:sz w:val="24"/>
              <w:szCs w:val="24"/>
            </w:rPr>
          </w:pPr>
          <w:r>
            <w:fldChar w:fldCharType="end"/>
          </w:r>
          <w:hyperlink w:anchor="_heading=h.hnlagh7txj81">
            <w:r w:rsidR="00016F2A">
              <w:rPr>
                <w:rFonts w:ascii="Times New Roman" w:eastAsia="Times New Roman" w:hAnsi="Times New Roman" w:cs="Times New Roman"/>
                <w:color w:val="000000"/>
                <w:sz w:val="24"/>
                <w:szCs w:val="24"/>
              </w:rPr>
              <w:t>9. Risks &amp; Questions Throughout Development</w:t>
            </w:r>
            <w:r w:rsidR="00016F2A">
              <w:rPr>
                <w:rFonts w:ascii="Times New Roman" w:eastAsia="Times New Roman" w:hAnsi="Times New Roman" w:cs="Times New Roman"/>
                <w:color w:val="000000"/>
                <w:sz w:val="24"/>
                <w:szCs w:val="24"/>
              </w:rPr>
              <w:tab/>
            </w:r>
          </w:hyperlink>
          <w:r>
            <w:fldChar w:fldCharType="begin"/>
          </w:r>
          <w:r>
            <w:instrText xml:space="preserve"> PAGEREF _heading=h.hnlagh7txj81 \h </w:instrText>
          </w:r>
          <w:r>
            <w:fldChar w:fldCharType="separate"/>
          </w:r>
          <w:r>
            <w:rPr>
              <w:rFonts w:ascii="Times New Roman" w:eastAsia="Times New Roman" w:hAnsi="Times New Roman" w:cs="Times New Roman"/>
              <w:sz w:val="24"/>
              <w:szCs w:val="24"/>
            </w:rPr>
            <w:t>4</w:t>
          </w:r>
          <w:r>
            <w:fldChar w:fldCharType="end"/>
          </w:r>
          <w:r>
            <w:fldChar w:fldCharType="end"/>
          </w:r>
        </w:p>
      </w:sdtContent>
    </w:sdt>
    <w:p w14:paraId="79BDFA32" w14:textId="77777777" w:rsidR="00016F2A" w:rsidRDefault="00016F2A">
      <w:pPr>
        <w:spacing w:line="360" w:lineRule="auto"/>
        <w:jc w:val="both"/>
        <w:rPr>
          <w:rFonts w:ascii="Times New Roman" w:eastAsia="Times New Roman" w:hAnsi="Times New Roman" w:cs="Times New Roman"/>
          <w:sz w:val="24"/>
          <w:szCs w:val="24"/>
        </w:rPr>
      </w:pPr>
    </w:p>
    <w:p w14:paraId="1C7E434F" w14:textId="38E1DB99" w:rsidR="00016F2A" w:rsidRDefault="00016F2A" w:rsidP="003D0B5C">
      <w:pPr>
        <w:spacing w:after="300" w:line="360" w:lineRule="auto"/>
        <w:jc w:val="both"/>
      </w:pPr>
    </w:p>
    <w:p w14:paraId="11265BE1" w14:textId="77777777" w:rsidR="003D0B5C" w:rsidRDefault="003D0B5C" w:rsidP="003D0B5C">
      <w:pPr>
        <w:spacing w:after="300" w:line="360" w:lineRule="auto"/>
        <w:jc w:val="both"/>
      </w:pPr>
    </w:p>
    <w:p w14:paraId="0C6B1E4B" w14:textId="77777777" w:rsidR="003D0B5C" w:rsidRDefault="003D0B5C" w:rsidP="003D0B5C">
      <w:pPr>
        <w:spacing w:after="300" w:line="360" w:lineRule="auto"/>
        <w:jc w:val="both"/>
      </w:pPr>
    </w:p>
    <w:p w14:paraId="38DABBF2" w14:textId="77777777" w:rsidR="003D0B5C" w:rsidRDefault="003D0B5C" w:rsidP="003D0B5C">
      <w:pPr>
        <w:spacing w:after="300" w:line="360" w:lineRule="auto"/>
        <w:jc w:val="both"/>
      </w:pPr>
    </w:p>
    <w:p w14:paraId="6C85497D" w14:textId="77777777" w:rsidR="003D0B5C" w:rsidRDefault="003D0B5C" w:rsidP="003D0B5C">
      <w:pPr>
        <w:spacing w:after="300" w:line="360" w:lineRule="auto"/>
        <w:jc w:val="both"/>
      </w:pPr>
    </w:p>
    <w:p w14:paraId="3AD3BCFE" w14:textId="77777777" w:rsidR="003D0B5C" w:rsidRDefault="003D0B5C" w:rsidP="003D0B5C">
      <w:pPr>
        <w:spacing w:after="300" w:line="360" w:lineRule="auto"/>
        <w:jc w:val="both"/>
      </w:pPr>
    </w:p>
    <w:p w14:paraId="52C3D7C8" w14:textId="77777777" w:rsidR="003D0B5C" w:rsidRDefault="003D0B5C" w:rsidP="003D0B5C">
      <w:pPr>
        <w:spacing w:after="300" w:line="360" w:lineRule="auto"/>
        <w:jc w:val="both"/>
      </w:pPr>
    </w:p>
    <w:p w14:paraId="5155BBEB" w14:textId="77777777" w:rsidR="003D0B5C" w:rsidRDefault="003D0B5C" w:rsidP="003D0B5C">
      <w:pPr>
        <w:spacing w:after="300" w:line="360" w:lineRule="auto"/>
        <w:jc w:val="both"/>
      </w:pPr>
    </w:p>
    <w:p w14:paraId="4A4A8AF8" w14:textId="77777777" w:rsidR="003D0B5C" w:rsidRDefault="003D0B5C" w:rsidP="003D0B5C">
      <w:pPr>
        <w:spacing w:after="300" w:line="360" w:lineRule="auto"/>
        <w:jc w:val="both"/>
      </w:pPr>
    </w:p>
    <w:p w14:paraId="353AD37D" w14:textId="77777777" w:rsidR="003D0B5C" w:rsidRDefault="003D0B5C" w:rsidP="003D0B5C">
      <w:pPr>
        <w:spacing w:after="300" w:line="360" w:lineRule="auto"/>
        <w:jc w:val="both"/>
      </w:pPr>
    </w:p>
    <w:p w14:paraId="101F751D" w14:textId="3C5CC73E" w:rsidR="00E54D40" w:rsidRDefault="00E54D40" w:rsidP="00E54D40">
      <w:pPr>
        <w:pStyle w:val="NormalWeb"/>
        <w:spacing w:before="0" w:beforeAutospacing="0" w:after="300" w:afterAutospacing="0"/>
        <w:jc w:val="both"/>
      </w:pPr>
      <w:r>
        <w:rPr>
          <w:b/>
          <w:bCs/>
          <w:color w:val="1F1F1F"/>
          <w:shd w:val="clear" w:color="auto" w:fill="FFFFFF"/>
        </w:rPr>
        <w:lastRenderedPageBreak/>
        <w:t>Project Name:</w:t>
      </w:r>
      <w:r>
        <w:rPr>
          <w:color w:val="1F1F1F"/>
          <w:shd w:val="clear" w:color="auto" w:fill="FFFFFF"/>
        </w:rPr>
        <w:t xml:space="preserve"> </w:t>
      </w:r>
      <w:r>
        <w:rPr>
          <w:color w:val="1F1F1F"/>
          <w:shd w:val="clear" w:color="auto" w:fill="FFFFFF"/>
        </w:rPr>
        <w:t>BajetHidup</w:t>
      </w:r>
    </w:p>
    <w:p w14:paraId="7537519F" w14:textId="16DF9B5F" w:rsidR="00E54D40" w:rsidRPr="00E54D40" w:rsidRDefault="00E54D40" w:rsidP="00E54D40">
      <w:pPr>
        <w:pStyle w:val="NormalWeb"/>
        <w:spacing w:before="0" w:beforeAutospacing="0" w:after="300" w:afterAutospacing="0"/>
        <w:jc w:val="both"/>
      </w:pPr>
      <w:r>
        <w:rPr>
          <w:b/>
          <w:bCs/>
          <w:color w:val="1F1F1F"/>
          <w:shd w:val="clear" w:color="auto" w:fill="FFFFFF"/>
        </w:rPr>
        <w:t>Version:</w:t>
      </w:r>
      <w:r>
        <w:rPr>
          <w:color w:val="1F1F1F"/>
          <w:shd w:val="clear" w:color="auto" w:fill="FFFFFF"/>
        </w:rPr>
        <w:t xml:space="preserve"> </w:t>
      </w:r>
      <w:r>
        <w:rPr>
          <w:color w:val="1F1F1F"/>
          <w:shd w:val="clear" w:color="auto" w:fill="FFFFFF"/>
        </w:rPr>
        <w:t>1</w:t>
      </w:r>
      <w:r>
        <w:rPr>
          <w:color w:val="1F1F1F"/>
          <w:shd w:val="clear" w:color="auto" w:fill="FFFFFF"/>
        </w:rPr>
        <w:t>.0</w:t>
      </w:r>
    </w:p>
    <w:p w14:paraId="7AE4A584" w14:textId="64178432"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1. Project Overview</w:t>
      </w:r>
    </w:p>
    <w:p w14:paraId="30AEB184" w14:textId="77777777" w:rsidR="003D0B5C" w:rsidRPr="003D0B5C" w:rsidRDefault="003D0B5C" w:rsidP="003D0B5C">
      <w:p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 xml:space="preserve">Problem Statement: </w:t>
      </w:r>
      <w:r w:rsidRPr="003D0B5C">
        <w:rPr>
          <w:rFonts w:ascii="Times New Roman" w:eastAsia="Times New Roman" w:hAnsi="Times New Roman" w:cs="Times New Roman"/>
          <w:color w:val="1F1F1F"/>
          <w:sz w:val="24"/>
          <w:szCs w:val="24"/>
          <w:highlight w:val="white"/>
          <w:lang w:val="en-MY"/>
        </w:rPr>
        <w:t>Many Malaysian students and young working adults (aged 18–30) struggle to understand and act on their own financial data. Existing budgeting tools present numbers without interpretation, leaving users unsure of what to change. The gap is not access to data — it is the absence of contextualised, personalised financial decision-making support.</w:t>
      </w:r>
    </w:p>
    <w:p w14:paraId="38DCD278"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 xml:space="preserve">Target Domain: </w:t>
      </w:r>
      <w:r w:rsidRPr="003D0B5C">
        <w:rPr>
          <w:rFonts w:ascii="Times New Roman" w:eastAsia="Times New Roman" w:hAnsi="Times New Roman" w:cs="Times New Roman"/>
          <w:color w:val="1F1F1F"/>
          <w:sz w:val="24"/>
          <w:szCs w:val="24"/>
          <w:highlight w:val="white"/>
          <w:lang w:val="en-MY"/>
        </w:rPr>
        <w:t>Personal finance management and AI-driven financial decision intelligence for Malaysian youth — specifically targeting the segment of spenders who are aware they overspend but lack actionable guidance on what to change.</w:t>
      </w:r>
    </w:p>
    <w:p w14:paraId="0A83244F"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 xml:space="preserve">Proposed Solution Summary: </w:t>
      </w:r>
      <w:r w:rsidRPr="003D0B5C">
        <w:rPr>
          <w:rFonts w:ascii="Times New Roman" w:eastAsia="Times New Roman" w:hAnsi="Times New Roman" w:cs="Times New Roman"/>
          <w:color w:val="1F1F1F"/>
          <w:sz w:val="24"/>
          <w:szCs w:val="24"/>
          <w:highlight w:val="white"/>
          <w:lang w:val="en-MY"/>
        </w:rPr>
        <w:t>BajetHidup is a bilingual (English / Bahasa Malaysia) personal finance decision intelligence web app. It looks like a wallet app, thinks like a financial advisor, and acts like an agent. The AI (Z.AI GLM) does not simply chat — it reads and writes the user's financial data, creates goals, sets spending limits, logs transactions, detects conflicts, and generates personalised financial insights — all from natural conversation.</w:t>
      </w:r>
    </w:p>
    <w:p w14:paraId="64148E97"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p>
    <w:p w14:paraId="03AF10EC"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2. Background &amp; Business Objective</w:t>
      </w:r>
    </w:p>
    <w:p w14:paraId="6E28EDF2"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Background of the Problem</w:t>
      </w:r>
    </w:p>
    <w:p w14:paraId="333D504E" w14:textId="77777777" w:rsidR="003D0B5C" w:rsidRPr="003D0B5C" w:rsidRDefault="003D0B5C" w:rsidP="003D0B5C">
      <w:p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Personal finance management in Malaysia has historically relied on spreadsheets, static banking apps, or generic budgeting tools. These solutions present data without actionable interpretation. A user who sees that they spent RM450 on food this month has no AI-powered guidance on what that means relative to their income, goals, or patterns — nor what they should do next.</w:t>
      </w:r>
    </w:p>
    <w:p w14:paraId="523E8FAF" w14:textId="77777777" w:rsidR="003D0B5C" w:rsidRPr="003D0B5C" w:rsidRDefault="003D0B5C" w:rsidP="003D0B5C">
      <w:p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lastRenderedPageBreak/>
        <w:t>For the target demographic of students and young professionals (18–30), this problem is particularly acute. Many earn their first salary, manage PTPTN repayments, pay rent, and simultaneously attempt to save for personal goals — all without structured financial</w:t>
      </w:r>
      <w:r w:rsidRPr="003D0B5C">
        <w:rPr>
          <w:rFonts w:ascii="Times New Roman" w:eastAsia="Times New Roman" w:hAnsi="Times New Roman" w:cs="Times New Roman"/>
          <w:b/>
          <w:bCs/>
          <w:color w:val="1F1F1F"/>
          <w:sz w:val="24"/>
          <w:szCs w:val="24"/>
          <w:highlight w:val="white"/>
          <w:lang w:val="en-MY"/>
        </w:rPr>
        <w:t xml:space="preserve"> </w:t>
      </w:r>
      <w:r w:rsidRPr="003D0B5C">
        <w:rPr>
          <w:rFonts w:ascii="Times New Roman" w:eastAsia="Times New Roman" w:hAnsi="Times New Roman" w:cs="Times New Roman"/>
          <w:color w:val="1F1F1F"/>
          <w:sz w:val="24"/>
          <w:szCs w:val="24"/>
          <w:highlight w:val="white"/>
          <w:lang w:val="en-MY"/>
        </w:rPr>
        <w:t>guidance. The result is a generation that is financially stressed but lacks the tools to act effectively.</w:t>
      </w:r>
    </w:p>
    <w:p w14:paraId="451B1420"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Importance of Solving This Issue</w:t>
      </w:r>
    </w:p>
    <w:p w14:paraId="3ADFEA83" w14:textId="77777777" w:rsidR="003D0B5C" w:rsidRPr="003D0B5C" w:rsidRDefault="003D0B5C" w:rsidP="003D0B5C">
      <w:p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Equipping young Malaysians with an AI financial advisor that speaks their language (literally — Bahasa Malaysia and English), understands their full financial context, and proactively recommends actions addresses a genuine gap in the market. This reduces financial anxiety, increases savings discipline, and builds long-term financial literacy from a young age.</w:t>
      </w:r>
    </w:p>
    <w:p w14:paraId="3B348A18"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Strategic Fit / Impact</w:t>
      </w:r>
    </w:p>
    <w:p w14:paraId="69A280C6" w14:textId="77777777" w:rsidR="003D0B5C" w:rsidRPr="003D0B5C" w:rsidRDefault="003D0B5C" w:rsidP="003D0B5C">
      <w:p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BajetHidup is built on Z.AI GLM, integrating a powerful language model with a structured financial data layer through Supabase. The platform aligns with Malaysia's digital economy agenda by developing AI-native tools for everyday users. The bilingual-first design ensures accessibility across the demographic, bridging the urban-rural digital divide through familiar language and culturally relevant spending categories.</w:t>
      </w:r>
    </w:p>
    <w:p w14:paraId="1A3325C4"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p>
    <w:p w14:paraId="373C9104"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3. Product Purpose</w:t>
      </w:r>
    </w:p>
    <w:p w14:paraId="299424DD" w14:textId="77777777" w:rsidR="003D0B5C" w:rsidRPr="003D0B5C" w:rsidRDefault="003D0B5C" w:rsidP="003D0B5C">
      <w:p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 xml:space="preserve">3.1. Main Goal of the System: </w:t>
      </w:r>
      <w:r w:rsidRPr="003D0B5C">
        <w:rPr>
          <w:rFonts w:ascii="Times New Roman" w:eastAsia="Times New Roman" w:hAnsi="Times New Roman" w:cs="Times New Roman"/>
          <w:color w:val="1F1F1F"/>
          <w:sz w:val="24"/>
          <w:szCs w:val="24"/>
          <w:highlight w:val="white"/>
          <w:lang w:val="en-MY"/>
        </w:rPr>
        <w:t>To serve as an AI-native financial decision engine that converts a user's raw transaction and goal data into clear, personalised, and actionable financial guidance — delivered through natural conversation in the user's preferred language.</w:t>
      </w:r>
    </w:p>
    <w:p w14:paraId="33570708"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3.2. Intended Users (Target Audience):</w:t>
      </w:r>
    </w:p>
    <w:p w14:paraId="2CB58218"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Malaysian university students (18–24) managing their first independent budgets</w:t>
      </w:r>
    </w:p>
    <w:p w14:paraId="4A4C916F"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lastRenderedPageBreak/>
        <w:t>Young working adults (24–30) earning their first salary with multiple financial obligations</w:t>
      </w:r>
    </w:p>
    <w:p w14:paraId="76742A6F"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Individuals saving towards specific financial goals (e.g. laptops, travel, emergencies)</w:t>
      </w:r>
    </w:p>
    <w:p w14:paraId="618CDFBB"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Bilingual users who prefer to interact in Bahasa Malaysia or English</w:t>
      </w:r>
    </w:p>
    <w:p w14:paraId="746FE910"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p>
    <w:p w14:paraId="044D0CBE"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4. System Functionalities</w:t>
      </w:r>
    </w:p>
    <w:p w14:paraId="1AEE874E" w14:textId="77777777" w:rsidR="003D0B5C" w:rsidRPr="003D0B5C" w:rsidRDefault="003D0B5C" w:rsidP="003D0B5C">
      <w:p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 xml:space="preserve">4.1. Description: </w:t>
      </w:r>
      <w:r w:rsidRPr="003D0B5C">
        <w:rPr>
          <w:rFonts w:ascii="Times New Roman" w:eastAsia="Times New Roman" w:hAnsi="Times New Roman" w:cs="Times New Roman"/>
          <w:color w:val="1F1F1F"/>
          <w:sz w:val="24"/>
          <w:szCs w:val="24"/>
          <w:highlight w:val="white"/>
          <w:lang w:val="en-MY"/>
        </w:rPr>
        <w:t>BajetHidup operates as a four-page web application where every screen either feeds data into the AI or displays AI-generated output. The system rebuilds the AI's full financial context on every message, ensuring the GLM always has a live, accurate picture of the user's income, bills, limits, transactions, and goals before generating any response or taking any action.</w:t>
      </w:r>
    </w:p>
    <w:p w14:paraId="4BC96A3E"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4.2. Key Functionalities:</w:t>
      </w:r>
    </w:p>
    <w:p w14:paraId="08FD9B20"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Home Dashboard (Daily Wallet View):</w:t>
      </w:r>
      <w:r w:rsidRPr="003D0B5C">
        <w:rPr>
          <w:rFonts w:ascii="Times New Roman" w:eastAsia="Times New Roman" w:hAnsi="Times New Roman" w:cs="Times New Roman"/>
          <w:color w:val="1F1F1F"/>
          <w:sz w:val="24"/>
          <w:szCs w:val="24"/>
          <w:highlight w:val="white"/>
          <w:lang w:val="en-MY"/>
        </w:rPr>
        <w:t xml:space="preserve"> Displays a spending health ring showing the current month's budget utilisation, category cards for each spending area (Food, Transport, Shopping, Entertainment, Bills, Savings, Others), an AI-generated insight card with the most important financial observation of the day, and a live transaction feed.</w:t>
      </w:r>
    </w:p>
    <w:p w14:paraId="0434E2DC"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Financial Intelligence Dashboard (Insights):</w:t>
      </w:r>
      <w:r w:rsidRPr="003D0B5C">
        <w:rPr>
          <w:rFonts w:ascii="Times New Roman" w:eastAsia="Times New Roman" w:hAnsi="Times New Roman" w:cs="Times New Roman"/>
          <w:color w:val="1F1F1F"/>
          <w:sz w:val="24"/>
          <w:szCs w:val="24"/>
          <w:highlight w:val="white"/>
          <w:lang w:val="en-MY"/>
        </w:rPr>
        <w:t xml:space="preserve"> Presents GLM-generated financial intelligence including today-vs-yesterday spending comparison, weekly trend charts, category intelligence breakdowns, goal progress trackers, savings velocity indicators, behavioural pattern detection chips (e.g. Weekend Spender, GrabFood Reliant), a What-If simulator, burn rate monitor, and a weekly summary card.</w:t>
      </w:r>
    </w:p>
    <w:p w14:paraId="7BEFC94A"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AI Negotiator (Conversational Agent):</w:t>
      </w:r>
      <w:r w:rsidRPr="003D0B5C">
        <w:rPr>
          <w:rFonts w:ascii="Times New Roman" w:eastAsia="Times New Roman" w:hAnsi="Times New Roman" w:cs="Times New Roman"/>
          <w:color w:val="1F1F1F"/>
          <w:sz w:val="24"/>
          <w:szCs w:val="24"/>
          <w:highlight w:val="white"/>
          <w:lang w:val="en-MY"/>
        </w:rPr>
        <w:t xml:space="preserve"> A full-screen chat interface where the GLM reads and writes user financial data through natural conversation. Users can ask about affordability, set new goals, identify what to cut, or explore spending patterns. The GLM </w:t>
      </w:r>
      <w:r w:rsidRPr="003D0B5C">
        <w:rPr>
          <w:rFonts w:ascii="Times New Roman" w:eastAsia="Times New Roman" w:hAnsi="Times New Roman" w:cs="Times New Roman"/>
          <w:color w:val="1F1F1F"/>
          <w:sz w:val="24"/>
          <w:szCs w:val="24"/>
          <w:highlight w:val="white"/>
          <w:lang w:val="en-MY"/>
        </w:rPr>
        <w:lastRenderedPageBreak/>
        <w:t>can create goals, set category limits, and log transactions as structured actions — not merely text responses.</w:t>
      </w:r>
    </w:p>
    <w:p w14:paraId="553A5A6C" w14:textId="7D785399" w:rsidR="003D0B5C" w:rsidRPr="003D0B5C" w:rsidRDefault="003D0B5C" w:rsidP="003D0B5C">
      <w:pPr>
        <w:numPr>
          <w:ilvl w:val="0"/>
          <w:numId w:val="16"/>
        </w:num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Profile &amp; Settings:</w:t>
      </w:r>
      <w:r w:rsidRPr="003D0B5C">
        <w:rPr>
          <w:rFonts w:ascii="Times New Roman" w:eastAsia="Times New Roman" w:hAnsi="Times New Roman" w:cs="Times New Roman"/>
          <w:color w:val="1F1F1F"/>
          <w:sz w:val="24"/>
          <w:szCs w:val="24"/>
          <w:highlight w:val="white"/>
          <w:lang w:val="en-MY"/>
        </w:rPr>
        <w:t xml:space="preserve"> Allows users to configure their monthly income, recurring bills, per-category spending limits, and language preference (English / Bahasa Malaysia).</w:t>
      </w:r>
      <w:r w:rsidRPr="003D0B5C">
        <w:rPr>
          <w:rFonts w:ascii="Times New Roman" w:eastAsia="Times New Roman" w:hAnsi="Times New Roman" w:cs="Times New Roman"/>
          <w:b/>
          <w:bCs/>
          <w:color w:val="1F1F1F"/>
          <w:sz w:val="24"/>
          <w:szCs w:val="24"/>
          <w:highlight w:val="white"/>
          <w:lang w:val="en-MY"/>
        </w:rPr>
        <w:t xml:space="preserve"> </w:t>
      </w:r>
      <w:r w:rsidRPr="003D0B5C">
        <w:rPr>
          <w:rFonts w:ascii="Times New Roman" w:eastAsia="Times New Roman" w:hAnsi="Times New Roman" w:cs="Times New Roman"/>
          <w:color w:val="1F1F1F"/>
          <w:sz w:val="24"/>
          <w:szCs w:val="24"/>
          <w:highlight w:val="white"/>
          <w:lang w:val="en-MY"/>
        </w:rPr>
        <w:t>A demo</w:t>
      </w:r>
      <w:r w:rsidRPr="003D0B5C">
        <w:rPr>
          <w:rFonts w:ascii="Times New Roman" w:eastAsia="Times New Roman" w:hAnsi="Times New Roman" w:cs="Times New Roman"/>
          <w:b/>
          <w:bCs/>
          <w:color w:val="1F1F1F"/>
          <w:sz w:val="24"/>
          <w:szCs w:val="24"/>
          <w:highlight w:val="white"/>
          <w:lang w:val="en-MY"/>
        </w:rPr>
        <w:t xml:space="preserve"> </w:t>
      </w:r>
      <w:r w:rsidRPr="003D0B5C">
        <w:rPr>
          <w:rFonts w:ascii="Times New Roman" w:eastAsia="Times New Roman" w:hAnsi="Times New Roman" w:cs="Times New Roman"/>
          <w:color w:val="1F1F1F"/>
          <w:sz w:val="24"/>
          <w:szCs w:val="24"/>
          <w:highlight w:val="white"/>
          <w:lang w:val="en-MY"/>
        </w:rPr>
        <w:t>mode allows toggling between two preset personas (Amirah and Martin) without deleting any real data.</w:t>
      </w:r>
    </w:p>
    <w:p w14:paraId="3AABD0E1"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4.3. AI Model &amp; Prompt Design</w:t>
      </w:r>
    </w:p>
    <w:p w14:paraId="6C7913F0" w14:textId="77777777" w:rsidR="003D0B5C" w:rsidRPr="003D0B5C" w:rsidRDefault="003D0B5C" w:rsidP="003D0B5C">
      <w:p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 xml:space="preserve">4.3.1. Model Selection: </w:t>
      </w:r>
      <w:r w:rsidRPr="003D0B5C">
        <w:rPr>
          <w:rFonts w:ascii="Times New Roman" w:eastAsia="Times New Roman" w:hAnsi="Times New Roman" w:cs="Times New Roman"/>
          <w:color w:val="1F1F1F"/>
          <w:sz w:val="24"/>
          <w:szCs w:val="24"/>
          <w:highlight w:val="white"/>
          <w:lang w:val="en-MY"/>
        </w:rPr>
        <w:t>BajetHidup uses Z.AI GLM (GLM-4) as the core language model. GLM-4 was selected for its strong multilingual capability in both English and Bahasa Malaysia, its instruction-following precision in structured JSON action outputs, its availability through the Z.AI hackathon partnership, and its ability to handle finance-domain reasoning tasks with context-rich system prompts. The model's proficiency in Southeast Asian language contexts makes it particularly well-suited to the Malaysian user base.</w:t>
      </w:r>
    </w:p>
    <w:p w14:paraId="7BFED3F9" w14:textId="77777777" w:rsidR="003D0B5C" w:rsidRPr="003D0B5C" w:rsidRDefault="003D0B5C" w:rsidP="003D0B5C">
      <w:p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4.3.2. Prompting Strategy</w:t>
      </w:r>
      <w:r w:rsidRPr="003D0B5C">
        <w:rPr>
          <w:rFonts w:ascii="Times New Roman" w:eastAsia="Times New Roman" w:hAnsi="Times New Roman" w:cs="Times New Roman"/>
          <w:color w:val="1F1F1F"/>
          <w:sz w:val="24"/>
          <w:szCs w:val="24"/>
          <w:highlight w:val="white"/>
          <w:lang w:val="en-MY"/>
        </w:rPr>
        <w:t>: BajetHidup uses a context-injection system prompting strategy. On every API call, the system prompt is rebuilt from scratch with the user's live financial data — income, bills, category limits, month-to-date transactions by category, goals with deadlines and monthly contributions, and AI-computed flags (categories near/over limit, goals at risk, projected overspend). This stateless rebuild approach ensures no stale financial context bleeds between sessions. The prompting strategy further instructs the GLM to respond in either plain natural language or a structured JSON action payload — never both — allowing the client to deterministically parse and execute agentic write operations such as creating goals or setting spending limits.</w:t>
      </w:r>
    </w:p>
    <w:p w14:paraId="7A16E5F9" w14:textId="77777777" w:rsidR="003D0B5C" w:rsidRPr="003D0B5C" w:rsidRDefault="003D0B5C" w:rsidP="003D0B5C">
      <w:p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 xml:space="preserve">4.3.3. Context &amp; Input Handling: </w:t>
      </w:r>
      <w:r w:rsidRPr="003D0B5C">
        <w:rPr>
          <w:rFonts w:ascii="Times New Roman" w:eastAsia="Times New Roman" w:hAnsi="Times New Roman" w:cs="Times New Roman"/>
          <w:color w:val="1F1F1F"/>
          <w:sz w:val="24"/>
          <w:szCs w:val="24"/>
          <w:highlight w:val="white"/>
          <w:lang w:val="en-MY"/>
        </w:rPr>
        <w:t xml:space="preserve">The system builds the financial context from five Supabase queries (user profile, recurring bills, category limits, current month transactions, and goals) combined in parallel before every GLM call. The full conversation history is truncated to the last 10 messages before submission to prevent context window overflow. Inputs exceeding reasonable </w:t>
      </w:r>
      <w:r w:rsidRPr="003D0B5C">
        <w:rPr>
          <w:rFonts w:ascii="Times New Roman" w:eastAsia="Times New Roman" w:hAnsi="Times New Roman" w:cs="Times New Roman"/>
          <w:color w:val="1F1F1F"/>
          <w:sz w:val="24"/>
          <w:szCs w:val="24"/>
          <w:highlight w:val="white"/>
          <w:lang w:val="en-MY"/>
        </w:rPr>
        <w:lastRenderedPageBreak/>
        <w:t>prompt bounds are not explicitly supported — the system is designed for short conversational turns rather than document upload or multi-page inputs. The welcome/greeting assistant message is filtered out of the conversation history before submission to avoid polluting the model's turn context.</w:t>
      </w:r>
    </w:p>
    <w:p w14:paraId="11E50751" w14:textId="0C2C02CE" w:rsidR="003D0B5C" w:rsidRDefault="003D0B5C" w:rsidP="003D0B5C">
      <w:p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4.3.4. Fallback &amp; Failure Behaviour</w:t>
      </w:r>
      <w:r w:rsidRPr="003D0B5C">
        <w:rPr>
          <w:rFonts w:ascii="Times New Roman" w:eastAsia="Times New Roman" w:hAnsi="Times New Roman" w:cs="Times New Roman"/>
          <w:color w:val="1F1F1F"/>
          <w:sz w:val="24"/>
          <w:szCs w:val="24"/>
          <w:highlight w:val="white"/>
          <w:lang w:val="en-MY"/>
        </w:rPr>
        <w:t>: If the GLM returns a response that cannot be parsed as a valid structured action, the system treats the response as a plain text message and renders it as a chat bubble. A fallback message — "I couldn't generate a response. Please try again." — is shown if the API call returns a non-OK status or the response body is empty. No automatic retry logic is implemented; the user is expected to re-send their message. Hallucinated financial figures are mitigated by grounding the system prompt with the user's actual Supabase data on every call — the model is told explicitly what the user's real numbers are, reducing the likelihood of fabricated figures.</w:t>
      </w:r>
    </w:p>
    <w:p w14:paraId="7CBFDDCC" w14:textId="77777777" w:rsidR="003D0B5C" w:rsidRPr="003D0B5C" w:rsidRDefault="003D0B5C" w:rsidP="003D0B5C">
      <w:pPr>
        <w:spacing w:after="300" w:line="360" w:lineRule="auto"/>
        <w:jc w:val="both"/>
        <w:rPr>
          <w:rFonts w:ascii="Times New Roman" w:eastAsia="Times New Roman" w:hAnsi="Times New Roman" w:cs="Times New Roman"/>
          <w:color w:val="1F1F1F"/>
          <w:sz w:val="24"/>
          <w:szCs w:val="24"/>
          <w:highlight w:val="white"/>
          <w:lang w:val="en-MY"/>
        </w:rPr>
      </w:pPr>
    </w:p>
    <w:p w14:paraId="1A5673D0"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5. User Stories &amp; Use Cases</w:t>
      </w:r>
    </w:p>
    <w:p w14:paraId="01A5ADAF"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User Stories:</w:t>
      </w:r>
    </w:p>
    <w:p w14:paraId="4C04D21D"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"As a young working adult, I want to ask my finance app in plain language whether I can afford a purchase this month, so that I get a direct answer without calculating it myself."</w:t>
      </w:r>
    </w:p>
    <w:p w14:paraId="6FFD7D92"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"As a student saving for a laptop, I want my app to create a savings goal through conversation and automatically track my monthly progress, so that I stay on course without manual updates."</w:t>
      </w:r>
    </w:p>
    <w:p w14:paraId="6AC749F0"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"As a Bahasa Malaysia speaker, I want to interact with my finance app in my preferred language, so that I can understand and trust the advice given."</w:t>
      </w:r>
    </w:p>
    <w:p w14:paraId="7A6C7EC9"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"As a habitual weekend spender, I want the app to detect my spending pattern and suggest what to cut, so that I can make an informed trade-off between lifestyle and savings."</w:t>
      </w:r>
    </w:p>
    <w:p w14:paraId="2F48D5F0"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p>
    <w:p w14:paraId="6ED08D83" w14:textId="77777777" w:rsid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p>
    <w:p w14:paraId="184427D7" w14:textId="67ACE4C0"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Use Cases (Main Interactions):</w:t>
      </w:r>
    </w:p>
    <w:p w14:paraId="09B919CF"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Affordability Check Flow: User opens the AI Negotiator and asks "Can I afford to buy new shoes this month?". The GLM checks the user's remaining discretionary budget, current category spending versus limits, and goal contribution requirements, then returns a direct yes/no with a brief contextual explanation.</w:t>
      </w:r>
    </w:p>
    <w:p w14:paraId="1D1FBE3E"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Goal Creation Flow: User says "I want to save for a trip to Bali in 7 months for RM2,000.". The GLM calculates the required monthly contribution, checks feasibility against the user's income and existing commitments, and if viable, returns a structured JSON action that creates the goal directly in Supabase — no form filling required.</w:t>
      </w:r>
    </w:p>
    <w:p w14:paraId="65D21229"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Pattern-to-AI Flow: User taps a behavioural pattern chip on the Insights page (e.g. "GrabFood Reliant"). The app navigates to the AI Negotiator page with a pre-loaded context query. The GLM opens by analysing the user's GrabFood-category spending and offers specific, data-grounded suggestions.</w:t>
      </w:r>
    </w:p>
    <w:p w14:paraId="470F8D3B"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Category Limit Setting Flow: User asks the AI to "limit my shopping to RM200 next month.". The GLM confirms the request, and issues a SET_CATEGORY_LIMIT action that writes the limit to Supabase in real time, reflected immediately on the Home and Insights pages.</w:t>
      </w:r>
    </w:p>
    <w:p w14:paraId="3AA9DE36"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p>
    <w:p w14:paraId="21BE85ED"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6. Features Included (Scope Definition)</w:t>
      </w:r>
    </w:p>
    <w:p w14:paraId="25249371"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lastRenderedPageBreak/>
        <w:t>Bilingual conversational AI interface (English and Bahasa Malaysia) powered by Z.AI GLM-4, capable of reading and writing user financial data through structured action payloads</w:t>
      </w:r>
    </w:p>
    <w:p w14:paraId="07390E53"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Home dashboard with real-time spending health ring, per-category cards, AI-generated daily insight card, and transaction feed</w:t>
      </w:r>
    </w:p>
    <w:p w14:paraId="32E74970"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Financial intelligence dashboard with 10+ GLM-generated insight components including weekly trends, burn rate, savings velocity, what-if simulator, pattern detection, and goal tracking</w:t>
      </w:r>
    </w:p>
    <w:p w14:paraId="6DF92BDF"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AI Negotiator chat interface with context-aware conversation, suggested prompts, decision cards, and goal preview cards</w:t>
      </w:r>
    </w:p>
    <w:p w14:paraId="0B14F038"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Profile page with income, recurring bills, and category limit configuration, plus language toggle and demo mode persona switching</w:t>
      </w:r>
    </w:p>
    <w:p w14:paraId="3D503E87"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Supabase-backed data persistence for transactions, goals, recurring bills, category limits, and user profiles</w:t>
      </w:r>
    </w:p>
    <w:p w14:paraId="4A7BA4FF"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Demo mode with two preset financial personas (Amirah and Martin) for demonstration purposes without affecting real user data</w:t>
      </w:r>
    </w:p>
    <w:p w14:paraId="0475B052"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p>
    <w:p w14:paraId="31F9D98F"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7. Features Not Included (Scope Control)</w:t>
      </w:r>
    </w:p>
    <w:p w14:paraId="591C1D63"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Native mobile applications (iOS or Android) — BajetHidup is a mobile-responsive web app only</w:t>
      </w:r>
    </w:p>
    <w:p w14:paraId="26A04206"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Direct bank account integration or Open Banking API connectivity — all transactions are manually logged or seeded</w:t>
      </w:r>
    </w:p>
    <w:p w14:paraId="6D119899"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lastRenderedPageBreak/>
        <w:t>Multi-user accounts, family budgeting, or shared finance features — the system is single-user per session</w:t>
      </w:r>
    </w:p>
    <w:p w14:paraId="57181D2B"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Receipt scanning, OCR, or image-based transaction logging</w:t>
      </w:r>
    </w:p>
    <w:p w14:paraId="5323D090"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Automated recurring bill detection from bank statements</w:t>
      </w:r>
    </w:p>
    <w:p w14:paraId="20050B44"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Export to PDF, CSV, or spreadsheet formats</w:t>
      </w:r>
    </w:p>
    <w:p w14:paraId="7C8DF934"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Push notifications or email alerts for spending limit breaches</w:t>
      </w:r>
    </w:p>
    <w:p w14:paraId="6D9E475C"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Investment tracking, stock portfolio management, or EPF/ASB contribution monitoring</w:t>
      </w:r>
    </w:p>
    <w:p w14:paraId="6C247DD8"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color w:val="1F1F1F"/>
          <w:sz w:val="24"/>
          <w:szCs w:val="24"/>
          <w:highlight w:val="white"/>
          <w:lang w:val="en-MY"/>
        </w:rPr>
        <w:t>Financial product recommendations (credit cards, loans, insurance) or third-party affiliate integrations</w:t>
      </w:r>
    </w:p>
    <w:p w14:paraId="4EFCB730"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p>
    <w:p w14:paraId="500C7FAF"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8. Assumptions &amp; Constraints</w:t>
      </w:r>
    </w:p>
    <w:p w14:paraId="0A8B2ED9" w14:textId="77777777" w:rsidR="003D0B5C" w:rsidRPr="003D0B5C" w:rsidRDefault="003D0B5C" w:rsidP="003D0B5C">
      <w:p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 xml:space="preserve">LLM Cost Constraint: </w:t>
      </w:r>
      <w:r w:rsidRPr="003D0B5C">
        <w:rPr>
          <w:rFonts w:ascii="Times New Roman" w:eastAsia="Times New Roman" w:hAnsi="Times New Roman" w:cs="Times New Roman"/>
          <w:color w:val="1F1F1F"/>
          <w:sz w:val="24"/>
          <w:szCs w:val="24"/>
          <w:highlight w:val="white"/>
          <w:lang w:val="en-MY"/>
        </w:rPr>
        <w:t>Each user session is estimated to consume approximately 3,000–6,000 tokens per conversation turn (system prompt context + conversation history + response), with the financial context system prompt accounting for roughly 1,200–2,000 tokens alone. To manage inference costs, the system prompt is lean and structured rather than verbose, the conversation history is hard-capped at 10 prior messages, and the rebuild-on-every-call approach avoids unnecessary context repetition. No response caching is implemented in the current version as financial data changes between sessions.</w:t>
      </w:r>
    </w:p>
    <w:p w14:paraId="1890FF3F" w14:textId="77777777" w:rsidR="003D0B5C" w:rsidRPr="003D0B5C" w:rsidRDefault="003D0B5C" w:rsidP="003D0B5C">
      <w:p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 xml:space="preserve">Technical Constraints: </w:t>
      </w:r>
      <w:r w:rsidRPr="003D0B5C">
        <w:rPr>
          <w:rFonts w:ascii="Times New Roman" w:eastAsia="Times New Roman" w:hAnsi="Times New Roman" w:cs="Times New Roman"/>
          <w:color w:val="1F1F1F"/>
          <w:sz w:val="24"/>
          <w:szCs w:val="24"/>
          <w:highlight w:val="white"/>
          <w:lang w:val="en-MY"/>
        </w:rPr>
        <w:t xml:space="preserve">The app requires a live internet connection at all times, as all GLM calls are server-side and all data is stored in Supabase. There is no offline mode. The application is designed and tested for mobile viewports (390px width) first, with responsive scaling to desktop. </w:t>
      </w:r>
      <w:r w:rsidRPr="003D0B5C">
        <w:rPr>
          <w:rFonts w:ascii="Times New Roman" w:eastAsia="Times New Roman" w:hAnsi="Times New Roman" w:cs="Times New Roman"/>
          <w:color w:val="1F1F1F"/>
          <w:sz w:val="24"/>
          <w:szCs w:val="24"/>
          <w:highlight w:val="white"/>
          <w:lang w:val="en-MY"/>
        </w:rPr>
        <w:lastRenderedPageBreak/>
        <w:t>The Z.AI GLM model (GLM-4) is the only supported AI backend — swapping to another model would require prompt re-engineering and action parser validation.</w:t>
      </w:r>
    </w:p>
    <w:p w14:paraId="0D9CC126" w14:textId="77777777" w:rsidR="003D0B5C" w:rsidRPr="003D0B5C" w:rsidRDefault="003D0B5C" w:rsidP="003D0B5C">
      <w:p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 xml:space="preserve">Performance Constraints: </w:t>
      </w:r>
      <w:r w:rsidRPr="003D0B5C">
        <w:rPr>
          <w:rFonts w:ascii="Times New Roman" w:eastAsia="Times New Roman" w:hAnsi="Times New Roman" w:cs="Times New Roman"/>
          <w:color w:val="1F1F1F"/>
          <w:sz w:val="24"/>
          <w:szCs w:val="24"/>
          <w:highlight w:val="white"/>
          <w:lang w:val="en-MY"/>
        </w:rPr>
        <w:t>GLM response latency is expected to range from 2–6 seconds per turn, which is considered acceptable for a conversational advisor context. The Insights page loads all GLM-generated components client-side from Supabase data; no server-side rendering optimisation has been applied for this release.</w:t>
      </w:r>
    </w:p>
    <w:p w14:paraId="51AA7731" w14:textId="77777777" w:rsidR="003D0B5C" w:rsidRPr="003D0B5C" w:rsidRDefault="003D0B5C" w:rsidP="003D0B5C">
      <w:p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 xml:space="preserve">User Input: </w:t>
      </w:r>
      <w:r w:rsidRPr="003D0B5C">
        <w:rPr>
          <w:rFonts w:ascii="Times New Roman" w:eastAsia="Times New Roman" w:hAnsi="Times New Roman" w:cs="Times New Roman"/>
          <w:color w:val="1F1F1F"/>
          <w:sz w:val="24"/>
          <w:szCs w:val="24"/>
          <w:highlight w:val="white"/>
          <w:lang w:val="en-MY"/>
        </w:rPr>
        <w:t>The system requires users to manually input their income, bills, and transactions. There is no automated data import mechanism. The accuracy of all GLM financial advice is entirely dependent on the accuracy and completeness of the data the user provides. The GLM is not ready to be used without a populated Supabase dataset — an empty account will result in generic and less useful advice.</w:t>
      </w:r>
    </w:p>
    <w:p w14:paraId="13AB68F9"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p>
    <w:p w14:paraId="31E6C797"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9. Risks &amp; Questions Throughout Development</w:t>
      </w:r>
    </w:p>
    <w:p w14:paraId="7D83A8FE"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 xml:space="preserve">Financial Advice Accuracy: </w:t>
      </w:r>
      <w:r w:rsidRPr="003D0B5C">
        <w:rPr>
          <w:rFonts w:ascii="Times New Roman" w:eastAsia="Times New Roman" w:hAnsi="Times New Roman" w:cs="Times New Roman"/>
          <w:color w:val="1F1F1F"/>
          <w:sz w:val="24"/>
          <w:szCs w:val="24"/>
          <w:highlight w:val="white"/>
          <w:lang w:val="en-MY"/>
        </w:rPr>
        <w:t>How do we ensure the GLM does not generate financial recommendations that are mathematically inconsistent with the user's actual Supabase data? The mitigation is grounding every system prompt with real computed figures, but edge cases (e.g. mid-month income changes) may still cause confusion.</w:t>
      </w:r>
    </w:p>
    <w:p w14:paraId="3EF720DE"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Hallucinated Action Payloads</w:t>
      </w:r>
      <w:r w:rsidRPr="003D0B5C">
        <w:rPr>
          <w:rFonts w:ascii="Times New Roman" w:eastAsia="Times New Roman" w:hAnsi="Times New Roman" w:cs="Times New Roman"/>
          <w:color w:val="1F1F1F"/>
          <w:sz w:val="24"/>
          <w:szCs w:val="24"/>
          <w:highlight w:val="white"/>
          <w:lang w:val="en-MY"/>
        </w:rPr>
        <w:t>: What happens if the GLM returns a malformed JSON action payload that partially matches the expected schema? The current parser fails gracefully and treats the response as plain text, but a partially executed action (e.g. a goal created with missing fields) could silently corrupt user data.</w:t>
      </w:r>
    </w:p>
    <w:p w14:paraId="29B4C396"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 xml:space="preserve">Bilingual Consistency: </w:t>
      </w:r>
      <w:r w:rsidRPr="003D0B5C">
        <w:rPr>
          <w:rFonts w:ascii="Times New Roman" w:eastAsia="Times New Roman" w:hAnsi="Times New Roman" w:cs="Times New Roman"/>
          <w:color w:val="1F1F1F"/>
          <w:sz w:val="24"/>
          <w:szCs w:val="24"/>
          <w:highlight w:val="white"/>
          <w:lang w:val="en-MY"/>
        </w:rPr>
        <w:t>Will the GLM consistently maintain the user's chosen language across an entire conversation session, especially when the user switches languages mid-</w:t>
      </w:r>
      <w:r w:rsidRPr="003D0B5C">
        <w:rPr>
          <w:rFonts w:ascii="Times New Roman" w:eastAsia="Times New Roman" w:hAnsi="Times New Roman" w:cs="Times New Roman"/>
          <w:color w:val="1F1F1F"/>
          <w:sz w:val="24"/>
          <w:szCs w:val="24"/>
          <w:highlight w:val="white"/>
          <w:lang w:val="en-MY"/>
        </w:rPr>
        <w:lastRenderedPageBreak/>
        <w:t>conversation? Prompt instructions specify language adherence, but enforcement relies entirely on the model's instruction-following fidelity.</w:t>
      </w:r>
    </w:p>
    <w:p w14:paraId="16C00A4A"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 xml:space="preserve">Demo Persona Separation: </w:t>
      </w:r>
      <w:r w:rsidRPr="003D0B5C">
        <w:rPr>
          <w:rFonts w:ascii="Times New Roman" w:eastAsia="Times New Roman" w:hAnsi="Times New Roman" w:cs="Times New Roman"/>
          <w:color w:val="1F1F1F"/>
          <w:sz w:val="24"/>
          <w:szCs w:val="24"/>
          <w:highlight w:val="white"/>
          <w:lang w:val="en-MY"/>
        </w:rPr>
        <w:t>If a user switches between demo mode personas (Amirah and Martin) and then back to their real account, is there any risk of cross-persona data contamination? The current design uses separate Supabase user IDs per persona, but the risk of ID leakage during rapid switching needs validation.</w:t>
      </w:r>
    </w:p>
    <w:p w14:paraId="60578695" w14:textId="77777777" w:rsidR="003D0B5C" w:rsidRPr="003D0B5C" w:rsidRDefault="003D0B5C" w:rsidP="003D0B5C">
      <w:pPr>
        <w:numPr>
          <w:ilvl w:val="0"/>
          <w:numId w:val="16"/>
        </w:numPr>
        <w:spacing w:after="300" w:line="360" w:lineRule="auto"/>
        <w:jc w:val="both"/>
        <w:rPr>
          <w:rFonts w:ascii="Times New Roman" w:eastAsia="Times New Roman" w:hAnsi="Times New Roman" w:cs="Times New Roman"/>
          <w:color w:val="1F1F1F"/>
          <w:sz w:val="24"/>
          <w:szCs w:val="24"/>
          <w:highlight w:val="white"/>
          <w:lang w:val="en-MY"/>
        </w:rPr>
      </w:pPr>
      <w:r w:rsidRPr="003D0B5C">
        <w:rPr>
          <w:rFonts w:ascii="Times New Roman" w:eastAsia="Times New Roman" w:hAnsi="Times New Roman" w:cs="Times New Roman"/>
          <w:b/>
          <w:bCs/>
          <w:color w:val="1F1F1F"/>
          <w:sz w:val="24"/>
          <w:szCs w:val="24"/>
          <w:highlight w:val="white"/>
          <w:lang w:val="en-MY"/>
        </w:rPr>
        <w:t xml:space="preserve">Context Window Overflow at Scale: </w:t>
      </w:r>
      <w:r w:rsidRPr="003D0B5C">
        <w:rPr>
          <w:rFonts w:ascii="Times New Roman" w:eastAsia="Times New Roman" w:hAnsi="Times New Roman" w:cs="Times New Roman"/>
          <w:color w:val="1F1F1F"/>
          <w:sz w:val="24"/>
          <w:szCs w:val="24"/>
          <w:highlight w:val="white"/>
          <w:lang w:val="en-MY"/>
        </w:rPr>
        <w:t>As a user accumulates more transactions and goals over months of real usage, the system prompt and history may approach GLM-4's context limit. The current 10-message cap on history mitigates this, but the financial context itself (particularly large transaction arrays) may need chunking or summarisation strategies in future versions.</w:t>
      </w:r>
    </w:p>
    <w:p w14:paraId="4A11C707" w14:textId="77777777" w:rsidR="003D0B5C" w:rsidRPr="003D0B5C" w:rsidRDefault="003D0B5C" w:rsidP="003D0B5C">
      <w:pPr>
        <w:spacing w:after="300" w:line="360" w:lineRule="auto"/>
        <w:jc w:val="both"/>
        <w:rPr>
          <w:rFonts w:ascii="Times New Roman" w:eastAsia="Times New Roman" w:hAnsi="Times New Roman" w:cs="Times New Roman"/>
          <w:b/>
          <w:bCs/>
          <w:color w:val="1F1F1F"/>
          <w:sz w:val="24"/>
          <w:szCs w:val="24"/>
          <w:highlight w:val="white"/>
        </w:rPr>
      </w:pPr>
    </w:p>
    <w:sectPr w:rsidR="003D0B5C" w:rsidRPr="003D0B5C">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26747" w14:textId="77777777" w:rsidR="00904775" w:rsidRDefault="00904775">
      <w:pPr>
        <w:spacing w:line="240" w:lineRule="auto"/>
      </w:pPr>
      <w:r>
        <w:separator/>
      </w:r>
    </w:p>
  </w:endnote>
  <w:endnote w:type="continuationSeparator" w:id="0">
    <w:p w14:paraId="5EB23A73" w14:textId="77777777" w:rsidR="00904775" w:rsidRDefault="009047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42D6955-7732-431B-A05C-BDFA8639059B}"/>
    <w:embedItalic r:id="rId2" w:fontKey="{4BD20DDD-AF96-457F-A15B-849E8E6648D5}"/>
  </w:font>
  <w:font w:name="Calibri">
    <w:panose1 w:val="020F0502020204030204"/>
    <w:charset w:val="00"/>
    <w:family w:val="swiss"/>
    <w:pitch w:val="variable"/>
    <w:sig w:usb0="E4002EFF" w:usb1="C200247B" w:usb2="00000009" w:usb3="00000000" w:csb0="000001FF" w:csb1="00000000"/>
    <w:embedRegular r:id="rId3" w:fontKey="{EF845394-2FFE-44C9-B425-DDE87E0F19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C0DF" w14:textId="77777777" w:rsidR="00016F2A" w:rsidRDefault="00000000">
    <w:pPr>
      <w:spacing w:before="240" w:after="240" w:line="360" w:lineRule="auto"/>
    </w:pPr>
    <w:r>
      <w:rPr>
        <w:i/>
        <w:iCs/>
        <w:color w:val="666666"/>
      </w:rPr>
      <w:t xml:space="preserve">© UMHackathon 2026               </w:t>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rFonts w:ascii="Cambria" w:eastAsia="Cambria" w:hAnsi="Cambria" w:cs="Cambria"/>
        <w:i/>
        <w:iCs/>
        <w:color w:val="666666"/>
      </w:rPr>
      <w:t xml:space="preserve">                     </w:t>
    </w:r>
    <w:r>
      <w:rPr>
        <w:i/>
        <w:iCs/>
        <w:color w:val="666666"/>
      </w:rPr>
      <w:t xml:space="preserve"> Email: </w:t>
    </w:r>
    <w:r>
      <w:rPr>
        <w:i/>
        <w:iCs/>
        <w:color w:val="1155CC"/>
        <w:u w:val="single"/>
      </w:rPr>
      <w:t>umhackathon@um.edu.my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AC297" w14:textId="77777777" w:rsidR="00904775" w:rsidRDefault="00904775">
      <w:pPr>
        <w:spacing w:line="240" w:lineRule="auto"/>
      </w:pPr>
      <w:r>
        <w:separator/>
      </w:r>
    </w:p>
  </w:footnote>
  <w:footnote w:type="continuationSeparator" w:id="0">
    <w:p w14:paraId="01F63E46" w14:textId="77777777" w:rsidR="00904775" w:rsidRDefault="009047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C4F91" w14:textId="77777777" w:rsidR="00016F2A" w:rsidRDefault="00000000">
    <w:r>
      <w:t xml:space="preserve">                                                                                               </w:t>
    </w:r>
    <w:r>
      <w:rPr>
        <w:noProof/>
      </w:rPr>
      <w:drawing>
        <wp:inline distT="0" distB="0" distL="0" distR="0" wp14:anchorId="2B8B7CED" wp14:editId="21446897">
          <wp:extent cx="2078797" cy="519814"/>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078797" cy="519814"/>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586D3030" wp14:editId="6FDE7847">
          <wp:simplePos x="0" y="0"/>
          <wp:positionH relativeFrom="column">
            <wp:posOffset>114300</wp:posOffset>
          </wp:positionH>
          <wp:positionV relativeFrom="paragraph">
            <wp:posOffset>114300</wp:posOffset>
          </wp:positionV>
          <wp:extent cx="1207851" cy="3810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07851" cy="381000"/>
                  </a:xfrm>
                  <a:prstGeom prst="rect">
                    <a:avLst/>
                  </a:prstGeom>
                  <a:ln/>
                </pic:spPr>
              </pic:pic>
            </a:graphicData>
          </a:graphic>
        </wp:anchor>
      </w:drawing>
    </w:r>
    <w:r>
      <w:rPr>
        <w:noProof/>
      </w:rPr>
      <w:drawing>
        <wp:anchor distT="0" distB="0" distL="0" distR="0" simplePos="0" relativeHeight="251659264" behindDoc="0" locked="0" layoutInCell="1" hidden="0" allowOverlap="1" wp14:anchorId="44B929A3" wp14:editId="0E7F3726">
          <wp:simplePos x="0" y="0"/>
          <wp:positionH relativeFrom="column">
            <wp:posOffset>1978566</wp:posOffset>
          </wp:positionH>
          <wp:positionV relativeFrom="paragraph">
            <wp:posOffset>0</wp:posOffset>
          </wp:positionV>
          <wp:extent cx="1325982" cy="501723"/>
          <wp:effectExtent l="0" t="0" r="0" b="0"/>
          <wp:wrapNone/>
          <wp:docPr id="3" name="image3.png" descr="A logo with a circle and a circuit boar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A logo with a circle and a circuit board&#10;&#10;Description automatically generated with medium confidence"/>
                  <pic:cNvPicPr preferRelativeResize="0"/>
                </pic:nvPicPr>
                <pic:blipFill>
                  <a:blip r:embed="rId3"/>
                  <a:srcRect/>
                  <a:stretch>
                    <a:fillRect/>
                  </a:stretch>
                </pic:blipFill>
                <pic:spPr>
                  <a:xfrm>
                    <a:off x="0" y="0"/>
                    <a:ext cx="1325982" cy="50172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BDE"/>
    <w:multiLevelType w:val="multilevel"/>
    <w:tmpl w:val="AD0C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C6760"/>
    <w:multiLevelType w:val="multilevel"/>
    <w:tmpl w:val="3ABA82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4E1899"/>
    <w:multiLevelType w:val="multilevel"/>
    <w:tmpl w:val="B748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72F6D"/>
    <w:multiLevelType w:val="multilevel"/>
    <w:tmpl w:val="4E7A0C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771A13"/>
    <w:multiLevelType w:val="multilevel"/>
    <w:tmpl w:val="7396CD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2D6413"/>
    <w:multiLevelType w:val="multilevel"/>
    <w:tmpl w:val="05D6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763B6"/>
    <w:multiLevelType w:val="multilevel"/>
    <w:tmpl w:val="0BEEE73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DD10B0"/>
    <w:multiLevelType w:val="multilevel"/>
    <w:tmpl w:val="E57EA2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054C8D"/>
    <w:multiLevelType w:val="multilevel"/>
    <w:tmpl w:val="F4E4559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C836C1"/>
    <w:multiLevelType w:val="multilevel"/>
    <w:tmpl w:val="7F0C7E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160B26"/>
    <w:multiLevelType w:val="multilevel"/>
    <w:tmpl w:val="C342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6234DD"/>
    <w:multiLevelType w:val="multilevel"/>
    <w:tmpl w:val="6406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E0FD1"/>
    <w:multiLevelType w:val="multilevel"/>
    <w:tmpl w:val="D6063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5449AA"/>
    <w:multiLevelType w:val="multilevel"/>
    <w:tmpl w:val="83BC427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9B50624"/>
    <w:multiLevelType w:val="multilevel"/>
    <w:tmpl w:val="626C505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C21E11"/>
    <w:multiLevelType w:val="hybridMultilevel"/>
    <w:tmpl w:val="67C42958"/>
    <w:lvl w:ilvl="0" w:tplc="70A85EFE">
      <w:start w:val="1"/>
      <w:numFmt w:val="bullet"/>
      <w:lvlText w:val="•"/>
      <w:lvlJc w:val="left"/>
      <w:pPr>
        <w:ind w:left="720" w:hanging="360"/>
      </w:pPr>
    </w:lvl>
    <w:lvl w:ilvl="1" w:tplc="C40C77C0">
      <w:numFmt w:val="decimal"/>
      <w:lvlText w:val=""/>
      <w:lvlJc w:val="left"/>
      <w:pPr>
        <w:ind w:left="0" w:firstLine="0"/>
      </w:pPr>
    </w:lvl>
    <w:lvl w:ilvl="2" w:tplc="7248913C">
      <w:numFmt w:val="decimal"/>
      <w:lvlText w:val=""/>
      <w:lvlJc w:val="left"/>
      <w:pPr>
        <w:ind w:left="0" w:firstLine="0"/>
      </w:pPr>
    </w:lvl>
    <w:lvl w:ilvl="3" w:tplc="0E229C6C">
      <w:numFmt w:val="decimal"/>
      <w:lvlText w:val=""/>
      <w:lvlJc w:val="left"/>
      <w:pPr>
        <w:ind w:left="0" w:firstLine="0"/>
      </w:pPr>
    </w:lvl>
    <w:lvl w:ilvl="4" w:tplc="6506F95E">
      <w:numFmt w:val="decimal"/>
      <w:lvlText w:val=""/>
      <w:lvlJc w:val="left"/>
      <w:pPr>
        <w:ind w:left="0" w:firstLine="0"/>
      </w:pPr>
    </w:lvl>
    <w:lvl w:ilvl="5" w:tplc="48369530">
      <w:numFmt w:val="decimal"/>
      <w:lvlText w:val=""/>
      <w:lvlJc w:val="left"/>
      <w:pPr>
        <w:ind w:left="0" w:firstLine="0"/>
      </w:pPr>
    </w:lvl>
    <w:lvl w:ilvl="6" w:tplc="DBDAF122">
      <w:numFmt w:val="decimal"/>
      <w:lvlText w:val=""/>
      <w:lvlJc w:val="left"/>
      <w:pPr>
        <w:ind w:left="0" w:firstLine="0"/>
      </w:pPr>
    </w:lvl>
    <w:lvl w:ilvl="7" w:tplc="54522AAA">
      <w:numFmt w:val="decimal"/>
      <w:lvlText w:val=""/>
      <w:lvlJc w:val="left"/>
      <w:pPr>
        <w:ind w:left="0" w:firstLine="0"/>
      </w:pPr>
    </w:lvl>
    <w:lvl w:ilvl="8" w:tplc="0E0A0E08">
      <w:numFmt w:val="decimal"/>
      <w:lvlText w:val=""/>
      <w:lvlJc w:val="left"/>
      <w:pPr>
        <w:ind w:left="0" w:firstLine="0"/>
      </w:pPr>
    </w:lvl>
  </w:abstractNum>
  <w:num w:numId="1" w16cid:durableId="403916518">
    <w:abstractNumId w:val="4"/>
  </w:num>
  <w:num w:numId="2" w16cid:durableId="322972654">
    <w:abstractNumId w:val="14"/>
  </w:num>
  <w:num w:numId="3" w16cid:durableId="1095398774">
    <w:abstractNumId w:val="7"/>
  </w:num>
  <w:num w:numId="4" w16cid:durableId="138425133">
    <w:abstractNumId w:val="6"/>
  </w:num>
  <w:num w:numId="5" w16cid:durableId="739446004">
    <w:abstractNumId w:val="3"/>
  </w:num>
  <w:num w:numId="6" w16cid:durableId="1536387255">
    <w:abstractNumId w:val="13"/>
  </w:num>
  <w:num w:numId="7" w16cid:durableId="1033265575">
    <w:abstractNumId w:val="9"/>
  </w:num>
  <w:num w:numId="8" w16cid:durableId="1366370504">
    <w:abstractNumId w:val="8"/>
  </w:num>
  <w:num w:numId="9" w16cid:durableId="828248283">
    <w:abstractNumId w:val="1"/>
  </w:num>
  <w:num w:numId="10" w16cid:durableId="1224413590">
    <w:abstractNumId w:val="10"/>
  </w:num>
  <w:num w:numId="11" w16cid:durableId="1844584477">
    <w:abstractNumId w:val="11"/>
  </w:num>
  <w:num w:numId="12" w16cid:durableId="973829981">
    <w:abstractNumId w:val="12"/>
  </w:num>
  <w:num w:numId="13" w16cid:durableId="1008599210">
    <w:abstractNumId w:val="0"/>
  </w:num>
  <w:num w:numId="14" w16cid:durableId="1550533504">
    <w:abstractNumId w:val="5"/>
  </w:num>
  <w:num w:numId="15" w16cid:durableId="1599018067">
    <w:abstractNumId w:val="2"/>
  </w:num>
  <w:num w:numId="16" w16cid:durableId="1785730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F2A"/>
    <w:rsid w:val="00016F2A"/>
    <w:rsid w:val="00152CA1"/>
    <w:rsid w:val="003B78CA"/>
    <w:rsid w:val="003D0B5C"/>
    <w:rsid w:val="0058621B"/>
    <w:rsid w:val="00904775"/>
    <w:rsid w:val="00D46395"/>
    <w:rsid w:val="00E54D4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BB1B0"/>
  <w15:docId w15:val="{0CB6D4E2-2507-4EB7-B98C-B4288A0E5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3B78CA"/>
    <w:pPr>
      <w:spacing w:before="100" w:beforeAutospacing="1" w:after="100" w:afterAutospacing="1" w:line="240" w:lineRule="auto"/>
    </w:pPr>
    <w:rPr>
      <w:rFonts w:ascii="Times New Roman" w:eastAsia="Times New Roman" w:hAnsi="Times New Roman" w:cs="Times New Roman"/>
      <w:sz w:val="24"/>
      <w:szCs w:val="24"/>
      <w:lang w:val="en-MY"/>
    </w:rPr>
  </w:style>
  <w:style w:type="character" w:styleId="Strong">
    <w:name w:val="Strong"/>
    <w:basedOn w:val="DefaultParagraphFont"/>
    <w:uiPriority w:val="22"/>
    <w:qFormat/>
    <w:rsid w:val="003B78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2H4FjmZ6HVOAuyeWcXCFrX7gPA==">CgMxLjAyDWguamhtOHh3dm5pYnUyDmguNGR2Z3FiM3B6a3JsMg5oLm56d201Y2QweHNhcTIOaC5qOG11bG9samozaW4yDmguZG50enRxd2F4OGUxMg5oLmxpdzNwcDF5NXVzYjIOaC5jbnphYWZyZ2ZiaTIyDmguZWZ0MzdidDE3cDZ0Mg5oLjQxcDlmdWFrZzVnMzIOaC42d2syMjcyMWgyZ3cyDmguY3A2dzRmOWRucTdnMg5oLjRxZzQ3d2NobmRnbzIOaC44OWw2M3VlaWJ1dXkyDmguaG5sYWdoN3R4ajgxOAByITFMSzBmTXJNbFVLXzEzSnZtSk9fd0hDOXRfcVlWNjhy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12</Pages>
  <Words>2508</Words>
  <Characters>14301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Aidi, Muhammad Faizal Haris</cp:lastModifiedBy>
  <cp:revision>3</cp:revision>
  <dcterms:created xsi:type="dcterms:W3CDTF">2026-04-25T18:41:00Z</dcterms:created>
  <dcterms:modified xsi:type="dcterms:W3CDTF">2026-04-25T19:02:00Z</dcterms:modified>
</cp:coreProperties>
</file>