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B902" w14:textId="77777777" w:rsidR="00290AC6" w:rsidRDefault="00290AC6" w:rsidP="00EB27B7">
      <w:pPr>
        <w:jc w:val="center"/>
        <w:rPr>
          <w:rFonts w:ascii="Calibri" w:hAnsi="Calibri"/>
          <w:b/>
          <w:sz w:val="48"/>
        </w:rPr>
      </w:pPr>
    </w:p>
    <w:p w14:paraId="25413FE2" w14:textId="68F88135" w:rsidR="00EB27B7" w:rsidRDefault="00312490" w:rsidP="00EB27B7">
      <w:pPr>
        <w:jc w:val="center"/>
      </w:pPr>
      <w:r>
        <w:rPr>
          <w:rFonts w:ascii="Calibri" w:hAnsi="Calibri"/>
          <w:b/>
          <w:sz w:val="48"/>
        </w:rPr>
        <w:t xml:space="preserve">Long-Term Effects of COVID-19 Vaccines on the Human Body</w:t>
      </w:r>
    </w:p>
    <w:p w14:paraId="533C9266" w14:textId="77777777" w:rsidR="00EB27B7" w:rsidRDefault="00EB27B7" w:rsidP="00EB27B7">
      <w:pPr>
        <w:jc w:val="center"/>
      </w:pPr>
      <w:r>
        <w:rPr>
          <w:rFonts w:ascii="Calibri" w:hAnsi="Calibri"/>
          <w:sz w:val="28"/>
        </w:rPr>
        <w:t xml:space="preserve">A Comprehensive Scientific Review of Safety, Efficacy, and Emerging Research</w:t>
      </w:r>
    </w:p>
    <w:p w14:paraId="55C92FF7" w14:textId="77777777" w:rsidR="00EB27B7" w:rsidRDefault="00EB27B7" w:rsidP="00EB27B7"/>
    <w:p w14:paraId="2241F990" w14:textId="77777777" w:rsidR="00EB27B7" w:rsidRDefault="00EB27B7" w:rsidP="00EB27B7"/>
    <w:p w14:paraId="07684EDB" w14:textId="77777777" w:rsidR="000D2336" w:rsidRDefault="00EB27B7" w:rsidP="00EB27B7">
      <w:pPr>
        <w:jc w:val="center"/>
        <w:rPr>
          <w:rFonts w:ascii="Calibri" w:hAnsi="Calibri"/>
          <w:sz w:val="22"/>
        </w:rPr>
      </w:pPr>
      <w:r>
        <w:rPr>
          <w:rFonts w:ascii="Calibri" w:hAnsi="Calibri"/>
          <w:sz w:val="22"/>
        </w:rPr>
        <w:t xml:space="preserve">Client: Healthcare Professionals, Policymakers, Educators, and General Public</w:t>
      </w:r>
      <w:r>
        <w:rPr>
          <w:rFonts w:ascii="Calibri" w:hAnsi="Calibri"/>
          <w:sz w:val="22"/>
        </w:rPr>
        <w:br/>
        <w:t xml:space="preserve">Prepared for: Evidence-Based Medical Documentation Initiative</w:t>
      </w:r>
      <w:r>
        <w:rPr>
          <w:rFonts w:ascii="Calibri" w:hAnsi="Calibri"/>
          <w:sz w:val="22"/>
        </w:rPr>
        <w:br/>
        <w:t xml:space="preserve">Prepared by: </w:t>
      </w:r>
      <w:r w:rsidR="000D2336">
        <w:rPr>
          <w:rFonts w:ascii="Calibri" w:hAnsi="Calibri"/>
          <w:sz w:val="22"/>
        </w:rPr>
        <w:t xml:space="preserve">Design-Bot AI Documentation System</w:t>
      </w:r>
    </w:p>
    <w:p w14:paraId="580FD331" w14:textId="43407DE1" w:rsidR="00EB27B7" w:rsidRDefault="00EB27B7" w:rsidP="00EB27B7">
      <w:pPr>
        <w:jc w:val="center"/>
      </w:pPr>
      <w:r>
        <w:rPr>
          <w:rFonts w:ascii="Calibri" w:hAnsi="Calibri"/>
          <w:sz w:val="22"/>
        </w:rPr>
        <w:t xml:space="preserve">Date: January 2026</w:t>
      </w:r>
    </w:p>
    <w:p w14:paraId="7225DC62" w14:textId="77777777" w:rsidR="00EB27B7" w:rsidRDefault="00EB27B7" w:rsidP="00EB27B7"/>
    <w:p w14:paraId="318496C9" w14:textId="77777777" w:rsidR="00EB27B7" w:rsidRDefault="00EB27B7" w:rsidP="00EB27B7">
      <w:pPr>
        <w:jc w:val="center"/>
      </w:pPr>
      <w:r>
        <w:rPr>
          <w:rFonts w:ascii="Calibri" w:hAnsi="Calibri"/>
          <w:i/>
        </w:rPr>
        <w:t xml:space="preserve">This document is intended for educational and informational purposes. It reflects the state of scientific knowledge as of January 2026. For the most current information, consult official health authorities and peer-reviewed scientific literature.</w:t>
      </w:r>
      <w:r>
        <w:rPr>
          <w:rFonts w:ascii="Calibri" w:hAnsi="Calibri"/>
          <w:i/>
        </w:rPr>
        <w:br/>
        <w:t xml:space="preserve">To provide a comprehensive, evidence-based exploration of the long-term effects of COVID-19 vaccines, synthesizing data from large-scale epidemiological studies, mechanistic immunological research, and emerging clinical reports to inform healthcare decisions, public policy, and public understanding.</w:t>
      </w:r>
    </w:p>
    <w:p w14:paraId="4699682C" w14:textId="77777777" w:rsidR="00EB27B7" w:rsidRDefault="00EB27B7" w:rsidP="00EB27B7">
      <w:r>
        <w:br w:type="page"/>
      </w:r>
    </w:p>
    <w:p>
      <w:pPr>
        <w:sectPr w:rsidR="006C3ED7" w:rsidRPr="00777527" w:rsidSect="00E97CAF">
          <w:headerReference w:type="default" r:id="rId8"/>
          <w:footerReference w:type="default" r:id="rId9"/>
          <w:headerReference w:type="first" r:id="rId10"/>
          <w:footerReference w:type="first" r:id="rId11"/>
          <w:pgSz w:w="12240" w:h="15840"/>
          <w:pgMar w:top="1909" w:right="1442" w:bottom="1800" w:left="1433" w:header="720" w:footer="432" w:gutter="0"/>
          <w:cols w:space="720"/>
          <w:titlePg/>
          <w:docGrid w:linePitch="299"/>
        </w:sectPr>
      </w:pPr>
    </w:p>
    <w:p>
      <w:pPr>
        <w:pStyle w:val="Title"/>
      </w:pPr>
      <w:r>
        <w:t xml:space="preserve">Long-Term</w:t>
      </w:r>
      <w:r>
        <w:t xml:space="preserve"> </w:t>
      </w:r>
      <w:r>
        <w:t xml:space="preserve">Effects</w:t>
      </w:r>
      <w:r>
        <w:t xml:space="preserve"> </w:t>
      </w:r>
      <w:r>
        <w:t xml:space="preserve">of</w:t>
      </w:r>
      <w:r>
        <w:t xml:space="preserve"> </w:t>
      </w:r>
      <w:r>
        <w:t xml:space="preserve">COVID-19</w:t>
      </w:r>
      <w:r>
        <w:t xml:space="preserve"> </w:t>
      </w:r>
      <w:r>
        <w:t xml:space="preserve">Vaccines</w:t>
      </w:r>
      <w:r>
        <w:t xml:space="preserve"> </w:t>
      </w:r>
      <w:r>
        <w:t xml:space="preserve">on</w:t>
      </w:r>
      <w:r>
        <w:t xml:space="preserve"> </w:t>
      </w:r>
      <w:r>
        <w:t xml:space="preserve">the</w:t>
      </w:r>
      <w:r>
        <w:t xml:space="preserve"> </w:t>
      </w:r>
      <w:r>
        <w:t xml:space="preserve">Human</w:t>
      </w:r>
      <w:r>
        <w:t xml:space="preserve"> </w:t>
      </w:r>
      <w:r>
        <w:t xml:space="preserve">Body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The COVID-19 pandemic, caused by the SARS-CoV-2 virus, has been one of the most significant global health crises in modern history. In response, the rapid development and deployment of COVID-19 vaccines marked an unprecedented achievement in medical science, saving millions of lives and enabling societies to regain a semblance of normalcy. However, as with any new medical intervention, questions regarding the long-term effects of these vaccines on the human body have become a central concern for individuals, healthcare professionals, and policymakers alike.</w:t>
      </w:r>
    </w:p>
    <w:p>
      <w:pPr>
        <w:pStyle w:val="BodyText"/>
      </w:pPr>
      <w:r>
        <w:t xml:space="preserve">Understanding the long-term safety and efficacy of COVID-19 vaccines is crucial for maintaining public trust, guiding ongoing vaccination strategies, and informing future vaccine development. This document provides a comprehensive, evidence-based exploration of what is currently known about the long-term effects of COVID-19 vaccines, drawing on the latest scientific research, clinical trial data, and real-world evidence.</w:t>
      </w:r>
    </w:p>
    <w:p>
      <w:pPr>
        <w:pStyle w:val="Heading2"/>
      </w:pPr>
      <w:bookmarkStart w:id="21" w:name="key-findings-summary"/>
      <w:r>
        <w:t xml:space="preserve">Key Findings Summary</w:t>
      </w:r>
      <w:bookmarkEnd w:id="21"/>
    </w:p>
    <w:tbl>
      <w:tblPr>
        <w:tblStyle w:val="Table"/>
        <w:tblW w:type="pct" w:w="5000.0"/>
        <w:tblLook w:firstRow="1"/>
      </w:tblPr>
      <w:tblGrid>
        <w:gridCol w:w="2140"/>
        <w:gridCol w:w="2782"/>
        <w:gridCol w:w="2996"/>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Key Finding</w:t>
            </w:r>
          </w:p>
        </w:tc>
        <w:tc>
          <w:tcPr>
            <w:tcBorders>
              <w:bottom w:val="single"/>
            </w:tcBorders>
            <w:vAlign w:val="bottom"/>
          </w:tcPr>
          <w:p>
            <w:pPr>
              <w:pStyle w:val="Compact"/>
              <w:jc w:val="left"/>
            </w:pPr>
            <w:r>
              <w:t xml:space="preserve">Significance</w:t>
            </w:r>
          </w:p>
        </w:tc>
      </w:tr>
      <w:tr>
        <w:tc>
          <w:p>
            <w:pPr>
              <w:pStyle w:val="Compact"/>
              <w:jc w:val="left"/>
            </w:pPr>
            <w:r>
              <w:t xml:space="preserve">Overall Safety</w:t>
            </w:r>
          </w:p>
        </w:tc>
        <w:tc>
          <w:p>
            <w:pPr>
              <w:pStyle w:val="Compact"/>
              <w:jc w:val="left"/>
            </w:pPr>
            <w:r>
              <w:t xml:space="preserve">Serious adverse events are rare (&lt;1 in 100,000 doses)</w:t>
            </w:r>
          </w:p>
        </w:tc>
        <w:tc>
          <w:p>
            <w:pPr>
              <w:pStyle w:val="Compact"/>
              <w:jc w:val="left"/>
            </w:pPr>
            <w:r>
              <w:t xml:space="preserve">Benefits significantly outweigh risks</w:t>
            </w:r>
          </w:p>
        </w:tc>
      </w:tr>
      <w:tr>
        <w:tc>
          <w:p>
            <w:pPr>
              <w:pStyle w:val="Compact"/>
              <w:jc w:val="left"/>
            </w:pPr>
            <w:r>
              <w:t xml:space="preserve">Myocarditis Risk</w:t>
            </w:r>
          </w:p>
        </w:tc>
        <w:tc>
          <w:p>
            <w:pPr>
              <w:pStyle w:val="Compact"/>
              <w:jc w:val="left"/>
            </w:pPr>
            <w:r>
              <w:t xml:space="preserve">12-40 cases per million (young males, mRNA vaccines)</w:t>
            </w:r>
          </w:p>
        </w:tc>
        <w:tc>
          <w:p>
            <w:pPr>
              <w:pStyle w:val="Compact"/>
              <w:jc w:val="left"/>
            </w:pPr>
            <w:r>
              <w:t xml:space="preserve">Mostly mild with full recovery</w:t>
            </w:r>
          </w:p>
        </w:tc>
      </w:tr>
      <w:tr>
        <w:tc>
          <w:p>
            <w:pPr>
              <w:pStyle w:val="Compact"/>
              <w:jc w:val="left"/>
            </w:pPr>
            <w:r>
              <w:t xml:space="preserve">Long-term Mortality</w:t>
            </w:r>
          </w:p>
        </w:tc>
        <w:tc>
          <w:p>
            <w:pPr>
              <w:pStyle w:val="Compact"/>
              <w:jc w:val="left"/>
            </w:pPr>
            <w:r>
              <w:t xml:space="preserve">No evidence of increased mortality risk</w:t>
            </w:r>
          </w:p>
        </w:tc>
        <w:tc>
          <w:p>
            <w:pPr>
              <w:pStyle w:val="Compact"/>
              <w:jc w:val="left"/>
            </w:pPr>
            <w:r>
              <w:t xml:space="preserve">Continued surveillance confirms safety</w:t>
            </w:r>
          </w:p>
        </w:tc>
      </w:tr>
      <w:tr>
        <w:tc>
          <w:p>
            <w:pPr>
              <w:pStyle w:val="Compact"/>
              <w:jc w:val="left"/>
            </w:pPr>
            <w:r>
              <w:t xml:space="preserve">Fertility</w:t>
            </w:r>
          </w:p>
        </w:tc>
        <w:tc>
          <w:p>
            <w:pPr>
              <w:pStyle w:val="Compact"/>
              <w:jc w:val="left"/>
            </w:pPr>
            <w:r>
              <w:t xml:space="preserve">No impact on male or female fertility</w:t>
            </w:r>
          </w:p>
        </w:tc>
        <w:tc>
          <w:p>
            <w:pPr>
              <w:pStyle w:val="Compact"/>
              <w:jc w:val="left"/>
            </w:pPr>
            <w:r>
              <w:t xml:space="preserve">Transient menstrual changes resolve</w:t>
            </w:r>
          </w:p>
        </w:tc>
      </w:tr>
      <w:tr>
        <w:tc>
          <w:p>
            <w:pPr>
              <w:pStyle w:val="Compact"/>
              <w:jc w:val="left"/>
            </w:pPr>
            <w:r>
              <w:t xml:space="preserve">Duration of Protection</w:t>
            </w:r>
          </w:p>
        </w:tc>
        <w:tc>
          <w:p>
            <w:pPr>
              <w:pStyle w:val="Compact"/>
              <w:jc w:val="left"/>
            </w:pPr>
            <w:r>
              <w:t xml:space="preserve">Waning immunity after 4-6 months</w:t>
            </w:r>
          </w:p>
        </w:tc>
        <w:tc>
          <w:p>
            <w:pPr>
              <w:pStyle w:val="Compact"/>
              <w:jc w:val="left"/>
            </w:pPr>
            <w:r>
              <w:t xml:space="preserve">Boosters restore robust protection</w:t>
            </w:r>
          </w:p>
        </w:tc>
      </w:tr>
    </w:tbl>
    <w:p>
      <w:pPr>
        <w:pStyle w:val="BodyText"/>
      </w:pPr>
      <w:r>
        <w:t xml:space="preserve">This report addresses key questions including: What are the biological mechanisms behind vaccine-induced immunity? What adverse events have been observed, and how common are they? How do the benefits and risks compare over time? What are the ongoing challenges and areas of uncertainty?</w:t>
      </w:r>
    </w:p>
    <w:p>
      <w:pPr>
        <w:pStyle w:val="Heading1"/>
      </w:pPr>
      <w:bookmarkStart w:id="22" w:name="background-and-historical-context"/>
      <w:r>
        <w:t xml:space="preserve">Background and Historical Context</w:t>
      </w:r>
      <w:bookmarkEnd w:id="22"/>
    </w:p>
    <w:p>
      <w:pPr>
        <w:pStyle w:val="Heading2"/>
      </w:pPr>
      <w:bookmarkStart w:id="23" w:name="the-evolution-of-vaccination"/>
      <w:r>
        <w:t xml:space="preserve">The Evolution of Vaccination</w:t>
      </w:r>
      <w:bookmarkEnd w:id="23"/>
    </w:p>
    <w:p>
      <w:pPr>
        <w:pStyle w:val="FirstParagraph"/>
      </w:pPr>
      <w:r>
        <w:t xml:space="preserve">The concept of vaccination dates back to the late 18th century, when Edward Jenner demonstrated that inoculation with cowpox could protect against smallpox. Since then, vaccines have become a cornerstone of public health, eradicating or controlling diseases such as polio, measles, and influenza.</w:t>
      </w:r>
    </w:p>
    <w:p>
      <w:pPr>
        <w:pStyle w:val="Heading2"/>
      </w:pPr>
      <w:bookmarkStart w:id="24" w:name="timeline-of-covid-19-vaccine-development"/>
      <w:r>
        <w:t xml:space="preserve">Timeline of COVID-19 Vaccine Development</w:t>
      </w:r>
      <w:bookmarkEnd w:id="24"/>
    </w:p>
    <w:p>
      <w:pPr>
        <w:pStyle w:val="Heading3"/>
      </w:pPr>
      <w:bookmarkStart w:id="25" w:name="key-milestones"/>
      <w:r>
        <w:t xml:space="preserve">Key Milestones</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Milestone</w:t>
            </w:r>
          </w:p>
        </w:tc>
      </w:tr>
      <w:tr>
        <w:tc>
          <w:p>
            <w:pPr>
              <w:pStyle w:val="Compact"/>
              <w:jc w:val="left"/>
            </w:pPr>
            <w:r>
              <w:t xml:space="preserve">December 2019</w:t>
            </w:r>
          </w:p>
        </w:tc>
        <w:tc>
          <w:p>
            <w:pPr>
              <w:pStyle w:val="Compact"/>
              <w:jc w:val="left"/>
            </w:pPr>
            <w:r>
              <w:t xml:space="preserve">SARS-CoV-2 first identified in Wuhan, China</w:t>
            </w:r>
          </w:p>
        </w:tc>
      </w:tr>
      <w:tr>
        <w:tc>
          <w:p>
            <w:pPr>
              <w:pStyle w:val="Compact"/>
              <w:jc w:val="left"/>
            </w:pPr>
            <w:r>
              <w:t xml:space="preserve">January 2020</w:t>
            </w:r>
          </w:p>
        </w:tc>
        <w:tc>
          <w:p>
            <w:pPr>
              <w:pStyle w:val="Compact"/>
              <w:jc w:val="left"/>
            </w:pPr>
            <w:r>
              <w:t xml:space="preserve">Viral genome sequenced and shared globally</w:t>
            </w:r>
          </w:p>
        </w:tc>
      </w:tr>
      <w:tr>
        <w:tc>
          <w:p>
            <w:pPr>
              <w:pStyle w:val="Compact"/>
              <w:jc w:val="left"/>
            </w:pPr>
            <w:r>
              <w:t xml:space="preserve">March 2020</w:t>
            </w:r>
          </w:p>
        </w:tc>
        <w:tc>
          <w:p>
            <w:pPr>
              <w:pStyle w:val="Compact"/>
              <w:jc w:val="left"/>
            </w:pPr>
            <w:r>
              <w:t xml:space="preserve">First mRNA vaccine (Moderna) enters Phase 1 trials</w:t>
            </w:r>
          </w:p>
        </w:tc>
      </w:tr>
      <w:tr>
        <w:tc>
          <w:p>
            <w:pPr>
              <w:pStyle w:val="Compact"/>
              <w:jc w:val="left"/>
            </w:pPr>
            <w:r>
              <w:t xml:space="preserve">March 2020</w:t>
            </w:r>
          </w:p>
        </w:tc>
        <w:tc>
          <w:p>
            <w:pPr>
              <w:pStyle w:val="Compact"/>
              <w:jc w:val="left"/>
            </w:pPr>
            <w:r>
              <w:t xml:space="preserve">Operation Warp Speed and global initiatives launched</w:t>
            </w:r>
          </w:p>
        </w:tc>
      </w:tr>
      <w:tr>
        <w:tc>
          <w:p>
            <w:pPr>
              <w:pStyle w:val="Compact"/>
              <w:jc w:val="left"/>
            </w:pPr>
            <w:r>
              <w:t xml:space="preserve">November 2020</w:t>
            </w:r>
          </w:p>
        </w:tc>
        <w:tc>
          <w:p>
            <w:pPr>
              <w:pStyle w:val="Compact"/>
              <w:jc w:val="left"/>
            </w:pPr>
            <w:r>
              <w:t xml:space="preserve">First efficacy data published (Pfizer-BioNTech, Moderna)</w:t>
            </w:r>
          </w:p>
        </w:tc>
      </w:tr>
      <w:tr>
        <w:tc>
          <w:p>
            <w:pPr>
              <w:pStyle w:val="Compact"/>
              <w:jc w:val="left"/>
            </w:pPr>
            <w:r>
              <w:t xml:space="preserve">December 2020</w:t>
            </w:r>
          </w:p>
        </w:tc>
        <w:tc>
          <w:p>
            <w:pPr>
              <w:pStyle w:val="Compact"/>
              <w:jc w:val="left"/>
            </w:pPr>
            <w:r>
              <w:t xml:space="preserve">First Emergency Use Authorizations granted</w:t>
            </w:r>
          </w:p>
        </w:tc>
      </w:tr>
      <w:tr>
        <w:tc>
          <w:p>
            <w:pPr>
              <w:pStyle w:val="Compact"/>
              <w:jc w:val="left"/>
            </w:pPr>
            <w:r>
              <w:t xml:space="preserve">December 2020</w:t>
            </w:r>
          </w:p>
        </w:tc>
        <w:tc>
          <w:p>
            <w:pPr>
              <w:pStyle w:val="Compact"/>
              <w:jc w:val="left"/>
            </w:pPr>
            <w:r>
              <w:t xml:space="preserve">Global vaccination campaigns begin</w:t>
            </w:r>
          </w:p>
        </w:tc>
      </w:tr>
      <w:tr>
        <w:tc>
          <w:p>
            <w:pPr>
              <w:pStyle w:val="Compact"/>
              <w:jc w:val="left"/>
            </w:pPr>
            <w:r>
              <w:t xml:space="preserve">2021</w:t>
            </w:r>
          </w:p>
        </w:tc>
        <w:tc>
          <w:p>
            <w:pPr>
              <w:pStyle w:val="Compact"/>
              <w:jc w:val="left"/>
            </w:pPr>
            <w:r>
              <w:t xml:space="preserve">Pediatric approvals extend coverage</w:t>
            </w:r>
          </w:p>
        </w:tc>
      </w:tr>
      <w:tr>
        <w:tc>
          <w:p>
            <w:pPr>
              <w:pStyle w:val="Compact"/>
              <w:jc w:val="left"/>
            </w:pPr>
            <w:r>
              <w:t xml:space="preserve">2021-2025</w:t>
            </w:r>
          </w:p>
        </w:tc>
        <w:tc>
          <w:p>
            <w:pPr>
              <w:pStyle w:val="Compact"/>
              <w:jc w:val="left"/>
            </w:pPr>
            <w:r>
              <w:t xml:space="preserve">Booster strategies and variant-adapted formulations</w:t>
            </w:r>
          </w:p>
        </w:tc>
      </w:tr>
    </w:tbl>
    <w:p>
      <w:pPr>
        <w:pStyle w:val="BodyText"/>
      </w:pPr>
      <w:r>
        <w:t xml:space="preserve">The development of COVID-19 vaccines occurred at an unprecedented speed. Within months of the identification of SARS-CoV-2 in late 2019, scientists had sequenced its genome, and by December 2020, the first vaccines received emergency use authorization.</w:t>
      </w:r>
    </w:p>
    <w:p>
      <w:pPr>
        <w:pStyle w:val="Heading2"/>
      </w:pPr>
      <w:bookmarkStart w:id="26" w:name="factors-enabling-rapid-development"/>
      <w:r>
        <w:t xml:space="preserve">Factors Enabling Rapid Development</w:t>
      </w:r>
      <w:bookmarkEnd w:id="26"/>
    </w:p>
    <w:p>
      <w:pPr>
        <w:pStyle w:val="FirstParagraph"/>
      </w:pPr>
      <w:r>
        <w:t xml:space="preserve">Several technological breakthroughs enabled this rapid progress:</w:t>
      </w:r>
    </w:p>
    <w:p>
      <w:pPr>
        <w:numPr>
          <w:ilvl w:val="0"/>
          <w:numId w:val="1001"/>
        </w:numPr>
        <w:pStyle w:val="Compact"/>
      </w:pPr>
      <w:r>
        <w:rPr>
          <w:b/>
        </w:rPr>
        <w:t xml:space="preserve">Pre-existing Research</w:t>
      </w:r>
      <w:r>
        <w:t xml:space="preserve">: Years of work on coronavirus vaccines for SARS and MERS</w:t>
      </w:r>
    </w:p>
    <w:p>
      <w:pPr>
        <w:numPr>
          <w:ilvl w:val="0"/>
          <w:numId w:val="1001"/>
        </w:numPr>
        <w:pStyle w:val="Compact"/>
      </w:pPr>
      <w:r>
        <w:rPr>
          <w:b/>
        </w:rPr>
        <w:t xml:space="preserve">mRNA Platform Maturation</w:t>
      </w:r>
      <w:r>
        <w:t xml:space="preserve">: Decades of development culminating in deployable technology</w:t>
      </w:r>
    </w:p>
    <w:p>
      <w:pPr>
        <w:numPr>
          <w:ilvl w:val="0"/>
          <w:numId w:val="1001"/>
        </w:numPr>
        <w:pStyle w:val="Compact"/>
      </w:pPr>
      <w:r>
        <w:rPr>
          <w:b/>
        </w:rPr>
        <w:t xml:space="preserve">Regulatory Innovation</w:t>
      </w:r>
      <w:r>
        <w:t xml:space="preserve">: Parallel processing of review steps while maintaining safety standards</w:t>
      </w:r>
    </w:p>
    <w:p>
      <w:pPr>
        <w:numPr>
          <w:ilvl w:val="0"/>
          <w:numId w:val="1001"/>
        </w:numPr>
        <w:pStyle w:val="Compact"/>
      </w:pPr>
      <w:r>
        <w:rPr>
          <w:b/>
        </w:rPr>
        <w:t xml:space="preserve">Unprecedented Funding</w:t>
      </w:r>
      <w:r>
        <w:t xml:space="preserve">: Global resource allocation and collaboration</w:t>
      </w:r>
    </w:p>
    <w:p>
      <w:pPr>
        <w:numPr>
          <w:ilvl w:val="0"/>
          <w:numId w:val="1001"/>
        </w:numPr>
        <w:pStyle w:val="Compact"/>
      </w:pPr>
      <w:r>
        <w:rPr>
          <w:b/>
        </w:rPr>
        <w:t xml:space="preserve">Manufacturing at Risk</w:t>
      </w:r>
      <w:r>
        <w:t xml:space="preserve">: Production scale-up began before approval to ensure rapid deployment</w:t>
      </w:r>
    </w:p>
    <w:p>
      <w:pPr>
        <w:pStyle w:val="Heading2"/>
      </w:pPr>
      <w:bookmarkStart w:id="27" w:name="global-vaccination-campaign-scale"/>
      <w:r>
        <w:t xml:space="preserve">Global Vaccination Campaign Scale</w:t>
      </w:r>
      <w:bookmarkEnd w:id="27"/>
    </w:p>
    <w:p>
      <w:pPr>
        <w:pStyle w:val="FirstParagraph"/>
      </w:pPr>
      <w:r>
        <w:t xml:space="preserve">The global vaccination campaign has been the largest in history: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Doses Administered (Global)</w:t>
            </w:r>
          </w:p>
        </w:tc>
        <w:tc>
          <w:p>
            <w:pPr>
              <w:pStyle w:val="Compact"/>
              <w:jc w:val="left"/>
            </w:pPr>
            <w:r>
              <w:t xml:space="preserve">&gt;13 billion</w:t>
            </w:r>
          </w:p>
        </w:tc>
      </w:tr>
      <w:tr>
        <w:tc>
          <w:p>
            <w:pPr>
              <w:pStyle w:val="Compact"/>
              <w:jc w:val="left"/>
            </w:pPr>
            <w:r>
              <w:t xml:space="preserve">EU/EEA Doses</w:t>
            </w:r>
          </w:p>
        </w:tc>
        <w:tc>
          <w:p>
            <w:pPr>
              <w:pStyle w:val="Compact"/>
              <w:jc w:val="left"/>
            </w:pPr>
            <w:r>
              <w:t xml:space="preserve">~1 billion</w:t>
            </w:r>
          </w:p>
        </w:tc>
      </w:tr>
      <w:tr>
        <w:tc>
          <w:p>
            <w:pPr>
              <w:pStyle w:val="Compact"/>
              <w:jc w:val="left"/>
            </w:pPr>
            <w:r>
              <w:t xml:space="preserve">Countries Participating</w:t>
            </w:r>
          </w:p>
        </w:tc>
        <w:tc>
          <w:p>
            <w:pPr>
              <w:pStyle w:val="Compact"/>
              <w:jc w:val="left"/>
            </w:pPr>
            <w:r>
              <w:t xml:space="preserve">190+</w:t>
            </w:r>
          </w:p>
        </w:tc>
      </w:tr>
      <w:tr>
        <w:tc>
          <w:p>
            <w:pPr>
              <w:pStyle w:val="Compact"/>
              <w:jc w:val="left"/>
            </w:pPr>
            <w:r>
              <w:t xml:space="preserve">Vaccine Platforms Deployed</w:t>
            </w:r>
          </w:p>
        </w:tc>
        <w:tc>
          <w:p>
            <w:pPr>
              <w:pStyle w:val="Compact"/>
              <w:jc w:val="left"/>
            </w:pPr>
            <w:r>
              <w:t xml:space="preserve">4 major types</w:t>
            </w:r>
          </w:p>
        </w:tc>
      </w:tr>
    </w:tbl>
    <w:p>
      <w:pPr>
        <w:pStyle w:val="Heading1"/>
      </w:pPr>
      <w:bookmarkStart w:id="28" w:name="X27e3a961a787d99b055ef1af10d66a794684dd3"/>
      <w:r>
        <w:t xml:space="preserve">Core Content: Vaccine Types and Mechanisms</w:t>
      </w:r>
      <w:bookmarkEnd w:id="28"/>
    </w:p>
    <w:p>
      <w:pPr>
        <w:pStyle w:val="Heading2"/>
      </w:pPr>
      <w:bookmarkStart w:id="29" w:name="types-of-covid-19-vaccines"/>
      <w:r>
        <w:t xml:space="preserve">Types of COVID-19 Vaccines</w:t>
      </w:r>
      <w:bookmarkEnd w:id="29"/>
    </w:p>
    <w:p>
      <w:pPr>
        <w:pStyle w:val="Heading3"/>
      </w:pPr>
      <w:bookmarkStart w:id="30" w:name="mrna-vaccines-pfizer-biontech-moderna"/>
      <w:r>
        <w:t xml:space="preserve">mRNA Vaccines (Pfizer-BioNTech, Moderna)</w:t>
      </w:r>
      <w:bookmarkEnd w:id="30"/>
    </w:p>
    <w:p>
      <w:pPr>
        <w:pStyle w:val="FirstParagraph"/>
      </w:pPr>
      <w:r>
        <w:rPr>
          <w:b/>
        </w:rPr>
        <w:t xml:space="preserve">Mechanism of Action:</w:t>
      </w:r>
    </w:p>
    <w:p>
      <w:pPr>
        <w:numPr>
          <w:ilvl w:val="0"/>
          <w:numId w:val="1002"/>
        </w:numPr>
        <w:pStyle w:val="Compact"/>
      </w:pPr>
      <w:r>
        <w:t xml:space="preserve">Lipid nanoparticles (LNPs) deliver synthetic messenger RNA encoding the SARS-CoV-2 spike protein into human cells</w:t>
      </w:r>
    </w:p>
    <w:p>
      <w:pPr>
        <w:numPr>
          <w:ilvl w:val="0"/>
          <w:numId w:val="1002"/>
        </w:numPr>
        <w:pStyle w:val="Compact"/>
      </w:pPr>
      <w:r>
        <w:t xml:space="preserve">Once inside, the mRNA is translated by host cell machinery</w:t>
      </w:r>
    </w:p>
    <w:p>
      <w:pPr>
        <w:numPr>
          <w:ilvl w:val="0"/>
          <w:numId w:val="1002"/>
        </w:numPr>
        <w:pStyle w:val="Compact"/>
      </w:pPr>
      <w:r>
        <w:t xml:space="preserve">The produced spike protein is presented on cell surface and secreted</w:t>
      </w:r>
    </w:p>
    <w:p>
      <w:pPr>
        <w:numPr>
          <w:ilvl w:val="0"/>
          <w:numId w:val="1002"/>
        </w:numPr>
        <w:pStyle w:val="Compact"/>
      </w:pPr>
      <w:r>
        <w:t xml:space="preserve">Immune system recognizes the spike protein as foreign antigen</w:t>
      </w:r>
    </w:p>
    <w:p>
      <w:pPr>
        <w:numPr>
          <w:ilvl w:val="0"/>
          <w:numId w:val="1002"/>
        </w:numPr>
        <w:pStyle w:val="Compact"/>
      </w:pPr>
      <w:r>
        <w:t xml:space="preserve">B-cells produce antibodies; T-cells develop cellular immunity</w:t>
      </w:r>
    </w:p>
    <w:p>
      <w:pPr>
        <w:numPr>
          <w:ilvl w:val="0"/>
          <w:numId w:val="1002"/>
        </w:numPr>
        <w:pStyle w:val="Compact"/>
      </w:pPr>
      <w:r>
        <w:t xml:space="preserve">Memory B and T cells provide long-term protection</w:t>
      </w:r>
    </w:p>
    <w:p>
      <w:pPr>
        <w:pStyle w:val="FirstParagraph"/>
      </w:pPr>
      <w:r>
        <w:rPr>
          <w:b/>
        </w:rPr>
        <w:t xml:space="preserve">Key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Pfizer-BioNTech</w:t>
            </w:r>
          </w:p>
        </w:tc>
        <w:tc>
          <w:tcPr>
            <w:tcBorders>
              <w:bottom w:val="single"/>
            </w:tcBorders>
            <w:vAlign w:val="bottom"/>
          </w:tcPr>
          <w:p>
            <w:pPr>
              <w:pStyle w:val="Compact"/>
              <w:jc w:val="left"/>
            </w:pPr>
            <w:r>
              <w:t xml:space="preserve">Moderna</w:t>
            </w:r>
          </w:p>
        </w:tc>
      </w:tr>
      <w:tr>
        <w:tc>
          <w:p>
            <w:pPr>
              <w:pStyle w:val="Compact"/>
              <w:jc w:val="left"/>
            </w:pPr>
            <w:r>
              <w:t xml:space="preserve">mRNA Dose (Primary)</w:t>
            </w:r>
          </w:p>
        </w:tc>
        <w:tc>
          <w:p>
            <w:pPr>
              <w:pStyle w:val="Compact"/>
              <w:jc w:val="left"/>
            </w:pPr>
            <w:r>
              <w:t xml:space="preserve">30 µg</w:t>
            </w:r>
          </w:p>
        </w:tc>
        <w:tc>
          <w:p>
            <w:pPr>
              <w:pStyle w:val="Compact"/>
              <w:jc w:val="left"/>
            </w:pPr>
            <w:r>
              <w:t xml:space="preserve">100 µg</w:t>
            </w:r>
          </w:p>
        </w:tc>
      </w:tr>
      <w:tr>
        <w:tc>
          <w:p>
            <w:pPr>
              <w:pStyle w:val="Compact"/>
              <w:jc w:val="left"/>
            </w:pPr>
            <w:r>
              <w:t xml:space="preserve">Storage Temperature</w:t>
            </w:r>
          </w:p>
        </w:tc>
        <w:tc>
          <w:p>
            <w:pPr>
              <w:pStyle w:val="Compact"/>
              <w:jc w:val="left"/>
            </w:pPr>
            <w:r>
              <w:t xml:space="preserve">-70°C (ultra-cold)</w:t>
            </w:r>
          </w:p>
        </w:tc>
        <w:tc>
          <w:p>
            <w:pPr>
              <w:pStyle w:val="Compact"/>
              <w:jc w:val="left"/>
            </w:pPr>
            <w:r>
              <w:t xml:space="preserve">-20°C</w:t>
            </w:r>
          </w:p>
        </w:tc>
      </w:tr>
      <w:tr>
        <w:tc>
          <w:p>
            <w:pPr>
              <w:pStyle w:val="Compact"/>
              <w:jc w:val="left"/>
            </w:pPr>
            <w:r>
              <w:t xml:space="preserve">Efficacy (Original Strain)</w:t>
            </w:r>
          </w:p>
        </w:tc>
        <w:tc>
          <w:p>
            <w:pPr>
              <w:pStyle w:val="Compact"/>
              <w:jc w:val="left"/>
            </w:pPr>
            <w:r>
              <w:t xml:space="preserve">95%</w:t>
            </w:r>
          </w:p>
        </w:tc>
        <w:tc>
          <w:p>
            <w:pPr>
              <w:pStyle w:val="Compact"/>
              <w:jc w:val="left"/>
            </w:pPr>
            <w:r>
              <w:t xml:space="preserve">94%</w:t>
            </w:r>
          </w:p>
        </w:tc>
      </w:tr>
      <w:tr>
        <w:tc>
          <w:p>
            <w:pPr>
              <w:pStyle w:val="Compact"/>
              <w:jc w:val="left"/>
            </w:pPr>
            <w:r>
              <w:t xml:space="preserve">Dosing Schedule</w:t>
            </w:r>
          </w:p>
        </w:tc>
        <w:tc>
          <w:p>
            <w:pPr>
              <w:pStyle w:val="Compact"/>
              <w:jc w:val="left"/>
            </w:pPr>
            <w:r>
              <w:t xml:space="preserve">2 doses, 3 weeks apart</w:t>
            </w:r>
          </w:p>
        </w:tc>
        <w:tc>
          <w:p>
            <w:pPr>
              <w:pStyle w:val="Compact"/>
              <w:jc w:val="left"/>
            </w:pPr>
            <w:r>
              <w:t xml:space="preserve">2 doses, 4 weeks apart</w:t>
            </w:r>
          </w:p>
        </w:tc>
      </w:tr>
    </w:tbl>
    <w:p>
      <w:pPr>
        <w:pStyle w:val="BodyText"/>
      </w:pPr>
      <w:r>
        <w:t xml:space="preserve">The mRNA does not enter the cell nucleus and is rapidly degraded within hours to days after translation. There is no integration into host DNA.</w:t>
      </w:r>
    </w:p>
    <w:p>
      <w:pPr>
        <w:pStyle w:val="Heading3"/>
      </w:pPr>
      <w:bookmarkStart w:id="31" w:name="X50545890438367558c52f12574ddea57e263330"/>
      <w:r>
        <w:t xml:space="preserve">Viral Vector Vaccines (AstraZeneca, Johnson &amp; Johnson, Sputnik V)</w:t>
      </w:r>
      <w:bookmarkEnd w:id="31"/>
    </w:p>
    <w:p>
      <w:pPr>
        <w:pStyle w:val="FirstParagraph"/>
      </w:pPr>
      <w:r>
        <w:rPr>
          <w:b/>
        </w:rPr>
        <w:t xml:space="preserve">Mechanism of Action:</w:t>
      </w:r>
    </w:p>
    <w:p>
      <w:pPr>
        <w:numPr>
          <w:ilvl w:val="0"/>
          <w:numId w:val="1003"/>
        </w:numPr>
        <w:pStyle w:val="Compact"/>
      </w:pPr>
      <w:r>
        <w:t xml:space="preserve">Non-replicating adenovirus carries DNA encoding the spike protein</w:t>
      </w:r>
    </w:p>
    <w:p>
      <w:pPr>
        <w:numPr>
          <w:ilvl w:val="0"/>
          <w:numId w:val="1003"/>
        </w:numPr>
        <w:pStyle w:val="Compact"/>
      </w:pPr>
      <w:r>
        <w:t xml:space="preserve">Virus enters cells through normal infection pathway</w:t>
      </w:r>
    </w:p>
    <w:p>
      <w:pPr>
        <w:numPr>
          <w:ilvl w:val="0"/>
          <w:numId w:val="1003"/>
        </w:numPr>
        <w:pStyle w:val="Compact"/>
      </w:pPr>
      <w:r>
        <w:t xml:space="preserve">DNA is delivered to nucleus, transcribed to mRNA</w:t>
      </w:r>
    </w:p>
    <w:p>
      <w:pPr>
        <w:numPr>
          <w:ilvl w:val="0"/>
          <w:numId w:val="1003"/>
        </w:numPr>
        <w:pStyle w:val="Compact"/>
      </w:pPr>
      <w:r>
        <w:t xml:space="preserve">mRNA is translated into spike protein</w:t>
      </w:r>
    </w:p>
    <w:p>
      <w:pPr>
        <w:numPr>
          <w:ilvl w:val="0"/>
          <w:numId w:val="1003"/>
        </w:numPr>
        <w:pStyle w:val="Compact"/>
      </w:pPr>
      <w:r>
        <w:t xml:space="preserve">Comprehensive immune response develops against spike protein</w:t>
      </w:r>
    </w:p>
    <w:p>
      <w:pPr>
        <w:numPr>
          <w:ilvl w:val="0"/>
          <w:numId w:val="1003"/>
        </w:numPr>
        <w:pStyle w:val="Compact"/>
      </w:pPr>
      <w:r>
        <w:t xml:space="preserve">Additional immune response against adenovirus vector provides adjuvant effect</w:t>
      </w:r>
    </w:p>
    <w:p>
      <w:pPr>
        <w:pStyle w:val="FirstParagraph"/>
      </w:pPr>
      <w:r>
        <w:rPr>
          <w:b/>
        </w:rPr>
        <w:t xml:space="preserve">Key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AstraZeneca</w:t>
            </w:r>
          </w:p>
        </w:tc>
        <w:tc>
          <w:tcPr>
            <w:tcBorders>
              <w:bottom w:val="single"/>
            </w:tcBorders>
            <w:vAlign w:val="bottom"/>
          </w:tcPr>
          <w:p>
            <w:pPr>
              <w:pStyle w:val="Compact"/>
              <w:jc w:val="left"/>
            </w:pPr>
            <w:r>
              <w:t xml:space="preserve">Johnson &amp; Johnson</w:t>
            </w:r>
          </w:p>
        </w:tc>
      </w:tr>
      <w:tr>
        <w:tc>
          <w:p>
            <w:pPr>
              <w:pStyle w:val="Compact"/>
              <w:jc w:val="left"/>
            </w:pPr>
            <w:r>
              <w:t xml:space="preserve">Vector Type</w:t>
            </w:r>
          </w:p>
        </w:tc>
        <w:tc>
          <w:p>
            <w:pPr>
              <w:pStyle w:val="Compact"/>
              <w:jc w:val="left"/>
            </w:pPr>
            <w:r>
              <w:t xml:space="preserve">Chimpanzee adenovirus</w:t>
            </w:r>
          </w:p>
        </w:tc>
        <w:tc>
          <w:p>
            <w:pPr>
              <w:pStyle w:val="Compact"/>
              <w:jc w:val="left"/>
            </w:pPr>
            <w:r>
              <w:t xml:space="preserve">Human adenovirus 26</w:t>
            </w:r>
          </w:p>
        </w:tc>
      </w:tr>
      <w:tr>
        <w:tc>
          <w:p>
            <w:pPr>
              <w:pStyle w:val="Compact"/>
              <w:jc w:val="left"/>
            </w:pPr>
            <w:r>
              <w:t xml:space="preserve">Dose Schedule</w:t>
            </w:r>
          </w:p>
        </w:tc>
        <w:tc>
          <w:p>
            <w:pPr>
              <w:pStyle w:val="Compact"/>
              <w:jc w:val="left"/>
            </w:pPr>
            <w:r>
              <w:t xml:space="preserve">2 doses</w:t>
            </w:r>
          </w:p>
        </w:tc>
        <w:tc>
          <w:p>
            <w:pPr>
              <w:pStyle w:val="Compact"/>
              <w:jc w:val="left"/>
            </w:pPr>
            <w:r>
              <w:t xml:space="preserve">1 dose (primary)</w:t>
            </w:r>
          </w:p>
        </w:tc>
      </w:tr>
      <w:tr>
        <w:tc>
          <w:p>
            <w:pPr>
              <w:pStyle w:val="Compact"/>
              <w:jc w:val="left"/>
            </w:pPr>
            <w:r>
              <w:t xml:space="preserve">Storage</w:t>
            </w:r>
          </w:p>
        </w:tc>
        <w:tc>
          <w:p>
            <w:pPr>
              <w:pStyle w:val="Compact"/>
              <w:jc w:val="left"/>
            </w:pPr>
            <w:r>
              <w:t xml:space="preserve">2-8°C (refrigerator)</w:t>
            </w:r>
          </w:p>
        </w:tc>
        <w:tc>
          <w:p>
            <w:pPr>
              <w:pStyle w:val="Compact"/>
              <w:jc w:val="left"/>
            </w:pPr>
            <w:r>
              <w:t xml:space="preserve">2-8°C (refrigerator)</w:t>
            </w:r>
          </w:p>
        </w:tc>
      </w:tr>
      <w:tr>
        <w:tc>
          <w:p>
            <w:pPr>
              <w:pStyle w:val="Compact"/>
              <w:jc w:val="left"/>
            </w:pPr>
            <w:r>
              <w:t xml:space="preserve">Efficacy (Severe Disease)</w:t>
            </w:r>
          </w:p>
        </w:tc>
        <w:tc>
          <w:p>
            <w:pPr>
              <w:pStyle w:val="Compact"/>
              <w:jc w:val="left"/>
            </w:pPr>
            <w:r>
              <w:t xml:space="preserve">100%</w:t>
            </w:r>
          </w:p>
        </w:tc>
        <w:tc>
          <w:p>
            <w:pPr>
              <w:pStyle w:val="Compact"/>
              <w:jc w:val="left"/>
            </w:pPr>
            <w:r>
              <w:t xml:space="preserve">85%</w:t>
            </w:r>
          </w:p>
        </w:tc>
      </w:tr>
    </w:tbl>
    <w:p>
      <w:pPr>
        <w:pStyle w:val="Heading3"/>
      </w:pPr>
      <w:bookmarkStart w:id="32" w:name="protein-subunit-vaccines-novavax"/>
      <w:r>
        <w:t xml:space="preserve">Protein Subunit Vaccines (Novavax)</w:t>
      </w:r>
      <w:bookmarkEnd w:id="32"/>
    </w:p>
    <w:p>
      <w:pPr>
        <w:pStyle w:val="FirstParagraph"/>
      </w:pPr>
      <w:r>
        <w:rPr>
          <w:b/>
        </w:rPr>
        <w:t xml:space="preserve">Mechanism of Action:</w:t>
      </w:r>
    </w:p>
    <w:p>
      <w:pPr>
        <w:numPr>
          <w:ilvl w:val="0"/>
          <w:numId w:val="1004"/>
        </w:numPr>
        <w:pStyle w:val="Compact"/>
      </w:pPr>
      <w:r>
        <w:t xml:space="preserve">Purified spike protein nanoparticles administered with Matrix-M adjuvant</w:t>
      </w:r>
    </w:p>
    <w:p>
      <w:pPr>
        <w:numPr>
          <w:ilvl w:val="0"/>
          <w:numId w:val="1004"/>
        </w:numPr>
        <w:pStyle w:val="Compact"/>
      </w:pPr>
      <w:r>
        <w:t xml:space="preserve">Professional antigen-presenting cells uptake the protein</w:t>
      </w:r>
    </w:p>
    <w:p>
      <w:pPr>
        <w:numPr>
          <w:ilvl w:val="0"/>
          <w:numId w:val="1004"/>
        </w:numPr>
        <w:pStyle w:val="Compact"/>
      </w:pPr>
      <w:r>
        <w:t xml:space="preserve">Antigen processed and presented on MHC molecules</w:t>
      </w:r>
    </w:p>
    <w:p>
      <w:pPr>
        <w:numPr>
          <w:ilvl w:val="0"/>
          <w:numId w:val="1004"/>
        </w:numPr>
        <w:pStyle w:val="Compact"/>
      </w:pPr>
      <w:r>
        <w:t xml:space="preserve">T and B cells activated through conventional pathways</w:t>
      </w:r>
    </w:p>
    <w:p>
      <w:pPr>
        <w:numPr>
          <w:ilvl w:val="0"/>
          <w:numId w:val="1004"/>
        </w:numPr>
        <w:pStyle w:val="Compact"/>
      </w:pPr>
      <w:r>
        <w:t xml:space="preserve">Adjuvant enhances and prolongs immune response</w:t>
      </w:r>
    </w:p>
    <w:p>
      <w:pPr>
        <w:numPr>
          <w:ilvl w:val="0"/>
          <w:numId w:val="1004"/>
        </w:numPr>
        <w:pStyle w:val="Compact"/>
      </w:pPr>
      <w:r>
        <w:t xml:space="preserve">Traditional memory cell development pathways engaged</w:t>
      </w:r>
    </w:p>
    <w:p>
      <w:pPr>
        <w:pStyle w:val="FirstParagraph"/>
      </w:pPr>
      <w:r>
        <w:rPr>
          <w:b/>
        </w:rPr>
        <w:t xml:space="preserve">Key 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Novavax</w:t>
            </w:r>
          </w:p>
        </w:tc>
      </w:tr>
      <w:tr>
        <w:tc>
          <w:p>
            <w:pPr>
              <w:pStyle w:val="Compact"/>
              <w:jc w:val="left"/>
            </w:pPr>
            <w:r>
              <w:t xml:space="preserve">Antigen</w:t>
            </w:r>
          </w:p>
        </w:tc>
        <w:tc>
          <w:p>
            <w:pPr>
              <w:pStyle w:val="Compact"/>
              <w:jc w:val="left"/>
            </w:pPr>
            <w:r>
              <w:t xml:space="preserve">Recombinant spike protein</w:t>
            </w:r>
          </w:p>
        </w:tc>
      </w:tr>
      <w:tr>
        <w:tc>
          <w:p>
            <w:pPr>
              <w:pStyle w:val="Compact"/>
              <w:jc w:val="left"/>
            </w:pPr>
            <w:r>
              <w:t xml:space="preserve">Adjuvant</w:t>
            </w:r>
          </w:p>
        </w:tc>
        <w:tc>
          <w:p>
            <w:pPr>
              <w:pStyle w:val="Compact"/>
              <w:jc w:val="left"/>
            </w:pPr>
            <w:r>
              <w:t xml:space="preserve">Matrix-M</w:t>
            </w:r>
          </w:p>
        </w:tc>
      </w:tr>
      <w:tr>
        <w:tc>
          <w:p>
            <w:pPr>
              <w:pStyle w:val="Compact"/>
              <w:jc w:val="left"/>
            </w:pPr>
            <w:r>
              <w:t xml:space="preserve">Dose Schedule</w:t>
            </w:r>
          </w:p>
        </w:tc>
        <w:tc>
          <w:p>
            <w:pPr>
              <w:pStyle w:val="Compact"/>
              <w:jc w:val="left"/>
            </w:pPr>
            <w:r>
              <w:t xml:space="preserve">2 doses, 3 weeks apart</w:t>
            </w:r>
          </w:p>
        </w:tc>
      </w:tr>
      <w:tr>
        <w:tc>
          <w:p>
            <w:pPr>
              <w:pStyle w:val="Compact"/>
              <w:jc w:val="left"/>
            </w:pPr>
            <w:r>
              <w:t xml:space="preserve">Storage</w:t>
            </w:r>
          </w:p>
        </w:tc>
        <w:tc>
          <w:p>
            <w:pPr>
              <w:pStyle w:val="Compact"/>
              <w:jc w:val="left"/>
            </w:pPr>
            <w:r>
              <w:t xml:space="preserve">2-8°C</w:t>
            </w:r>
          </w:p>
        </w:tc>
      </w:tr>
    </w:tbl>
    <w:p>
      <w:pPr>
        <w:pStyle w:val="Heading2"/>
      </w:pPr>
      <w:bookmarkStart w:id="33" w:name="X652184d34f9f46d1e9a5571cff0d2943cc3d9c2"/>
      <w:r>
        <w:t xml:space="preserve">Immune Response and Duration of Protection</w:t>
      </w:r>
      <w:bookmarkEnd w:id="33"/>
    </w:p>
    <w:p>
      <w:pPr>
        <w:pStyle w:val="Heading3"/>
      </w:pPr>
      <w:bookmarkStart w:id="34" w:name="initial-immune-activation"/>
      <w:r>
        <w:t xml:space="preserve">Initial Immune Activation</w:t>
      </w:r>
      <w:bookmarkEnd w:id="34"/>
    </w:p>
    <w:p>
      <w:pPr>
        <w:pStyle w:val="FirstParagraph"/>
      </w:pPr>
      <w:r>
        <w:t xml:space="preserve">All COVID-19 vaccines prime the immune system to recognize and neutralize SARS-CoV-2. The response includes:</w:t>
      </w:r>
    </w:p>
    <w:p>
      <w:pPr>
        <w:numPr>
          <w:ilvl w:val="0"/>
          <w:numId w:val="1005"/>
        </w:numPr>
        <w:pStyle w:val="Compact"/>
      </w:pPr>
      <w:r>
        <w:rPr>
          <w:b/>
        </w:rPr>
        <w:t xml:space="preserve">Humoral Immunity</w:t>
      </w:r>
      <w:r>
        <w:t xml:space="preserve">: Production of neutralizing antibodies targeting spike protein</w:t>
      </w:r>
    </w:p>
    <w:p>
      <w:pPr>
        <w:numPr>
          <w:ilvl w:val="0"/>
          <w:numId w:val="1005"/>
        </w:numPr>
        <w:pStyle w:val="Compact"/>
      </w:pPr>
      <w:r>
        <w:rPr>
          <w:b/>
        </w:rPr>
        <w:t xml:space="preserve">Cellular Immunity</w:t>
      </w:r>
      <w:r>
        <w:t xml:space="preserve">: CD4+ T helper cells coordinate immune response</w:t>
      </w:r>
    </w:p>
    <w:p>
      <w:pPr>
        <w:numPr>
          <w:ilvl w:val="0"/>
          <w:numId w:val="1005"/>
        </w:numPr>
        <w:pStyle w:val="Compact"/>
      </w:pPr>
      <w:r>
        <w:rPr>
          <w:b/>
        </w:rPr>
        <w:t xml:space="preserve">Cytotoxic Response</w:t>
      </w:r>
      <w:r>
        <w:t xml:space="preserve">: CD8+ T cells eliminate infected cells</w:t>
      </w:r>
    </w:p>
    <w:p>
      <w:pPr>
        <w:numPr>
          <w:ilvl w:val="0"/>
          <w:numId w:val="1005"/>
        </w:numPr>
        <w:pStyle w:val="Compact"/>
      </w:pPr>
      <w:r>
        <w:rPr>
          <w:b/>
        </w:rPr>
        <w:t xml:space="preserve">Memory Formation</w:t>
      </w:r>
      <w:r>
        <w:t xml:space="preserve">: Long-lived plasma cells and memory T cells establish durable protection</w:t>
      </w:r>
    </w:p>
    <w:p>
      <w:pPr>
        <w:pStyle w:val="Heading3"/>
      </w:pPr>
      <w:bookmarkStart w:id="35" w:name="waning-immunity-over-time"/>
      <w:r>
        <w:t xml:space="preserve">Waning Immunity Over Time</w:t>
      </w:r>
      <w:bookmarkEnd w:id="35"/>
    </w:p>
    <w:tbl>
      <w:tblPr>
        <w:tblStyle w:val="Table"/>
        <w:tblW w:type="pct" w:w="5000.0"/>
        <w:tblLook w:firstRow="1"/>
      </w:tblPr>
      <w:tblGrid>
        <w:gridCol w:w="2079"/>
        <w:gridCol w:w="2673"/>
        <w:gridCol w:w="3168"/>
      </w:tblGrid>
      <w:tr>
        <w:trPr>
          <w:cnfStyle w:firstRow="1"/>
        </w:trPr>
        <w:tc>
          <w:tcPr>
            <w:tcBorders>
              <w:bottom w:val="single"/>
            </w:tcBorders>
            <w:vAlign w:val="bottom"/>
          </w:tcPr>
          <w:p>
            <w:pPr>
              <w:pStyle w:val="Compact"/>
              <w:jc w:val="left"/>
            </w:pPr>
            <w:r>
              <w:t xml:space="preserve">Time Since Last Dose</w:t>
            </w:r>
          </w:p>
        </w:tc>
        <w:tc>
          <w:tcPr>
            <w:tcBorders>
              <w:bottom w:val="single"/>
            </w:tcBorders>
            <w:vAlign w:val="bottom"/>
          </w:tcPr>
          <w:p>
            <w:pPr>
              <w:pStyle w:val="Compact"/>
              <w:jc w:val="left"/>
            </w:pPr>
            <w:r>
              <w:t xml:space="preserve">Effectiveness vs Infection</w:t>
            </w:r>
          </w:p>
        </w:tc>
        <w:tc>
          <w:tcPr>
            <w:tcBorders>
              <w:bottom w:val="single"/>
            </w:tcBorders>
            <w:vAlign w:val="bottom"/>
          </w:tcPr>
          <w:p>
            <w:pPr>
              <w:pStyle w:val="Compact"/>
              <w:jc w:val="left"/>
            </w:pPr>
            <w:r>
              <w:t xml:space="preserve">Effectiveness vs Severe Disease</w:t>
            </w:r>
          </w:p>
        </w:tc>
      </w:tr>
      <w:tr>
        <w:tc>
          <w:p>
            <w:pPr>
              <w:pStyle w:val="Compact"/>
              <w:jc w:val="left"/>
            </w:pPr>
            <w:r>
              <w:t xml:space="preserve">1-3 months</w:t>
            </w:r>
          </w:p>
        </w:tc>
        <w:tc>
          <w:p>
            <w:pPr>
              <w:pStyle w:val="Compact"/>
              <w:jc w:val="left"/>
            </w:pPr>
            <w:r>
              <w:t xml:space="preserve">85-95%</w:t>
            </w:r>
          </w:p>
        </w:tc>
        <w:tc>
          <w:p>
            <w:pPr>
              <w:pStyle w:val="Compact"/>
              <w:jc w:val="left"/>
            </w:pPr>
            <w:r>
              <w:t xml:space="preserve">95-99%</w:t>
            </w:r>
          </w:p>
        </w:tc>
      </w:tr>
      <w:tr>
        <w:tc>
          <w:p>
            <w:pPr>
              <w:pStyle w:val="Compact"/>
              <w:jc w:val="left"/>
            </w:pPr>
            <w:r>
              <w:t xml:space="preserve">4-6 months</w:t>
            </w:r>
          </w:p>
        </w:tc>
        <w:tc>
          <w:p>
            <w:pPr>
              <w:pStyle w:val="Compact"/>
              <w:jc w:val="left"/>
            </w:pPr>
            <w:r>
              <w:t xml:space="preserve">60-80%</w:t>
            </w:r>
          </w:p>
        </w:tc>
        <w:tc>
          <w:p>
            <w:pPr>
              <w:pStyle w:val="Compact"/>
              <w:jc w:val="left"/>
            </w:pPr>
            <w:r>
              <w:t xml:space="preserve">90-95%</w:t>
            </w:r>
          </w:p>
        </w:tc>
      </w:tr>
      <w:tr>
        <w:tc>
          <w:p>
            <w:pPr>
              <w:pStyle w:val="Compact"/>
              <w:jc w:val="left"/>
            </w:pPr>
            <w:r>
              <w:t xml:space="preserve">6-12 months</w:t>
            </w:r>
          </w:p>
        </w:tc>
        <w:tc>
          <w:p>
            <w:pPr>
              <w:pStyle w:val="Compact"/>
              <w:jc w:val="left"/>
            </w:pPr>
            <w:r>
              <w:t xml:space="preserve">40-60%</w:t>
            </w:r>
          </w:p>
        </w:tc>
        <w:tc>
          <w:p>
            <w:pPr>
              <w:pStyle w:val="Compact"/>
              <w:jc w:val="left"/>
            </w:pPr>
            <w:r>
              <w:t xml:space="preserve">80-90%</w:t>
            </w:r>
          </w:p>
        </w:tc>
      </w:tr>
      <w:tr>
        <w:tc>
          <w:p>
            <w:pPr>
              <w:pStyle w:val="Compact"/>
              <w:jc w:val="left"/>
            </w:pPr>
            <w:r>
              <w:t xml:space="preserve">Post-booster</w:t>
            </w:r>
          </w:p>
        </w:tc>
        <w:tc>
          <w:p>
            <w:pPr>
              <w:pStyle w:val="Compact"/>
              <w:jc w:val="left"/>
            </w:pPr>
            <w:r>
              <w:t xml:space="preserve">85-95%</w:t>
            </w:r>
          </w:p>
        </w:tc>
        <w:tc>
          <w:p>
            <w:pPr>
              <w:pStyle w:val="Compact"/>
              <w:jc w:val="left"/>
            </w:pPr>
            <w:r>
              <w:t xml:space="preserve">95-99%</w:t>
            </w:r>
          </w:p>
        </w:tc>
      </w:tr>
    </w:tbl>
    <w:p>
      <w:pPr>
        <w:pStyle w:val="BodyText"/>
      </w:pPr>
      <w:r>
        <w:t xml:space="preserve">Research published in</w:t>
      </w:r>
      <w:r>
        <w:t xml:space="preserve"> </w:t>
      </w:r>
      <w:r>
        <w:rPr>
          <w:i/>
        </w:rPr>
        <w:t xml:space="preserve">Nature</w:t>
      </w:r>
      <w:r>
        <w:t xml:space="preserve"> </w:t>
      </w:r>
      <w:r>
        <w:t xml:space="preserve">demonstrated that mRNA vaccine recipients retained memory B cells capable of recognizing the spike protein up to 12 months post-vaccination.</w:t>
      </w:r>
    </w:p>
    <w:p>
      <w:pPr>
        <w:pStyle w:val="Heading1"/>
      </w:pPr>
      <w:bookmarkStart w:id="36" w:name="adverse-events-short-term-vs.-long-term"/>
      <w:r>
        <w:t xml:space="preserve">Adverse Events: Short-Term vs. Long-Term</w:t>
      </w:r>
      <w:bookmarkEnd w:id="36"/>
    </w:p>
    <w:p>
      <w:pPr>
        <w:pStyle w:val="Heading2"/>
      </w:pPr>
      <w:bookmarkStart w:id="37" w:name="common-short-term-side-effects"/>
      <w:r>
        <w:t xml:space="preserve">Common Short-Term Side Effects</w:t>
      </w:r>
      <w:bookmarkEnd w:id="37"/>
    </w:p>
    <w:p>
      <w:pPr>
        <w:pStyle w:val="FirstParagraph"/>
      </w:pPr>
      <w:r>
        <w:t xml:space="preserve">Most vaccine recipients experience mild to moderate side effects indicative of immune activation: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Side Effect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Duration</w:t>
            </w:r>
          </w:p>
        </w:tc>
      </w:tr>
      <w:tr>
        <w:tc>
          <w:p>
            <w:pPr>
              <w:pStyle w:val="Compact"/>
              <w:jc w:val="left"/>
            </w:pPr>
            <w:r>
              <w:t xml:space="preserve">Injection site pain</w:t>
            </w:r>
          </w:p>
        </w:tc>
        <w:tc>
          <w:p>
            <w:pPr>
              <w:pStyle w:val="Compact"/>
              <w:jc w:val="left"/>
            </w:pPr>
            <w:r>
              <w:t xml:space="preserve">Very common (&gt;80%)</w:t>
            </w:r>
          </w:p>
        </w:tc>
        <w:tc>
          <w:p>
            <w:pPr>
              <w:pStyle w:val="Compact"/>
              <w:jc w:val="left"/>
            </w:pPr>
            <w:r>
              <w:t xml:space="preserve">1-3 days</w:t>
            </w:r>
          </w:p>
        </w:tc>
      </w:tr>
      <w:tr>
        <w:tc>
          <w:p>
            <w:pPr>
              <w:pStyle w:val="Compact"/>
              <w:jc w:val="left"/>
            </w:pPr>
            <w:r>
              <w:t xml:space="preserve">Fatigue</w:t>
            </w:r>
          </w:p>
        </w:tc>
        <w:tc>
          <w:p>
            <w:pPr>
              <w:pStyle w:val="Compact"/>
              <w:jc w:val="left"/>
            </w:pPr>
            <w:r>
              <w:t xml:space="preserve">Common (50-70%)</w:t>
            </w:r>
          </w:p>
        </w:tc>
        <w:tc>
          <w:p>
            <w:pPr>
              <w:pStyle w:val="Compact"/>
              <w:jc w:val="left"/>
            </w:pPr>
            <w:r>
              <w:t xml:space="preserve">1-2 days</w:t>
            </w:r>
          </w:p>
        </w:tc>
      </w:tr>
      <w:tr>
        <w:tc>
          <w:p>
            <w:pPr>
              <w:pStyle w:val="Compact"/>
              <w:jc w:val="left"/>
            </w:pPr>
            <w:r>
              <w:t xml:space="preserve">Headache</w:t>
            </w:r>
          </w:p>
        </w:tc>
        <w:tc>
          <w:p>
            <w:pPr>
              <w:pStyle w:val="Compact"/>
              <w:jc w:val="left"/>
            </w:pPr>
            <w:r>
              <w:t xml:space="preserve">Common (40-60%)</w:t>
            </w:r>
          </w:p>
        </w:tc>
        <w:tc>
          <w:p>
            <w:pPr>
              <w:pStyle w:val="Compact"/>
              <w:jc w:val="left"/>
            </w:pPr>
            <w:r>
              <w:t xml:space="preserve">1-2 days</w:t>
            </w:r>
          </w:p>
        </w:tc>
      </w:tr>
      <w:tr>
        <w:tc>
          <w:p>
            <w:pPr>
              <w:pStyle w:val="Compact"/>
              <w:jc w:val="left"/>
            </w:pPr>
            <w:r>
              <w:t xml:space="preserve">Muscle aches</w:t>
            </w:r>
          </w:p>
        </w:tc>
        <w:tc>
          <w:p>
            <w:pPr>
              <w:pStyle w:val="Compact"/>
              <w:jc w:val="left"/>
            </w:pPr>
            <w:r>
              <w:t xml:space="preserve">Common (30-50%)</w:t>
            </w:r>
          </w:p>
        </w:tc>
        <w:tc>
          <w:p>
            <w:pPr>
              <w:pStyle w:val="Compact"/>
              <w:jc w:val="left"/>
            </w:pPr>
            <w:r>
              <w:t xml:space="preserve">1-2 days</w:t>
            </w:r>
          </w:p>
        </w:tc>
      </w:tr>
      <w:tr>
        <w:tc>
          <w:p>
            <w:pPr>
              <w:pStyle w:val="Compact"/>
              <w:jc w:val="left"/>
            </w:pPr>
            <w:r>
              <w:t xml:space="preserve">Fever/chills</w:t>
            </w:r>
          </w:p>
        </w:tc>
        <w:tc>
          <w:p>
            <w:pPr>
              <w:pStyle w:val="Compact"/>
              <w:jc w:val="left"/>
            </w:pPr>
            <w:r>
              <w:t xml:space="preserve">Common (20-40%)</w:t>
            </w:r>
          </w:p>
        </w:tc>
        <w:tc>
          <w:p>
            <w:pPr>
              <w:pStyle w:val="Compact"/>
              <w:jc w:val="left"/>
            </w:pPr>
            <w:r>
              <w:t xml:space="preserve">1-2 days</w:t>
            </w:r>
          </w:p>
        </w:tc>
      </w:tr>
      <w:tr>
        <w:tc>
          <w:p>
            <w:pPr>
              <w:pStyle w:val="Compact"/>
              <w:jc w:val="left"/>
            </w:pPr>
            <w:r>
              <w:t xml:space="preserve">Nausea</w:t>
            </w:r>
          </w:p>
        </w:tc>
        <w:tc>
          <w:p>
            <w:pPr>
              <w:pStyle w:val="Compact"/>
              <w:jc w:val="left"/>
            </w:pPr>
            <w:r>
              <w:t xml:space="preserve">Uncommon (10-20%)</w:t>
            </w:r>
          </w:p>
        </w:tc>
        <w:tc>
          <w:p>
            <w:pPr>
              <w:pStyle w:val="Compact"/>
              <w:jc w:val="left"/>
            </w:pPr>
            <w:r>
              <w:t xml:space="preserve">1-2 days</w:t>
            </w:r>
          </w:p>
        </w:tc>
      </w:tr>
    </w:tbl>
    <w:p>
      <w:pPr>
        <w:pStyle w:val="Heading2"/>
      </w:pPr>
      <w:bookmarkStart w:id="38" w:name="rare-but-serious-adverse-events"/>
      <w:r>
        <w:t xml:space="preserve">Rare but Serious Adverse Events</w:t>
      </w:r>
      <w:bookmarkEnd w:id="38"/>
    </w:p>
    <w:p>
      <w:pPr>
        <w:pStyle w:val="Heading3"/>
      </w:pPr>
      <w:bookmarkStart w:id="39" w:name="myocarditis-and-pericarditis"/>
      <w:r>
        <w:t xml:space="preserve">Myocarditis and Pericarditis</w:t>
      </w:r>
      <w:bookmarkEnd w:id="39"/>
    </w:p>
    <w:p>
      <w:pPr>
        <w:pStyle w:val="FirstParagraph"/>
      </w:pPr>
      <w:r>
        <w:rPr>
          <w:b/>
        </w:rPr>
        <w:t xml:space="preserve">Epidemiology and Risk Stratification:</w:t>
      </w:r>
    </w:p>
    <w:p>
      <w:pPr>
        <w:pStyle w:val="BodyText"/>
      </w:pPr>
      <w:r>
        <w:t xml:space="preserve">Myocarditis (inflammation of the heart muscle) and pericarditis (inflammation of the heart lining) have been causally linked to mRNA COVID-19 vaccines.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Risk Factor</w:t>
            </w:r>
          </w:p>
        </w:tc>
        <w:tc>
          <w:tcPr>
            <w:tcBorders>
              <w:bottom w:val="single"/>
            </w:tcBorders>
            <w:vAlign w:val="bottom"/>
          </w:tcPr>
          <w:p>
            <w:pPr>
              <w:pStyle w:val="Compact"/>
              <w:jc w:val="left"/>
            </w:pPr>
            <w:r>
              <w:t xml:space="preserve">Incidence (per million doses)</w:t>
            </w:r>
          </w:p>
        </w:tc>
      </w:tr>
      <w:tr>
        <w:tc>
          <w:p>
            <w:pPr>
              <w:pStyle w:val="Compact"/>
              <w:jc w:val="left"/>
            </w:pPr>
            <w:r>
              <w:t xml:space="preserve">Young males (16-29), 2nd mRNA dose</w:t>
            </w:r>
          </w:p>
        </w:tc>
        <w:tc>
          <w:p>
            <w:pPr>
              <w:pStyle w:val="Compact"/>
              <w:jc w:val="left"/>
            </w:pPr>
            <w:r>
              <w:t xml:space="preserve">10.7 - 105.9</w:t>
            </w:r>
          </w:p>
        </w:tc>
      </w:tr>
      <w:tr>
        <w:tc>
          <w:p>
            <w:pPr>
              <w:pStyle w:val="Compact"/>
              <w:jc w:val="left"/>
            </w:pPr>
            <w:r>
              <w:t xml:space="preserve">General population</w:t>
            </w:r>
          </w:p>
        </w:tc>
        <w:tc>
          <w:p>
            <w:pPr>
              <w:pStyle w:val="Compact"/>
              <w:jc w:val="left"/>
            </w:pPr>
            <w:r>
              <w:t xml:space="preserve">1-5</w:t>
            </w:r>
          </w:p>
        </w:tc>
      </w:tr>
      <w:tr>
        <w:tc>
          <w:p>
            <w:pPr>
              <w:pStyle w:val="Compact"/>
              <w:jc w:val="left"/>
            </w:pPr>
            <w:r>
              <w:t xml:space="preserve">Moderna vs Pfizer</w:t>
            </w:r>
          </w:p>
        </w:tc>
        <w:tc>
          <w:p>
            <w:pPr>
              <w:pStyle w:val="Compact"/>
              <w:jc w:val="left"/>
            </w:pPr>
            <w:r>
              <w:t xml:space="preserve">Higher risk with Moderna (100 µg vs 30 µg dose)</w:t>
            </w:r>
          </w:p>
        </w:tc>
      </w:tr>
    </w:tbl>
    <w:p>
      <w:pPr>
        <w:pStyle w:val="BodyText"/>
      </w:pPr>
      <w:r>
        <w:rPr>
          <w:b/>
        </w:rPr>
        <w:t xml:space="preserve">Comparative Risk Analysis:</w:t>
      </w:r>
    </w:p>
    <w:tbl>
      <w:tblPr>
        <w:tblStyle w:val="Table"/>
        <w:tblW w:type="pct" w:w="4999.999999999999"/>
        <w:tblLook w:firstRow="1"/>
      </w:tblPr>
      <w:tblGrid>
        <w:gridCol w:w="1760"/>
        <w:gridCol w:w="2053"/>
        <w:gridCol w:w="2346"/>
        <w:gridCol w:w="1760"/>
      </w:tblGrid>
      <w:tr>
        <w:trPr>
          <w:cnfStyle w:firstRow="1"/>
        </w:trPr>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Vaccine Risk</w:t>
            </w:r>
          </w:p>
        </w:tc>
        <w:tc>
          <w:tcPr>
            <w:tcBorders>
              <w:bottom w:val="single"/>
            </w:tcBorders>
            <w:vAlign w:val="bottom"/>
          </w:tcPr>
          <w:p>
            <w:pPr>
              <w:pStyle w:val="Compact"/>
              <w:jc w:val="left"/>
            </w:pPr>
            <w:r>
              <w:t xml:space="preserve">Infection Risk</w:t>
            </w:r>
          </w:p>
        </w:tc>
        <w:tc>
          <w:tcPr>
            <w:tcBorders>
              <w:bottom w:val="single"/>
            </w:tcBorders>
            <w:vAlign w:val="bottom"/>
          </w:tcPr>
          <w:p>
            <w:pPr>
              <w:pStyle w:val="Compact"/>
              <w:jc w:val="left"/>
            </w:pPr>
            <w:r>
              <w:t xml:space="preserve">Risk Ratio</w:t>
            </w:r>
          </w:p>
        </w:tc>
      </w:tr>
      <w:tr>
        <w:tc>
          <w:p>
            <w:pPr>
              <w:pStyle w:val="Compact"/>
              <w:jc w:val="left"/>
            </w:pPr>
            <w:r>
              <w:t xml:space="preserve">General population</w:t>
            </w:r>
          </w:p>
        </w:tc>
        <w:tc>
          <w:p>
            <w:pPr>
              <w:pStyle w:val="Compact"/>
              <w:jc w:val="left"/>
            </w:pPr>
            <w:r>
              <w:t xml:space="preserve">1-5 per million</w:t>
            </w:r>
          </w:p>
        </w:tc>
        <w:tc>
          <w:p>
            <w:pPr>
              <w:pStyle w:val="Compact"/>
              <w:jc w:val="left"/>
            </w:pPr>
            <w:r>
              <w:t xml:space="preserve">7-11 times higher</w:t>
            </w:r>
          </w:p>
        </w:tc>
        <w:tc>
          <w:p>
            <w:pPr>
              <w:pStyle w:val="Compact"/>
              <w:jc w:val="left"/>
            </w:pPr>
            <w:r>
              <w:t xml:space="preserve">Infection &gt;&gt; Vaccine</w:t>
            </w:r>
          </w:p>
        </w:tc>
      </w:tr>
      <w:tr>
        <w:tc>
          <w:p>
            <w:pPr>
              <w:pStyle w:val="Compact"/>
              <w:jc w:val="left"/>
            </w:pPr>
            <w:r>
              <w:t xml:space="preserve">Males under 40 (mRNA-1273, dose 2)</w:t>
            </w:r>
          </w:p>
        </w:tc>
        <w:tc>
          <w:p>
            <w:pPr>
              <w:pStyle w:val="Compact"/>
              <w:jc w:val="left"/>
            </w:pPr>
            <w:r>
              <w:t xml:space="preserve">Higher</w:t>
            </w:r>
          </w:p>
        </w:tc>
        <w:tc>
          <w:p>
            <w:pPr>
              <w:pStyle w:val="Compact"/>
              <w:jc w:val="left"/>
            </w:pPr>
            <w:r>
              <w:t xml:space="preserve">May be lower</w:t>
            </w:r>
          </w:p>
        </w:tc>
        <w:tc>
          <w:p>
            <w:pPr>
              <w:pStyle w:val="Compact"/>
              <w:jc w:val="left"/>
            </w:pPr>
            <w:r>
              <w:t xml:space="preserve">Requires case-by-case assessment</w:t>
            </w:r>
          </w:p>
        </w:tc>
      </w:tr>
    </w:tbl>
    <w:p>
      <w:pPr>
        <w:pStyle w:val="BodyText"/>
      </w:pPr>
      <w:r>
        <w:rPr>
          <w:b/>
        </w:rPr>
        <w:t xml:space="preserve">Clinical Course and Prognosis:</w:t>
      </w:r>
    </w:p>
    <w:p>
      <w:pPr>
        <w:numPr>
          <w:ilvl w:val="0"/>
          <w:numId w:val="1006"/>
        </w:numPr>
        <w:pStyle w:val="Compact"/>
      </w:pPr>
      <w:r>
        <w:t xml:space="preserve">81% of patients aged 12-29 fully recovered by 90 days</w:t>
      </w:r>
    </w:p>
    <w:p>
      <w:pPr>
        <w:numPr>
          <w:ilvl w:val="0"/>
          <w:numId w:val="1006"/>
        </w:numPr>
        <w:pStyle w:val="Compact"/>
      </w:pPr>
      <w:r>
        <w:t xml:space="preserve">French cohort study (18-month follow-up): Lower cardiovascular complications vs conventional viral myocarditis</w:t>
      </w:r>
    </w:p>
    <w:p>
      <w:pPr>
        <w:numPr>
          <w:ilvl w:val="0"/>
          <w:numId w:val="1006"/>
        </w:numPr>
        <w:pStyle w:val="Compact"/>
      </w:pPr>
      <w:r>
        <w:t xml:space="preserve">However, &gt;50% of patients show late gadolinium enhancement (LGE) on cardiac MRI indicating myocardial fibrosis</w:t>
      </w:r>
    </w:p>
    <w:p>
      <w:pPr>
        <w:pStyle w:val="FirstParagraph"/>
      </w:pPr>
      <w:r>
        <w:rPr>
          <w:b/>
        </w:rPr>
        <w:t xml:space="preserve">Mechanisms of Injury:</w:t>
      </w:r>
    </w:p>
    <w:p>
      <w:pPr>
        <w:numPr>
          <w:ilvl w:val="0"/>
          <w:numId w:val="1007"/>
        </w:numPr>
        <w:pStyle w:val="Compact"/>
      </w:pPr>
      <w:r>
        <w:rPr>
          <w:b/>
        </w:rPr>
        <w:t xml:space="preserve">Hyper-inflammatory Response</w:t>
      </w:r>
      <w:r>
        <w:t xml:space="preserve">: Potent innate immune response may cause cytokine-mediated cardiotoxicity in genetically susceptible individuals</w:t>
      </w:r>
    </w:p>
    <w:p>
      <w:pPr>
        <w:numPr>
          <w:ilvl w:val="0"/>
          <w:numId w:val="1007"/>
        </w:numPr>
        <w:pStyle w:val="Compact"/>
      </w:pPr>
      <w:r>
        <w:rPr>
          <w:b/>
        </w:rPr>
        <w:t xml:space="preserve">Molecular Mimicry</w:t>
      </w:r>
      <w:r>
        <w:t xml:space="preserve">: Antibodies against spike protein may cross-react with cardiac contractile proteins (e.g., alpha-myosin)</w:t>
      </w:r>
    </w:p>
    <w:p>
      <w:pPr>
        <w:numPr>
          <w:ilvl w:val="0"/>
          <w:numId w:val="1007"/>
        </w:numPr>
        <w:pStyle w:val="Compact"/>
      </w:pPr>
      <w:r>
        <w:rPr>
          <w:b/>
        </w:rPr>
        <w:t xml:space="preserve">Hormonal Modulation</w:t>
      </w:r>
      <w:r>
        <w:t xml:space="preserve">: Strong male predominance suggests testosterone may potentiate inflammation</w:t>
      </w:r>
    </w:p>
    <w:p>
      <w:pPr>
        <w:pStyle w:val="Heading3"/>
      </w:pPr>
      <w:bookmarkStart w:id="40" w:name="X9768290322515c8a071d7d79822ce9936cd9061"/>
      <w:r>
        <w:t xml:space="preserve">Thrombosis with Thrombocytopenia Syndrome (TTS)</w:t>
      </w:r>
      <w:bookmarkEnd w:id="40"/>
    </w:p>
    <w:p>
      <w:pPr>
        <w:pStyle w:val="FirstParagraph"/>
      </w:pPr>
      <w:r>
        <w:rPr>
          <w:b/>
        </w:rPr>
        <w:t xml:space="preserve">Characteristics: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Details</w:t>
            </w:r>
          </w:p>
        </w:tc>
      </w:tr>
      <w:tr>
        <w:tc>
          <w:p>
            <w:pPr>
              <w:pStyle w:val="Compact"/>
              <w:jc w:val="left"/>
            </w:pPr>
            <w:r>
              <w:t xml:space="preserve">Associated Vaccines</w:t>
            </w:r>
          </w:p>
        </w:tc>
        <w:tc>
          <w:p>
            <w:pPr>
              <w:pStyle w:val="Compact"/>
              <w:jc w:val="left"/>
            </w:pPr>
            <w:r>
              <w:t xml:space="preserve">Adenoviral vector (AstraZeneca, J&amp;J)</w:t>
            </w:r>
          </w:p>
        </w:tc>
      </w:tr>
      <w:tr>
        <w:tc>
          <w:p>
            <w:pPr>
              <w:pStyle w:val="Compact"/>
              <w:jc w:val="left"/>
            </w:pPr>
            <w:r>
              <w:t xml:space="preserve">Incidence</w:t>
            </w:r>
          </w:p>
        </w:tc>
        <w:tc>
          <w:p>
            <w:pPr>
              <w:pStyle w:val="Compact"/>
              <w:jc w:val="left"/>
            </w:pPr>
            <w:r>
              <w:t xml:space="preserve">10-20 per million doses</w:t>
            </w:r>
          </w:p>
        </w:tc>
      </w:tr>
      <w:tr>
        <w:tc>
          <w:p>
            <w:pPr>
              <w:pStyle w:val="Compact"/>
              <w:jc w:val="left"/>
            </w:pPr>
            <w:r>
              <w:t xml:space="preserve">High-risk Group</w:t>
            </w:r>
          </w:p>
        </w:tc>
        <w:tc>
          <w:p>
            <w:pPr>
              <w:pStyle w:val="Compact"/>
              <w:jc w:val="left"/>
            </w:pPr>
            <w:r>
              <w:t xml:space="preserve">Women under 50</w:t>
            </w:r>
          </w:p>
        </w:tc>
      </w:tr>
      <w:tr>
        <w:tc>
          <w:p>
            <w:pPr>
              <w:pStyle w:val="Compact"/>
              <w:jc w:val="left"/>
            </w:pPr>
            <w:r>
              <w:t xml:space="preserve">Mechanism</w:t>
            </w:r>
          </w:p>
        </w:tc>
        <w:tc>
          <w:p>
            <w:pPr>
              <w:pStyle w:val="Compact"/>
              <w:jc w:val="left"/>
            </w:pPr>
            <w:r>
              <w:t xml:space="preserve">Autoantibodies against Platelet Factor 4 (PF4)</w:t>
            </w:r>
          </w:p>
        </w:tc>
      </w:tr>
      <w:tr>
        <w:tc>
          <w:p>
            <w:pPr>
              <w:pStyle w:val="Compact"/>
              <w:jc w:val="left"/>
            </w:pPr>
            <w:r>
              <w:t xml:space="preserve">Onset</w:t>
            </w:r>
          </w:p>
        </w:tc>
        <w:tc>
          <w:p>
            <w:pPr>
              <w:pStyle w:val="Compact"/>
              <w:jc w:val="left"/>
            </w:pPr>
            <w:r>
              <w:t xml:space="preserve">4-30 days post-vaccination</w:t>
            </w:r>
          </w:p>
        </w:tc>
      </w:tr>
      <w:tr>
        <w:tc>
          <w:p>
            <w:pPr>
              <w:pStyle w:val="Compact"/>
              <w:jc w:val="left"/>
            </w:pPr>
            <w:r>
              <w:t xml:space="preserve">Outcome</w:t>
            </w:r>
          </w:p>
        </w:tc>
        <w:tc>
          <w:p>
            <w:pPr>
              <w:pStyle w:val="Compact"/>
              <w:jc w:val="left"/>
            </w:pPr>
            <w:r>
              <w:t xml:space="preserve">Treatable; rare fatalities</w:t>
            </w:r>
          </w:p>
        </w:tc>
      </w:tr>
    </w:tbl>
    <w:p>
      <w:pPr>
        <w:pStyle w:val="BodyText"/>
      </w:pPr>
      <w:r>
        <w:t xml:space="preserve">The adenovirus vector binds PF4, creating neoantigens that trigger this autoimmune clotting disorder.</w:t>
      </w:r>
    </w:p>
    <w:p>
      <w:pPr>
        <w:pStyle w:val="Heading3"/>
      </w:pPr>
      <w:bookmarkStart w:id="41" w:name="guillain-barré-syndrome-gbs"/>
      <w:r>
        <w:t xml:space="preserve">Guillain-Barré Syndrome (GBS)</w:t>
      </w:r>
      <w:bookmarkEnd w:id="41"/>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Details</w:t>
            </w:r>
          </w:p>
        </w:tc>
      </w:tr>
      <w:tr>
        <w:tc>
          <w:p>
            <w:pPr>
              <w:pStyle w:val="Compact"/>
              <w:jc w:val="left"/>
            </w:pPr>
            <w:r>
              <w:t xml:space="preserve">Associated Vaccines</w:t>
            </w:r>
          </w:p>
        </w:tc>
        <w:tc>
          <w:p>
            <w:pPr>
              <w:pStyle w:val="Compact"/>
              <w:jc w:val="left"/>
            </w:pPr>
            <w:r>
              <w:t xml:space="preserve">Primarily adenoviral vector</w:t>
            </w:r>
          </w:p>
        </w:tc>
      </w:tr>
      <w:tr>
        <w:tc>
          <w:p>
            <w:pPr>
              <w:pStyle w:val="Compact"/>
              <w:jc w:val="left"/>
            </w:pPr>
            <w:r>
              <w:t xml:space="preserve">Incidence</w:t>
            </w:r>
          </w:p>
        </w:tc>
        <w:tc>
          <w:p>
            <w:pPr>
              <w:pStyle w:val="Compact"/>
              <w:jc w:val="left"/>
            </w:pPr>
            <w:r>
              <w:t xml:space="preserve">7-8 excess cases per 10 million doses</w:t>
            </w:r>
          </w:p>
        </w:tc>
      </w:tr>
      <w:tr>
        <w:tc>
          <w:p>
            <w:pPr>
              <w:pStyle w:val="Compact"/>
              <w:jc w:val="left"/>
            </w:pPr>
            <w:r>
              <w:t xml:space="preserve">Mechanism</w:t>
            </w:r>
          </w:p>
        </w:tc>
        <w:tc>
          <w:p>
            <w:pPr>
              <w:pStyle w:val="Compact"/>
              <w:jc w:val="left"/>
            </w:pPr>
            <w:r>
              <w:t xml:space="preserve">Immune reaction to adenovirus vector or cross-reactivity with peripheral nerve myelin</w:t>
            </w:r>
          </w:p>
        </w:tc>
      </w:tr>
      <w:tr>
        <w:tc>
          <w:p>
            <w:pPr>
              <w:pStyle w:val="Compact"/>
              <w:jc w:val="left"/>
            </w:pPr>
            <w:r>
              <w:t xml:space="preserve">Outcome</w:t>
            </w:r>
          </w:p>
        </w:tc>
        <w:tc>
          <w:p>
            <w:pPr>
              <w:pStyle w:val="Compact"/>
              <w:jc w:val="left"/>
            </w:pPr>
            <w:r>
              <w:t xml:space="preserve">Variable; rare</w:t>
            </w:r>
          </w:p>
        </w:tc>
      </w:tr>
    </w:tbl>
    <w:p>
      <w:pPr>
        <w:pStyle w:val="Heading3"/>
      </w:pPr>
      <w:bookmarkStart w:id="42" w:name="transverse-myelitis"/>
      <w:r>
        <w:t xml:space="preserve">Transverse Myelitis</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Details</w:t>
            </w:r>
          </w:p>
        </w:tc>
      </w:tr>
      <w:tr>
        <w:tc>
          <w:p>
            <w:pPr>
              <w:pStyle w:val="Compact"/>
              <w:jc w:val="left"/>
            </w:pPr>
            <w:r>
              <w:t xml:space="preserve">Associated Vaccines</w:t>
            </w:r>
          </w:p>
        </w:tc>
        <w:tc>
          <w:p>
            <w:pPr>
              <w:pStyle w:val="Compact"/>
              <w:jc w:val="left"/>
            </w:pPr>
            <w:r>
              <w:t xml:space="preserve">Both mRNA and viral vector</w:t>
            </w:r>
          </w:p>
        </w:tc>
      </w:tr>
      <w:tr>
        <w:tc>
          <w:p>
            <w:pPr>
              <w:pStyle w:val="Compact"/>
              <w:jc w:val="left"/>
            </w:pPr>
            <w:r>
              <w:t xml:space="preserve">Incidence</w:t>
            </w:r>
          </w:p>
        </w:tc>
        <w:tc>
          <w:p>
            <w:pPr>
              <w:pStyle w:val="Compact"/>
              <w:jc w:val="left"/>
            </w:pPr>
            <w:r>
              <w:t xml:space="preserve">~1.7 cases per million</w:t>
            </w:r>
          </w:p>
        </w:tc>
      </w:tr>
      <w:tr>
        <w:tc>
          <w:p>
            <w:pPr>
              <w:pStyle w:val="Compact"/>
              <w:jc w:val="left"/>
            </w:pPr>
            <w:r>
              <w:t xml:space="preserve">Risk Period</w:t>
            </w:r>
          </w:p>
        </w:tc>
        <w:tc>
          <w:p>
            <w:pPr>
              <w:pStyle w:val="Compact"/>
              <w:jc w:val="left"/>
            </w:pPr>
            <w:r>
              <w:t xml:space="preserve">1-42 days post-vaccination</w:t>
            </w:r>
          </w:p>
        </w:tc>
      </w:tr>
      <w:tr>
        <w:tc>
          <w:p>
            <w:pPr>
              <w:pStyle w:val="Compact"/>
              <w:jc w:val="left"/>
            </w:pPr>
            <w:r>
              <w:t xml:space="preserve">IRR</w:t>
            </w:r>
          </w:p>
        </w:tc>
        <w:tc>
          <w:p>
            <w:pPr>
              <w:pStyle w:val="Compact"/>
              <w:jc w:val="left"/>
            </w:pPr>
            <w:r>
              <w:t xml:space="preserve">~2.41</w:t>
            </w:r>
          </w:p>
        </w:tc>
      </w:tr>
    </w:tbl>
    <w:p>
      <w:pPr>
        <w:pStyle w:val="Heading2"/>
      </w:pPr>
      <w:bookmarkStart w:id="43" w:name="long-term-adverse-events"/>
      <w:r>
        <w:t xml:space="preserve">Long-Term Adverse Events</w:t>
      </w:r>
      <w:bookmarkEnd w:id="43"/>
    </w:p>
    <w:p>
      <w:pPr>
        <w:pStyle w:val="FirstParagraph"/>
      </w:pPr>
      <w:r>
        <w:t xml:space="preserve">Long-term adverse events are defined as those occurring or persisting more than six months after vaccination. Extensive surveillance and cohort studies have not identified widespread new long-term safety concerns. The vast majority of adverse events occur within the first two months post-vaccination.</w:t>
      </w:r>
    </w:p>
    <w:p>
      <w:pPr>
        <w:pStyle w:val="Heading3"/>
      </w:pPr>
      <w:bookmarkStart w:id="44" w:name="summary-of-adverse-event-incidence"/>
      <w:r>
        <w:t xml:space="preserve">Summary of Adverse Event Incidence</w:t>
      </w:r>
      <w:bookmarkEnd w:id="44"/>
    </w:p>
    <w:tbl>
      <w:tblPr>
        <w:tblStyle w:val="Table"/>
        <w:tblW w:type="pct" w:w="5000.0"/>
        <w:tblLook w:firstRow="1"/>
      </w:tblPr>
      <w:tblGrid>
        <w:gridCol w:w="1947"/>
        <w:gridCol w:w="1817"/>
        <w:gridCol w:w="2077"/>
        <w:gridCol w:w="908"/>
        <w:gridCol w:w="1168"/>
      </w:tblGrid>
      <w:tr>
        <w:trPr>
          <w:cnfStyle w:firstRow="1"/>
        </w:trPr>
        <w:tc>
          <w:tcPr>
            <w:tcBorders>
              <w:bottom w:val="single"/>
            </w:tcBorders>
            <w:vAlign w:val="bottom"/>
          </w:tcPr>
          <w:p>
            <w:pPr>
              <w:pStyle w:val="Compact"/>
              <w:jc w:val="left"/>
            </w:pPr>
            <w:r>
              <w:t xml:space="preserve">Adverse Event</w:t>
            </w:r>
          </w:p>
        </w:tc>
        <w:tc>
          <w:tcPr>
            <w:tcBorders>
              <w:bottom w:val="single"/>
            </w:tcBorders>
            <w:vAlign w:val="bottom"/>
          </w:tcPr>
          <w:p>
            <w:pPr>
              <w:pStyle w:val="Compact"/>
              <w:jc w:val="left"/>
            </w:pPr>
            <w:r>
              <w:t xml:space="preserve">Vaccine Type</w:t>
            </w:r>
          </w:p>
        </w:tc>
        <w:tc>
          <w:tcPr>
            <w:tcBorders>
              <w:bottom w:val="single"/>
            </w:tcBorders>
            <w:vAlign w:val="bottom"/>
          </w:tcPr>
          <w:p>
            <w:pPr>
              <w:pStyle w:val="Compact"/>
              <w:jc w:val="left"/>
            </w:pPr>
            <w:r>
              <w:t xml:space="preserve">Incidence Rate</w:t>
            </w:r>
          </w:p>
        </w:tc>
        <w:tc>
          <w:tcPr>
            <w:tcBorders>
              <w:bottom w:val="single"/>
            </w:tcBorders>
            <w:vAlign w:val="bottom"/>
          </w:tcPr>
          <w:p>
            <w:pPr>
              <w:pStyle w:val="Compact"/>
              <w:jc w:val="left"/>
            </w:pPr>
            <w:r>
              <w:t xml:space="preserve">Onset</w:t>
            </w:r>
          </w:p>
        </w:tc>
        <w:tc>
          <w:tcPr>
            <w:tcBorders>
              <w:bottom w:val="single"/>
            </w:tcBorders>
            <w:vAlign w:val="bottom"/>
          </w:tcPr>
          <w:p>
            <w:pPr>
              <w:pStyle w:val="Compact"/>
              <w:jc w:val="left"/>
            </w:pPr>
            <w:r>
              <w:t xml:space="preserve">Outcome</w:t>
            </w:r>
          </w:p>
        </w:tc>
      </w:tr>
      <w:tr>
        <w:tc>
          <w:p>
            <w:pPr>
              <w:pStyle w:val="Compact"/>
              <w:jc w:val="left"/>
            </w:pPr>
            <w:r>
              <w:t xml:space="preserve">Myocarditis/Pericarditis</w:t>
            </w:r>
          </w:p>
        </w:tc>
        <w:tc>
          <w:p>
            <w:pPr>
              <w:pStyle w:val="Compact"/>
              <w:jc w:val="left"/>
            </w:pPr>
            <w:r>
              <w:t xml:space="preserve">mRNA</w:t>
            </w:r>
          </w:p>
        </w:tc>
        <w:tc>
          <w:p>
            <w:pPr>
              <w:pStyle w:val="Compact"/>
              <w:jc w:val="left"/>
            </w:pPr>
            <w:r>
              <w:t xml:space="preserve">12-40 per million (young males)</w:t>
            </w:r>
          </w:p>
        </w:tc>
        <w:tc>
          <w:p>
            <w:pPr>
              <w:pStyle w:val="Compact"/>
              <w:jc w:val="left"/>
            </w:pPr>
            <w:r>
              <w:t xml:space="preserve">1-7 days</w:t>
            </w:r>
          </w:p>
        </w:tc>
        <w:tc>
          <w:p>
            <w:pPr>
              <w:pStyle w:val="Compact"/>
              <w:jc w:val="left"/>
            </w:pPr>
            <w:r>
              <w:t xml:space="preserve">Mostly mild, resolves</w:t>
            </w:r>
          </w:p>
        </w:tc>
      </w:tr>
      <w:tr>
        <w:tc>
          <w:p>
            <w:pPr>
              <w:pStyle w:val="Compact"/>
              <w:jc w:val="left"/>
            </w:pPr>
            <w:r>
              <w:t xml:space="preserve">TTS</w:t>
            </w:r>
          </w:p>
        </w:tc>
        <w:tc>
          <w:p>
            <w:pPr>
              <w:pStyle w:val="Compact"/>
              <w:jc w:val="left"/>
            </w:pPr>
            <w:r>
              <w:t xml:space="preserve">Adenoviral vector</w:t>
            </w:r>
          </w:p>
        </w:tc>
        <w:tc>
          <w:p>
            <w:pPr>
              <w:pStyle w:val="Compact"/>
              <w:jc w:val="left"/>
            </w:pPr>
            <w:r>
              <w:t xml:space="preserve">10-20 per million</w:t>
            </w:r>
          </w:p>
        </w:tc>
        <w:tc>
          <w:p>
            <w:pPr>
              <w:pStyle w:val="Compact"/>
              <w:jc w:val="left"/>
            </w:pPr>
            <w:r>
              <w:t xml:space="preserve">4-30 days</w:t>
            </w:r>
          </w:p>
        </w:tc>
        <w:tc>
          <w:p>
            <w:pPr>
              <w:pStyle w:val="Compact"/>
              <w:jc w:val="left"/>
            </w:pPr>
            <w:r>
              <w:t xml:space="preserve">Treatable, rare fatalities</w:t>
            </w:r>
          </w:p>
        </w:tc>
      </w:tr>
      <w:tr>
        <w:tc>
          <w:p>
            <w:pPr>
              <w:pStyle w:val="Compact"/>
              <w:jc w:val="left"/>
            </w:pPr>
            <w:r>
              <w:t xml:space="preserve">Guillain-Barré Syndrome</w:t>
            </w:r>
          </w:p>
        </w:tc>
        <w:tc>
          <w:p>
            <w:pPr>
              <w:pStyle w:val="Compact"/>
              <w:jc w:val="left"/>
            </w:pPr>
            <w:r>
              <w:t xml:space="preserve">Adenoviral vector</w:t>
            </w:r>
          </w:p>
        </w:tc>
        <w:tc>
          <w:p>
            <w:pPr>
              <w:pStyle w:val="Compact"/>
              <w:jc w:val="left"/>
            </w:pPr>
            <w:r>
              <w:t xml:space="preserve">1-2 per million</w:t>
            </w:r>
          </w:p>
        </w:tc>
        <w:tc>
          <w:p>
            <w:pPr>
              <w:pStyle w:val="Compact"/>
              <w:jc w:val="left"/>
            </w:pPr>
            <w:r>
              <w:t xml:space="preserve">2-42 days</w:t>
            </w:r>
          </w:p>
        </w:tc>
        <w:tc>
          <w:p>
            <w:pPr>
              <w:pStyle w:val="Compact"/>
              <w:jc w:val="left"/>
            </w:pPr>
            <w:r>
              <w:t xml:space="preserve">Variable, rare</w:t>
            </w:r>
          </w:p>
        </w:tc>
      </w:tr>
      <w:tr>
        <w:tc>
          <w:p>
            <w:pPr>
              <w:pStyle w:val="Compact"/>
              <w:jc w:val="left"/>
            </w:pPr>
            <w:r>
              <w:t xml:space="preserve">Transverse Myelitis</w:t>
            </w:r>
          </w:p>
        </w:tc>
        <w:tc>
          <w:p>
            <w:pPr>
              <w:pStyle w:val="Compact"/>
              <w:jc w:val="left"/>
            </w:pPr>
            <w:r>
              <w:t xml:space="preserve">All types</w:t>
            </w:r>
          </w:p>
        </w:tc>
        <w:tc>
          <w:p>
            <w:pPr>
              <w:pStyle w:val="Compact"/>
              <w:jc w:val="left"/>
            </w:pPr>
            <w:r>
              <w:t xml:space="preserve">~1.7 per million</w:t>
            </w:r>
          </w:p>
        </w:tc>
        <w:tc>
          <w:p>
            <w:pPr>
              <w:pStyle w:val="Compact"/>
              <w:jc w:val="left"/>
            </w:pPr>
            <w:r>
              <w:t xml:space="preserve">1-42 days</w:t>
            </w:r>
          </w:p>
        </w:tc>
        <w:tc>
          <w:p>
            <w:pPr>
              <w:pStyle w:val="Compact"/>
              <w:jc w:val="left"/>
            </w:pPr>
            <w:r>
              <w:t xml:space="preserve">Requires early treatment</w:t>
            </w:r>
          </w:p>
        </w:tc>
      </w:tr>
      <w:tr>
        <w:tc>
          <w:p>
            <w:pPr>
              <w:pStyle w:val="Compact"/>
              <w:jc w:val="left"/>
            </w:pPr>
            <w:r>
              <w:t xml:space="preserve">Anaphylaxis</w:t>
            </w:r>
          </w:p>
        </w:tc>
        <w:tc>
          <w:p>
            <w:pPr>
              <w:pStyle w:val="Compact"/>
              <w:jc w:val="left"/>
            </w:pPr>
            <w:r>
              <w:t xml:space="preserve">All types</w:t>
            </w:r>
          </w:p>
        </w:tc>
        <w:tc>
          <w:p>
            <w:pPr>
              <w:pStyle w:val="Compact"/>
              <w:jc w:val="left"/>
            </w:pPr>
            <w:r>
              <w:t xml:space="preserve">2-5 per million</w:t>
            </w:r>
          </w:p>
        </w:tc>
        <w:tc>
          <w:p>
            <w:pPr>
              <w:pStyle w:val="Compact"/>
              <w:jc w:val="left"/>
            </w:pPr>
            <w:r>
              <w:t xml:space="preserve">Immediate</w:t>
            </w:r>
          </w:p>
        </w:tc>
        <w:tc>
          <w:p>
            <w:pPr>
              <w:pStyle w:val="Compact"/>
              <w:jc w:val="left"/>
            </w:pPr>
            <w:r>
              <w:t xml:space="preserve">Treatable</w:t>
            </w:r>
          </w:p>
        </w:tc>
      </w:tr>
    </w:tbl>
    <w:p>
      <w:pPr>
        <w:pStyle w:val="Heading1"/>
      </w:pPr>
      <w:bookmarkStart w:id="45" w:name="special-populations"/>
      <w:r>
        <w:t xml:space="preserve">Special Populations</w:t>
      </w:r>
      <w:bookmarkEnd w:id="45"/>
    </w:p>
    <w:p>
      <w:pPr>
        <w:pStyle w:val="Heading2"/>
      </w:pPr>
      <w:bookmarkStart w:id="46" w:name="children-and-adolescents"/>
      <w:r>
        <w:t xml:space="preserve">Children and Adolescents</w:t>
      </w:r>
      <w:bookmarkEnd w:id="46"/>
    </w:p>
    <w:p>
      <w:pPr>
        <w:pStyle w:val="FirstParagraph"/>
      </w:pPr>
      <w:r>
        <w:t xml:space="preserve">Clinical trials and post-marketing surveillance have demonstrated that COVID-19 vaccines are safe and effective in children aged 5 and older.</w:t>
      </w:r>
    </w:p>
    <w:tbl>
      <w:tblPr>
        <w:tblStyle w:val="Table"/>
        <w:tblW w:type="pct" w:w="5000.0"/>
        <w:tblLook w:firstRow="1"/>
      </w:tblPr>
      <w:tblGrid>
        <w:gridCol w:w="2124"/>
        <w:gridCol w:w="3090"/>
        <w:gridCol w:w="2704"/>
      </w:tblGrid>
      <w:tr>
        <w:trPr>
          <w:cnfStyle w:firstRow="1"/>
        </w:trPr>
        <w:tc>
          <w:tcPr>
            <w:tcBorders>
              <w:bottom w:val="single"/>
            </w:tcBorders>
            <w:vAlign w:val="bottom"/>
          </w:tcPr>
          <w:p>
            <w:pPr>
              <w:pStyle w:val="Compact"/>
              <w:jc w:val="left"/>
            </w:pPr>
            <w:r>
              <w:t xml:space="preserve">Age Group</w:t>
            </w:r>
          </w:p>
        </w:tc>
        <w:tc>
          <w:tcPr>
            <w:tcBorders>
              <w:bottom w:val="single"/>
            </w:tcBorders>
            <w:vAlign w:val="bottom"/>
          </w:tcPr>
          <w:p>
            <w:pPr>
              <w:pStyle w:val="Compact"/>
              <w:jc w:val="left"/>
            </w:pPr>
            <w:r>
              <w:t xml:space="preserve">Vaccine Status</w:t>
            </w:r>
          </w:p>
        </w:tc>
        <w:tc>
          <w:tcPr>
            <w:tcBorders>
              <w:bottom w:val="single"/>
            </w:tcBorders>
            <w:vAlign w:val="bottom"/>
          </w:tcPr>
          <w:p>
            <w:pPr>
              <w:pStyle w:val="Compact"/>
              <w:jc w:val="left"/>
            </w:pPr>
            <w:r>
              <w:t xml:space="preserve">Key Findings</w:t>
            </w:r>
          </w:p>
        </w:tc>
      </w:tr>
      <w:tr>
        <w:tc>
          <w:p>
            <w:pPr>
              <w:pStyle w:val="Compact"/>
              <w:jc w:val="left"/>
            </w:pPr>
            <w:r>
              <w:t xml:space="preserve">5-11 years</w:t>
            </w:r>
          </w:p>
        </w:tc>
        <w:tc>
          <w:p>
            <w:pPr>
              <w:pStyle w:val="Compact"/>
              <w:jc w:val="left"/>
            </w:pPr>
            <w:r>
              <w:t xml:space="preserve">Approved</w:t>
            </w:r>
          </w:p>
        </w:tc>
        <w:tc>
          <w:p>
            <w:pPr>
              <w:pStyle w:val="Compact"/>
              <w:jc w:val="left"/>
            </w:pPr>
            <w:r>
              <w:t xml:space="preserve">Safe with age-appropriate dosing</w:t>
            </w:r>
          </w:p>
        </w:tc>
      </w:tr>
      <w:tr>
        <w:tc>
          <w:p>
            <w:pPr>
              <w:pStyle w:val="Compact"/>
              <w:jc w:val="left"/>
            </w:pPr>
            <w:r>
              <w:t xml:space="preserve">12-17 years</w:t>
            </w:r>
          </w:p>
        </w:tc>
        <w:tc>
          <w:p>
            <w:pPr>
              <w:pStyle w:val="Compact"/>
              <w:jc w:val="left"/>
            </w:pPr>
            <w:r>
              <w:t xml:space="preserve">Approved</w:t>
            </w:r>
          </w:p>
        </w:tc>
        <w:tc>
          <w:p>
            <w:pPr>
              <w:pStyle w:val="Compact"/>
              <w:jc w:val="left"/>
            </w:pPr>
            <w:r>
              <w:t xml:space="preserve">Higher myocarditis risk in males but rare and generally mild</w:t>
            </w:r>
          </w:p>
        </w:tc>
      </w:tr>
      <w:tr>
        <w:tc>
          <w:p>
            <w:pPr>
              <w:pStyle w:val="Compact"/>
              <w:jc w:val="left"/>
            </w:pPr>
            <w:r>
              <w:t xml:space="preserve">6 months - 4 years</w:t>
            </w:r>
          </w:p>
        </w:tc>
        <w:tc>
          <w:p>
            <w:pPr>
              <w:pStyle w:val="Compact"/>
              <w:jc w:val="left"/>
            </w:pPr>
            <w:r>
              <w:t xml:space="preserve">Approved</w:t>
            </w:r>
          </w:p>
        </w:tc>
        <w:tc>
          <w:p>
            <w:pPr>
              <w:pStyle w:val="Compact"/>
              <w:jc w:val="left"/>
            </w:pPr>
            <w:r>
              <w:t xml:space="preserve">Reduced dosing; favorable safety profile</w:t>
            </w:r>
          </w:p>
        </w:tc>
      </w:tr>
    </w:tbl>
    <w:p>
      <w:pPr>
        <w:pStyle w:val="Heading2"/>
      </w:pPr>
      <w:bookmarkStart w:id="47" w:name="pregnant-and-lactating-women"/>
      <w:r>
        <w:t xml:space="preserve">Pregnant and Lactating Women</w:t>
      </w:r>
      <w:bookmarkEnd w:id="47"/>
    </w:p>
    <w:p>
      <w:pPr>
        <w:pStyle w:val="FirstParagraph"/>
      </w:pPr>
      <w:r>
        <w:t xml:space="preserve">Initial trials excluded pregnant women, but subsequent observational studies have addressed safety concerns: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Finding</w:t>
            </w:r>
          </w:p>
        </w:tc>
      </w:tr>
      <w:tr>
        <w:tc>
          <w:p>
            <w:pPr>
              <w:pStyle w:val="Compact"/>
              <w:jc w:val="left"/>
            </w:pPr>
            <w:r>
              <w:t xml:space="preserve">Miscarriage risk</w:t>
            </w:r>
          </w:p>
        </w:tc>
        <w:tc>
          <w:p>
            <w:pPr>
              <w:pStyle w:val="Compact"/>
              <w:jc w:val="left"/>
            </w:pPr>
            <w:r>
              <w:t xml:space="preserve">No increased risk</w:t>
            </w:r>
          </w:p>
        </w:tc>
      </w:tr>
      <w:tr>
        <w:tc>
          <w:p>
            <w:pPr>
              <w:pStyle w:val="Compact"/>
              <w:jc w:val="left"/>
            </w:pPr>
            <w:r>
              <w:t xml:space="preserve">Preterm birth</w:t>
            </w:r>
          </w:p>
        </w:tc>
        <w:tc>
          <w:p>
            <w:pPr>
              <w:pStyle w:val="Compact"/>
              <w:jc w:val="left"/>
            </w:pPr>
            <w:r>
              <w:t xml:space="preserve">No increased risk</w:t>
            </w:r>
          </w:p>
        </w:tc>
      </w:tr>
      <w:tr>
        <w:tc>
          <w:p>
            <w:pPr>
              <w:pStyle w:val="Compact"/>
              <w:jc w:val="left"/>
            </w:pPr>
            <w:r>
              <w:t xml:space="preserve">Congenital anomalies</w:t>
            </w:r>
          </w:p>
        </w:tc>
        <w:tc>
          <w:p>
            <w:pPr>
              <w:pStyle w:val="Compact"/>
              <w:jc w:val="left"/>
            </w:pPr>
            <w:r>
              <w:t xml:space="preserve">No increased risk</w:t>
            </w:r>
          </w:p>
        </w:tc>
      </w:tr>
      <w:tr>
        <w:tc>
          <w:p>
            <w:pPr>
              <w:pStyle w:val="Compact"/>
              <w:jc w:val="left"/>
            </w:pPr>
            <w:r>
              <w:t xml:space="preserve">Passive immunity to infant</w:t>
            </w:r>
          </w:p>
        </w:tc>
        <w:tc>
          <w:p>
            <w:pPr>
              <w:pStyle w:val="Compact"/>
              <w:jc w:val="left"/>
            </w:pPr>
            <w:r>
              <w:t xml:space="preserve">Confirmed via transplacental antibody transfer</w:t>
            </w:r>
          </w:p>
        </w:tc>
      </w:tr>
      <w:tr>
        <w:tc>
          <w:p>
            <w:pPr>
              <w:pStyle w:val="Compact"/>
              <w:jc w:val="left"/>
            </w:pPr>
            <w:r>
              <w:t xml:space="preserve">Breast milk</w:t>
            </w:r>
          </w:p>
        </w:tc>
        <w:tc>
          <w:p>
            <w:pPr>
              <w:pStyle w:val="Compact"/>
              <w:jc w:val="left"/>
            </w:pPr>
            <w:r>
              <w:t xml:space="preserve">Safe; antibodies transferred to infant</w:t>
            </w:r>
          </w:p>
        </w:tc>
      </w:tr>
    </w:tbl>
    <w:p>
      <w:pPr>
        <w:pStyle w:val="Heading2"/>
      </w:pPr>
      <w:bookmarkStart w:id="48" w:name="immunocompromised-individuals"/>
      <w:r>
        <w:t xml:space="preserve">Immunocompromised Individuals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Population</w:t>
            </w:r>
          </w:p>
        </w:tc>
        <w:tc>
          <w:tcPr>
            <w:tcBorders>
              <w:bottom w:val="single"/>
            </w:tcBorders>
            <w:vAlign w:val="bottom"/>
          </w:tcPr>
          <w:p>
            <w:pPr>
              <w:pStyle w:val="Compact"/>
              <w:jc w:val="left"/>
            </w:pPr>
            <w:r>
              <w:t xml:space="preserve">Recommendation</w:t>
            </w:r>
          </w:p>
        </w:tc>
      </w:tr>
      <w:tr>
        <w:tc>
          <w:p>
            <w:pPr>
              <w:pStyle w:val="Compact"/>
              <w:jc w:val="left"/>
            </w:pPr>
            <w:r>
              <w:t xml:space="preserve">Organ transplant recipients</w:t>
            </w:r>
          </w:p>
        </w:tc>
        <w:tc>
          <w:p>
            <w:pPr>
              <w:pStyle w:val="Compact"/>
              <w:jc w:val="left"/>
            </w:pPr>
            <w:r>
              <w:t xml:space="preserve">Additional doses recommended</w:t>
            </w:r>
          </w:p>
        </w:tc>
      </w:tr>
      <w:tr>
        <w:tc>
          <w:p>
            <w:pPr>
              <w:pStyle w:val="Compact"/>
              <w:jc w:val="left"/>
            </w:pPr>
            <w:r>
              <w:t xml:space="preserve">Immunosuppressive therapy</w:t>
            </w:r>
          </w:p>
        </w:tc>
        <w:tc>
          <w:p>
            <w:pPr>
              <w:pStyle w:val="Compact"/>
              <w:jc w:val="left"/>
            </w:pPr>
            <w:r>
              <w:t xml:space="preserve">Tailored vaccination schedules</w:t>
            </w:r>
          </w:p>
        </w:tc>
      </w:tr>
      <w:tr>
        <w:tc>
          <w:p>
            <w:pPr>
              <w:pStyle w:val="Compact"/>
              <w:jc w:val="left"/>
            </w:pPr>
            <w:r>
              <w:t xml:space="preserve">Cancer patients</w:t>
            </w:r>
          </w:p>
        </w:tc>
        <w:tc>
          <w:p>
            <w:pPr>
              <w:pStyle w:val="Compact"/>
              <w:jc w:val="left"/>
            </w:pPr>
            <w:r>
              <w:t xml:space="preserve">Timing relative to treatment important</w:t>
            </w:r>
          </w:p>
        </w:tc>
      </w:tr>
      <w:tr>
        <w:tc>
          <w:p>
            <w:pPr>
              <w:pStyle w:val="Compact"/>
              <w:jc w:val="left"/>
            </w:pPr>
            <w:r>
              <w:t xml:space="preserve">HIV-positive individuals</w:t>
            </w:r>
          </w:p>
        </w:tc>
        <w:tc>
          <w:p>
            <w:pPr>
              <w:pStyle w:val="Compact"/>
              <w:jc w:val="left"/>
            </w:pPr>
            <w:r>
              <w:t xml:space="preserve">Standard vaccination recommended</w:t>
            </w:r>
          </w:p>
        </w:tc>
      </w:tr>
    </w:tbl>
    <w:p>
      <w:pPr>
        <w:pStyle w:val="Heading2"/>
      </w:pPr>
      <w:bookmarkStart w:id="49" w:name="Xc9cdfa0996ba1aef3185a39d713e3d4c86dc8bb"/>
      <w:r>
        <w:t xml:space="preserve">COVID-19 Vaccine Effects in Adults 60 Years and Above</w:t>
      </w:r>
      <w:bookmarkEnd w:id="49"/>
    </w:p>
    <w:p>
      <w:pPr>
        <w:pStyle w:val="FirstParagraph"/>
      </w:pPr>
      <w:r>
        <w:t xml:space="preserve">Older adults represent a critical population for COVID-19 vaccination due to their higher risk of severe disease and mortality from SARS-CoV-2 infection. Understanding vaccine effects in this age group is essential for optimizing protection strategies.</w:t>
      </w:r>
    </w:p>
    <w:p>
      <w:pPr>
        <w:pStyle w:val="Heading3"/>
      </w:pPr>
      <w:bookmarkStart w:id="50" w:name="efficacy-and-immune-response"/>
      <w:r>
        <w:t xml:space="preserve">Efficacy and Immune Response</w:t>
      </w:r>
      <w:bookmarkEnd w:id="50"/>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Finding</w:t>
            </w:r>
          </w:p>
        </w:tc>
      </w:tr>
      <w:tr>
        <w:tc>
          <w:p>
            <w:pPr>
              <w:pStyle w:val="Compact"/>
              <w:jc w:val="left"/>
            </w:pPr>
            <w:r>
              <w:t xml:space="preserve">Vaccine efficacy against severe disease</w:t>
            </w:r>
          </w:p>
        </w:tc>
        <w:tc>
          <w:p>
            <w:pPr>
              <w:pStyle w:val="Compact"/>
              <w:jc w:val="left"/>
            </w:pPr>
            <w:r>
              <w:t xml:space="preserve">85-95% (comparable to younger adults)</w:t>
            </w:r>
          </w:p>
        </w:tc>
      </w:tr>
      <w:tr>
        <w:tc>
          <w:p>
            <w:pPr>
              <w:pStyle w:val="Compact"/>
              <w:jc w:val="left"/>
            </w:pPr>
            <w:r>
              <w:t xml:space="preserve">Antibody response</w:t>
            </w:r>
          </w:p>
        </w:tc>
        <w:tc>
          <w:p>
            <w:pPr>
              <w:pStyle w:val="Compact"/>
              <w:jc w:val="left"/>
            </w:pPr>
            <w:r>
              <w:t xml:space="preserve">Slightly reduced compared to younger adults</w:t>
            </w:r>
          </w:p>
        </w:tc>
      </w:tr>
      <w:tr>
        <w:tc>
          <w:p>
            <w:pPr>
              <w:pStyle w:val="Compact"/>
              <w:jc w:val="left"/>
            </w:pPr>
            <w:r>
              <w:t xml:space="preserve">T-cell response</w:t>
            </w:r>
          </w:p>
        </w:tc>
        <w:tc>
          <w:p>
            <w:pPr>
              <w:pStyle w:val="Compact"/>
              <w:jc w:val="left"/>
            </w:pPr>
            <w:r>
              <w:t xml:space="preserve">Generally preserved but may decline with advanced age</w:t>
            </w:r>
          </w:p>
        </w:tc>
      </w:tr>
      <w:tr>
        <w:tc>
          <w:p>
            <w:pPr>
              <w:pStyle w:val="Compact"/>
              <w:jc w:val="left"/>
            </w:pPr>
            <w:r>
              <w:t xml:space="preserve">Duration of protection</w:t>
            </w:r>
          </w:p>
        </w:tc>
        <w:tc>
          <w:p>
            <w:pPr>
              <w:pStyle w:val="Compact"/>
              <w:jc w:val="left"/>
            </w:pPr>
            <w:r>
              <w:t xml:space="preserve">May wane faster; boosters particularly important</w:t>
            </w:r>
          </w:p>
        </w:tc>
      </w:tr>
    </w:tbl>
    <w:p>
      <w:pPr>
        <w:pStyle w:val="Heading3"/>
      </w:pPr>
      <w:bookmarkStart w:id="51" w:name="safety-profile-in-older-adults"/>
      <w:r>
        <w:t xml:space="preserve">Safety Profile in Older Adults</w:t>
      </w:r>
      <w:bookmarkEnd w:id="51"/>
    </w:p>
    <w:p>
      <w:pPr>
        <w:pStyle w:val="FirstParagraph"/>
      </w:pPr>
      <w:r>
        <w:t xml:space="preserve">Clinical trials and real-world data demonstrate a favorable safety profile in adults 60 and above:</w:t>
      </w:r>
    </w:p>
    <w:tbl>
      <w:tblPr>
        <w:tblStyle w:val="Table"/>
        <w:tblW w:type="pct" w:w="5000.0"/>
        <w:tblLook w:firstRow="1"/>
      </w:tblPr>
      <w:tblGrid>
        <w:gridCol w:w="3600"/>
        <w:gridCol w:w="2640"/>
        <w:gridCol w:w="1680"/>
      </w:tblGrid>
      <w:tr>
        <w:trPr>
          <w:cnfStyle w:firstRow="1"/>
        </w:trPr>
        <w:tc>
          <w:tcPr>
            <w:tcBorders>
              <w:bottom w:val="single"/>
            </w:tcBorders>
            <w:vAlign w:val="bottom"/>
          </w:tcPr>
          <w:p>
            <w:pPr>
              <w:pStyle w:val="Compact"/>
              <w:jc w:val="left"/>
            </w:pPr>
            <w:r>
              <w:t xml:space="preserve">Adverse Event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Notes</w:t>
            </w:r>
          </w:p>
        </w:tc>
      </w:tr>
      <w:tr>
        <w:tc>
          <w:p>
            <w:pPr>
              <w:pStyle w:val="Compact"/>
              <w:jc w:val="left"/>
            </w:pPr>
            <w:r>
              <w:t xml:space="preserve">Local reactions (pain, swelling)</w:t>
            </w:r>
          </w:p>
        </w:tc>
        <w:tc>
          <w:p>
            <w:pPr>
              <w:pStyle w:val="Compact"/>
              <w:jc w:val="left"/>
            </w:pPr>
            <w:r>
              <w:t xml:space="preserve">Common but milder than younger adults</w:t>
            </w:r>
          </w:p>
        </w:tc>
        <w:tc>
          <w:p>
            <w:pPr>
              <w:pStyle w:val="Compact"/>
              <w:jc w:val="left"/>
            </w:pPr>
            <w:r>
              <w:t xml:space="preserve">Lower reactogenicity observed</w:t>
            </w:r>
          </w:p>
        </w:tc>
      </w:tr>
      <w:tr>
        <w:tc>
          <w:p>
            <w:pPr>
              <w:pStyle w:val="Compact"/>
              <w:jc w:val="left"/>
            </w:pPr>
            <w:r>
              <w:t xml:space="preserve">Systemic reactions (fever, fatigue)</w:t>
            </w:r>
          </w:p>
        </w:tc>
        <w:tc>
          <w:p>
            <w:pPr>
              <w:pStyle w:val="Compact"/>
              <w:jc w:val="left"/>
            </w:pPr>
            <w:r>
              <w:t xml:space="preserve">Less frequent than younger adults</w:t>
            </w:r>
          </w:p>
        </w:tc>
        <w:tc>
          <w:p>
            <w:pPr>
              <w:pStyle w:val="Compact"/>
              <w:jc w:val="left"/>
            </w:pPr>
            <w:r>
              <w:t xml:space="preserve">Immune senescence may reduce inflammatory response</w:t>
            </w:r>
          </w:p>
        </w:tc>
      </w:tr>
      <w:tr>
        <w:tc>
          <w:p>
            <w:pPr>
              <w:pStyle w:val="Compact"/>
              <w:jc w:val="left"/>
            </w:pPr>
            <w:r>
              <w:t xml:space="preserve">Myocarditis risk</w:t>
            </w:r>
          </w:p>
        </w:tc>
        <w:tc>
          <w:p>
            <w:pPr>
              <w:pStyle w:val="Compact"/>
              <w:jc w:val="left"/>
            </w:pPr>
            <w:r>
              <w:t xml:space="preserve">Extremely rare</w:t>
            </w:r>
          </w:p>
        </w:tc>
        <w:tc>
          <w:p>
            <w:pPr>
              <w:pStyle w:val="Compact"/>
              <w:jc w:val="left"/>
            </w:pPr>
            <w:r>
              <w:t xml:space="preserve">Much lower than in younger males</w:t>
            </w:r>
          </w:p>
        </w:tc>
      </w:tr>
      <w:tr>
        <w:tc>
          <w:p>
            <w:pPr>
              <w:pStyle w:val="Compact"/>
              <w:jc w:val="left"/>
            </w:pPr>
            <w:r>
              <w:t xml:space="preserve">Serious adverse events</w:t>
            </w:r>
          </w:p>
        </w:tc>
        <w:tc>
          <w:p>
            <w:pPr>
              <w:pStyle w:val="Compact"/>
              <w:jc w:val="left"/>
            </w:pPr>
            <w:r>
              <w:t xml:space="preserve">Rare (&lt;0.01%)</w:t>
            </w:r>
          </w:p>
        </w:tc>
        <w:tc>
          <w:p>
            <w:pPr>
              <w:pStyle w:val="Compact"/>
              <w:jc w:val="left"/>
            </w:pPr>
            <w:r>
              <w:t xml:space="preserve">No increased risk compared to younger populations</w:t>
            </w:r>
          </w:p>
        </w:tc>
      </w:tr>
    </w:tbl>
    <w:p>
      <w:pPr>
        <w:pStyle w:val="Heading3"/>
      </w:pPr>
      <w:bookmarkStart w:id="52" w:name="special-considerations-for-seniors"/>
      <w:r>
        <w:t xml:space="preserve">Special Considerations for Seniors</w:t>
      </w:r>
      <w:bookmarkEnd w:id="52"/>
    </w:p>
    <w:p>
      <w:pPr>
        <w:numPr>
          <w:ilvl w:val="0"/>
          <w:numId w:val="1008"/>
        </w:numPr>
        <w:pStyle w:val="Compact"/>
      </w:pPr>
      <w:r>
        <w:rPr>
          <w:b/>
        </w:rPr>
        <w:t xml:space="preserve">Frailty assessment</w:t>
      </w:r>
      <w:r>
        <w:t xml:space="preserve">: Individualized approach recommended for very frail individuals</w:t>
      </w:r>
    </w:p>
    <w:p>
      <w:pPr>
        <w:numPr>
          <w:ilvl w:val="0"/>
          <w:numId w:val="1008"/>
        </w:numPr>
        <w:pStyle w:val="Compact"/>
      </w:pPr>
      <w:r>
        <w:rPr>
          <w:b/>
        </w:rPr>
        <w:t xml:space="preserve">Polypharmacy</w:t>
      </w:r>
      <w:r>
        <w:t xml:space="preserve">: No significant drug interactions with COVID-19 vaccines identified</w:t>
      </w:r>
    </w:p>
    <w:p>
      <w:pPr>
        <w:numPr>
          <w:ilvl w:val="0"/>
          <w:numId w:val="1008"/>
        </w:numPr>
        <w:pStyle w:val="Compact"/>
      </w:pPr>
      <w:r>
        <w:rPr>
          <w:b/>
        </w:rPr>
        <w:t xml:space="preserve">Cognitive impairment</w:t>
      </w:r>
      <w:r>
        <w:t xml:space="preserve">: Vaccination recommended; caregivers should monitor for adverse events</w:t>
      </w:r>
    </w:p>
    <w:p>
      <w:pPr>
        <w:numPr>
          <w:ilvl w:val="0"/>
          <w:numId w:val="1008"/>
        </w:numPr>
        <w:pStyle w:val="Compact"/>
      </w:pPr>
      <w:r>
        <w:rPr>
          <w:b/>
        </w:rPr>
        <w:t xml:space="preserve">Nursing home residents</w:t>
      </w:r>
      <w:r>
        <w:t xml:space="preserve">: Priority population; high benefit-to-risk ratio demonstrated</w:t>
      </w:r>
    </w:p>
    <w:p>
      <w:pPr>
        <w:numPr>
          <w:ilvl w:val="0"/>
          <w:numId w:val="1008"/>
        </w:numPr>
        <w:pStyle w:val="Compact"/>
      </w:pPr>
      <w:r>
        <w:rPr>
          <w:b/>
        </w:rPr>
        <w:t xml:space="preserve">Booster timing</w:t>
      </w:r>
      <w:r>
        <w:t xml:space="preserve">: Earlier boosters may be beneficial due to faster waning immunity</w:t>
      </w:r>
    </w:p>
    <w:p>
      <w:pPr>
        <w:pStyle w:val="Heading3"/>
      </w:pPr>
      <w:bookmarkStart w:id="53" w:name="benefits-vs.-risks-in-older-adults"/>
      <w:r>
        <w:t xml:space="preserve">Benefits vs. Risks in Older Adults</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Unvaccinated Risk</w:t>
            </w:r>
          </w:p>
        </w:tc>
        <w:tc>
          <w:tcPr>
            <w:tcBorders>
              <w:bottom w:val="single"/>
            </w:tcBorders>
            <w:vAlign w:val="bottom"/>
          </w:tcPr>
          <w:p>
            <w:pPr>
              <w:pStyle w:val="Compact"/>
              <w:jc w:val="left"/>
            </w:pPr>
            <w:r>
              <w:t xml:space="preserve">Vaccinated Risk</w:t>
            </w:r>
          </w:p>
        </w:tc>
        <w:tc>
          <w:tcPr>
            <w:tcBorders>
              <w:bottom w:val="single"/>
            </w:tcBorders>
            <w:vAlign w:val="bottom"/>
          </w:tcPr>
          <w:p>
            <w:pPr>
              <w:pStyle w:val="Compact"/>
              <w:jc w:val="left"/>
            </w:pPr>
            <w:r>
              <w:t xml:space="preserve">Risk Reduction</w:t>
            </w:r>
          </w:p>
        </w:tc>
      </w:tr>
      <w:tr>
        <w:tc>
          <w:p>
            <w:pPr>
              <w:pStyle w:val="Compact"/>
              <w:jc w:val="left"/>
            </w:pPr>
            <w:r>
              <w:t xml:space="preserve">Hospitalization</w:t>
            </w:r>
          </w:p>
        </w:tc>
        <w:tc>
          <w:p>
            <w:pPr>
              <w:pStyle w:val="Compact"/>
              <w:jc w:val="left"/>
            </w:pPr>
            <w:r>
              <w:t xml:space="preserve">Very high</w:t>
            </w:r>
          </w:p>
        </w:tc>
        <w:tc>
          <w:p>
            <w:pPr>
              <w:pStyle w:val="Compact"/>
              <w:jc w:val="left"/>
            </w:pPr>
            <w:r>
              <w:t xml:space="preserve">Low</w:t>
            </w:r>
          </w:p>
        </w:tc>
        <w:tc>
          <w:p>
            <w:pPr>
              <w:pStyle w:val="Compact"/>
              <w:jc w:val="left"/>
            </w:pPr>
            <w:r>
              <w:t xml:space="preserve">&gt;90%</w:t>
            </w:r>
          </w:p>
        </w:tc>
      </w:tr>
      <w:tr>
        <w:tc>
          <w:p>
            <w:pPr>
              <w:pStyle w:val="Compact"/>
              <w:jc w:val="left"/>
            </w:pPr>
            <w:r>
              <w:t xml:space="preserve">ICU admission</w:t>
            </w:r>
          </w:p>
        </w:tc>
        <w:tc>
          <w:p>
            <w:pPr>
              <w:pStyle w:val="Compact"/>
              <w:jc w:val="left"/>
            </w:pPr>
            <w:r>
              <w:t xml:space="preserve">High</w:t>
            </w:r>
          </w:p>
        </w:tc>
        <w:tc>
          <w:p>
            <w:pPr>
              <w:pStyle w:val="Compact"/>
              <w:jc w:val="left"/>
            </w:pPr>
            <w:r>
              <w:t xml:space="preserve">Very low</w:t>
            </w:r>
          </w:p>
        </w:tc>
        <w:tc>
          <w:p>
            <w:pPr>
              <w:pStyle w:val="Compact"/>
              <w:jc w:val="left"/>
            </w:pPr>
            <w:r>
              <w:t xml:space="preserve">&gt;95%</w:t>
            </w:r>
          </w:p>
        </w:tc>
      </w:tr>
      <w:tr>
        <w:tc>
          <w:p>
            <w:pPr>
              <w:pStyle w:val="Compact"/>
              <w:jc w:val="left"/>
            </w:pPr>
            <w:r>
              <w:t xml:space="preserve">Death from COVID-19</w:t>
            </w:r>
          </w:p>
        </w:tc>
        <w:tc>
          <w:p>
            <w:pPr>
              <w:pStyle w:val="Compact"/>
              <w:jc w:val="left"/>
            </w:pPr>
            <w:r>
              <w:t xml:space="preserve">High</w:t>
            </w:r>
          </w:p>
        </w:tc>
        <w:tc>
          <w:p>
            <w:pPr>
              <w:pStyle w:val="Compact"/>
              <w:jc w:val="left"/>
            </w:pPr>
            <w:r>
              <w:t xml:space="preserve">Very low</w:t>
            </w:r>
          </w:p>
        </w:tc>
        <w:tc>
          <w:p>
            <w:pPr>
              <w:pStyle w:val="Compact"/>
              <w:jc w:val="left"/>
            </w:pPr>
            <w:r>
              <w:t xml:space="preserve">&gt;90%</w:t>
            </w:r>
          </w:p>
        </w:tc>
      </w:tr>
      <w:tr>
        <w:tc>
          <w:p>
            <w:pPr>
              <w:pStyle w:val="Compact"/>
              <w:jc w:val="left"/>
            </w:pPr>
            <w:r>
              <w:t xml:space="preserve">Long COVID</w:t>
            </w:r>
          </w:p>
        </w:tc>
        <w:tc>
          <w:p>
            <w:pPr>
              <w:pStyle w:val="Compact"/>
              <w:jc w:val="left"/>
            </w:pPr>
            <w:r>
              <w:t xml:space="preserve">Moderate</w:t>
            </w:r>
          </w:p>
        </w:tc>
        <w:tc>
          <w:p>
            <w:pPr>
              <w:pStyle w:val="Compact"/>
              <w:jc w:val="left"/>
            </w:pPr>
            <w:r>
              <w:t xml:space="preserve">Low</w:t>
            </w:r>
          </w:p>
        </w:tc>
        <w:tc>
          <w:p>
            <w:pPr>
              <w:pStyle w:val="Compact"/>
              <w:jc w:val="left"/>
            </w:pPr>
            <w:r>
              <w:t xml:space="preserve">50-70%</w:t>
            </w:r>
          </w:p>
        </w:tc>
      </w:tr>
    </w:tbl>
    <w:p>
      <w:pPr>
        <w:pStyle w:val="BodyText"/>
      </w:pPr>
      <w:r>
        <w:t xml:space="preserve">The overwhelming evidence supports vaccination in adults 60 years and above, with benefits far outweighing any potential risks. This population should be prioritized for primary vaccination and boosters.</w:t>
      </w:r>
    </w:p>
    <w:p>
      <w:pPr>
        <w:pStyle w:val="Heading1"/>
      </w:pPr>
      <w:bookmarkStart w:id="54" w:name="reproductive-health-effects"/>
      <w:r>
        <w:t xml:space="preserve">Reproductive Health Effects</w:t>
      </w:r>
      <w:bookmarkEnd w:id="54"/>
    </w:p>
    <w:p>
      <w:pPr>
        <w:pStyle w:val="Heading2"/>
      </w:pPr>
      <w:bookmarkStart w:id="55" w:name="menstrual-disturbances"/>
      <w:r>
        <w:t xml:space="preserve">Menstrual Disturbances</w:t>
      </w:r>
      <w:bookmarkEnd w:id="55"/>
    </w:p>
    <w:p>
      <w:pPr>
        <w:pStyle w:val="FirstParagraph"/>
      </w:pPr>
      <w:r>
        <w:t xml:space="preserve">Meta-analyses confirm a link between COVID-19 vaccination and temporary menstrual changes: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Effect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Duration</w:t>
            </w:r>
          </w:p>
        </w:tc>
      </w:tr>
      <w:tr>
        <w:tc>
          <w:p>
            <w:pPr>
              <w:pStyle w:val="Compact"/>
              <w:jc w:val="left"/>
            </w:pPr>
            <w:r>
              <w:t xml:space="preserve">Cycle length change</w:t>
            </w:r>
          </w:p>
        </w:tc>
        <w:tc>
          <w:p>
            <w:pPr>
              <w:pStyle w:val="Compact"/>
              <w:jc w:val="left"/>
            </w:pPr>
            <w:r>
              <w:t xml:space="preserve">Common</w:t>
            </w:r>
          </w:p>
        </w:tc>
        <w:tc>
          <w:p>
            <w:pPr>
              <w:pStyle w:val="Compact"/>
              <w:jc w:val="left"/>
            </w:pPr>
            <w:r>
              <w:t xml:space="preserve">&lt;1 day average change</w:t>
            </w:r>
          </w:p>
        </w:tc>
      </w:tr>
      <w:tr>
        <w:tc>
          <w:p>
            <w:pPr>
              <w:pStyle w:val="Compact"/>
              <w:jc w:val="left"/>
            </w:pPr>
            <w:r>
              <w:t xml:space="preserve">Heavier bleeding</w:t>
            </w:r>
          </w:p>
        </w:tc>
        <w:tc>
          <w:p>
            <w:pPr>
              <w:pStyle w:val="Compact"/>
              <w:jc w:val="left"/>
            </w:pPr>
            <w:r>
              <w:t xml:space="preserve">Common</w:t>
            </w:r>
          </w:p>
        </w:tc>
        <w:tc>
          <w:p>
            <w:pPr>
              <w:pStyle w:val="Compact"/>
              <w:jc w:val="left"/>
            </w:pPr>
            <w:r>
              <w:t xml:space="preserve">Transient</w:t>
            </w:r>
          </w:p>
        </w:tc>
      </w:tr>
      <w:tr>
        <w:tc>
          <w:p>
            <w:pPr>
              <w:pStyle w:val="Compact"/>
              <w:jc w:val="left"/>
            </w:pPr>
            <w:r>
              <w:t xml:space="preserve">Intermenstrual bleeding</w:t>
            </w:r>
          </w:p>
        </w:tc>
        <w:tc>
          <w:p>
            <w:pPr>
              <w:pStyle w:val="Compact"/>
              <w:jc w:val="left"/>
            </w:pPr>
            <w:r>
              <w:t xml:space="preserve">Less common</w:t>
            </w:r>
          </w:p>
        </w:tc>
        <w:tc>
          <w:p>
            <w:pPr>
              <w:pStyle w:val="Compact"/>
              <w:jc w:val="left"/>
            </w:pPr>
            <w:r>
              <w:t xml:space="preserve">Transient</w:t>
            </w:r>
          </w:p>
        </w:tc>
      </w:tr>
    </w:tbl>
    <w:p>
      <w:pPr>
        <w:pStyle w:val="BodyText"/>
      </w:pPr>
      <w:r>
        <w:t xml:space="preserve">Changes typically resolve within 1-3 cycles post-vaccination. The mechanism involves transient disruption of the hypothalamic-pituitary-ovarian (HPO) axis or local endometrial inflammation.</w:t>
      </w:r>
    </w:p>
    <w:p>
      <w:pPr>
        <w:pStyle w:val="Heading2"/>
      </w:pPr>
      <w:bookmarkStart w:id="56" w:name="fertility"/>
      <w:r>
        <w:t xml:space="preserve">Fertility</w:t>
      </w:r>
      <w:bookmarkEnd w:id="56"/>
    </w:p>
    <w:tbl>
      <w:tblPr>
        <w:tblStyle w:val="Table"/>
        <w:tblW w:type="pct" w:w="5000.0"/>
        <w:tblLook w:firstRow="1"/>
      </w:tblPr>
      <w:tblGrid>
        <w:gridCol w:w="4356"/>
        <w:gridCol w:w="3564"/>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Finding</w:t>
            </w:r>
          </w:p>
        </w:tc>
      </w:tr>
      <w:tr>
        <w:tc>
          <w:p>
            <w:pPr>
              <w:pStyle w:val="Compact"/>
              <w:jc w:val="left"/>
            </w:pPr>
            <w:r>
              <w:t xml:space="preserve">Female fertility</w:t>
            </w:r>
          </w:p>
        </w:tc>
        <w:tc>
          <w:p>
            <w:pPr>
              <w:pStyle w:val="Compact"/>
              <w:jc w:val="left"/>
            </w:pPr>
            <w:r>
              <w:t xml:space="preserve">No evidence of long-term impairment</w:t>
            </w:r>
          </w:p>
        </w:tc>
      </w:tr>
      <w:tr>
        <w:tc>
          <w:p>
            <w:pPr>
              <w:pStyle w:val="Compact"/>
              <w:jc w:val="left"/>
            </w:pPr>
            <w:r>
              <w:t xml:space="preserve">Ovarian reserve markers</w:t>
            </w:r>
          </w:p>
        </w:tc>
        <w:tc>
          <w:p>
            <w:pPr>
              <w:pStyle w:val="Compact"/>
              <w:jc w:val="left"/>
            </w:pPr>
            <w:r>
              <w:t xml:space="preserve">No significant difference vaccinated vs unvaccinated</w:t>
            </w:r>
          </w:p>
        </w:tc>
      </w:tr>
      <w:tr>
        <w:tc>
          <w:p>
            <w:pPr>
              <w:pStyle w:val="Compact"/>
              <w:jc w:val="left"/>
            </w:pPr>
            <w:r>
              <w:t xml:space="preserve">IVF outcomes</w:t>
            </w:r>
          </w:p>
        </w:tc>
        <w:tc>
          <w:p>
            <w:pPr>
              <w:pStyle w:val="Compact"/>
              <w:jc w:val="left"/>
            </w:pPr>
            <w:r>
              <w:t xml:space="preserve">No impact</w:t>
            </w:r>
          </w:p>
        </w:tc>
      </w:tr>
      <w:tr>
        <w:tc>
          <w:p>
            <w:pPr>
              <w:pStyle w:val="Compact"/>
              <w:jc w:val="left"/>
            </w:pPr>
            <w:r>
              <w:t xml:space="preserve">Male sperm parameters</w:t>
            </w:r>
          </w:p>
        </w:tc>
        <w:tc>
          <w:p>
            <w:pPr>
              <w:pStyle w:val="Compact"/>
              <w:jc w:val="left"/>
            </w:pPr>
            <w:r>
              <w:t xml:space="preserve">Concentration, motility, volume unaffected</w:t>
            </w:r>
          </w:p>
        </w:tc>
      </w:tr>
      <w:tr>
        <w:tc>
          <w:p>
            <w:pPr>
              <w:pStyle w:val="Compact"/>
              <w:jc w:val="left"/>
            </w:pPr>
            <w:r>
              <w:t xml:space="preserve">Contrast: COVID-19 infection</w:t>
            </w:r>
          </w:p>
        </w:tc>
        <w:tc>
          <w:p>
            <w:pPr>
              <w:pStyle w:val="Compact"/>
              <w:jc w:val="left"/>
            </w:pPr>
            <w:r>
              <w:t xml:space="preserve">Known to negatively impact male fertility</w:t>
            </w:r>
          </w:p>
        </w:tc>
      </w:tr>
    </w:tbl>
    <w:p>
      <w:pPr>
        <w:pStyle w:val="Heading1"/>
      </w:pPr>
      <w:bookmarkStart w:id="57" w:name="post-vaccination-syndrome-pvs"/>
      <w:r>
        <w:t xml:space="preserve">Post-Vaccination Syndrome (PVS)</w:t>
      </w:r>
      <w:bookmarkEnd w:id="57"/>
    </w:p>
    <w:p>
      <w:pPr>
        <w:pStyle w:val="Heading2"/>
      </w:pPr>
      <w:bookmarkStart w:id="58" w:name="overview"/>
      <w:r>
        <w:t xml:space="preserve">Overview</w:t>
      </w:r>
      <w:bookmarkEnd w:id="58"/>
    </w:p>
    <w:p>
      <w:pPr>
        <w:pStyle w:val="FirstParagraph"/>
      </w:pPr>
      <w:r>
        <w:t xml:space="preserve">A distinct clinical entity, often referred to as</w:t>
      </w:r>
      <w:r>
        <w:t xml:space="preserve"> </w:t>
      </w:r>
      <w:r>
        <w:t xml:space="preserve">“</w:t>
      </w:r>
      <w:r>
        <w:t xml:space="preserve">Post-Vaccination Syndrome</w:t>
      </w:r>
      <w:r>
        <w:t xml:space="preserve">”</w:t>
      </w:r>
      <w:r>
        <w:t xml:space="preserve"> </w:t>
      </w:r>
      <w:r>
        <w:t xml:space="preserve">(PVS) or</w:t>
      </w:r>
      <w:r>
        <w:t xml:space="preserve"> </w:t>
      </w:r>
      <w:r>
        <w:t xml:space="preserve">“</w:t>
      </w:r>
      <w:r>
        <w:t xml:space="preserve">Long Vax,</w:t>
      </w:r>
      <w:r>
        <w:t xml:space="preserve">”</w:t>
      </w:r>
      <w:r>
        <w:t xml:space="preserve"> </w:t>
      </w:r>
      <w:r>
        <w:t xml:space="preserve">has emerged. This condition shares phenotypic similarities with Long COVID (PASC) but occurs in the absence of SARS-CoV-2 infection.</w:t>
      </w:r>
    </w:p>
    <w:p>
      <w:pPr>
        <w:pStyle w:val="Heading2"/>
      </w:pPr>
      <w:bookmarkStart w:id="59" w:name="yale-listen-study-findings"/>
      <w:r>
        <w:t xml:space="preserve">Yale LISTEN Study Findings</w:t>
      </w:r>
      <w:bookmarkEnd w:id="59"/>
    </w:p>
    <w:p>
      <w:pPr>
        <w:pStyle w:val="FirstParagraph"/>
      </w:pPr>
      <w:r>
        <w:t xml:space="preserve">The Yale</w:t>
      </w:r>
      <w:r>
        <w:t xml:space="preserve"> </w:t>
      </w:r>
      <w:r>
        <w:t xml:space="preserve">“</w:t>
      </w:r>
      <w:r>
        <w:t xml:space="preserve">Listen to Immune, Symptom and Treatment Experiences Now</w:t>
      </w:r>
      <w:r>
        <w:t xml:space="preserve">”</w:t>
      </w:r>
      <w:r>
        <w:t xml:space="preserve"> </w:t>
      </w:r>
      <w:r>
        <w:t xml:space="preserve">(LISTEN) study has provided comprehensive biological characterization of PVS.</w:t>
      </w:r>
    </w:p>
    <w:p>
      <w:pPr>
        <w:pStyle w:val="Heading3"/>
      </w:pPr>
      <w:bookmarkStart w:id="60" w:name="most-common-symptoms"/>
      <w:r>
        <w:t xml:space="preserve">Most Common Symptoms</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Prevalence</w:t>
            </w:r>
          </w:p>
        </w:tc>
      </w:tr>
      <w:tr>
        <w:tc>
          <w:p>
            <w:pPr>
              <w:pStyle w:val="Compact"/>
              <w:jc w:val="left"/>
            </w:pPr>
            <w:r>
              <w:t xml:space="preserve">Exercise intolerance</w:t>
            </w:r>
          </w:p>
        </w:tc>
        <w:tc>
          <w:p>
            <w:pPr>
              <w:pStyle w:val="Compact"/>
              <w:jc w:val="left"/>
            </w:pPr>
            <w:r>
              <w:t xml:space="preserve">71%</w:t>
            </w:r>
          </w:p>
        </w:tc>
      </w:tr>
      <w:tr>
        <w:tc>
          <w:p>
            <w:pPr>
              <w:pStyle w:val="Compact"/>
              <w:jc w:val="left"/>
            </w:pPr>
            <w:r>
              <w:t xml:space="preserve">Excessive fatigue</w:t>
            </w:r>
          </w:p>
        </w:tc>
        <w:tc>
          <w:p>
            <w:pPr>
              <w:pStyle w:val="Compact"/>
              <w:jc w:val="left"/>
            </w:pPr>
            <w:r>
              <w:t xml:space="preserve">69%</w:t>
            </w:r>
          </w:p>
        </w:tc>
      </w:tr>
      <w:tr>
        <w:tc>
          <w:p>
            <w:pPr>
              <w:pStyle w:val="Compact"/>
              <w:jc w:val="left"/>
            </w:pPr>
            <w:r>
              <w:t xml:space="preserve">Numbness/neuropathy</w:t>
            </w:r>
          </w:p>
        </w:tc>
        <w:tc>
          <w:p>
            <w:pPr>
              <w:pStyle w:val="Compact"/>
              <w:jc w:val="left"/>
            </w:pPr>
            <w:r>
              <w:t xml:space="preserve">63%</w:t>
            </w:r>
          </w:p>
        </w:tc>
      </w:tr>
      <w:tr>
        <w:tc>
          <w:p>
            <w:pPr>
              <w:pStyle w:val="Compact"/>
              <w:jc w:val="left"/>
            </w:pPr>
            <w:r>
              <w:t xml:space="preserve">Brain fog</w:t>
            </w:r>
          </w:p>
        </w:tc>
        <w:tc>
          <w:p>
            <w:pPr>
              <w:pStyle w:val="Compact"/>
              <w:jc w:val="left"/>
            </w:pPr>
            <w:r>
              <w:t xml:space="preserve">63%</w:t>
            </w:r>
          </w:p>
        </w:tc>
      </w:tr>
    </w:tbl>
    <w:p>
      <w:pPr>
        <w:pStyle w:val="Heading3"/>
      </w:pPr>
      <w:bookmarkStart w:id="61" w:name="immune-signature-findings"/>
      <w:r>
        <w:t xml:space="preserve">Immune Signature Findings</w:t>
      </w:r>
      <w:bookmarkEnd w:id="61"/>
    </w:p>
    <w:p>
      <w:pPr>
        <w:pStyle w:val="FirstParagraph"/>
      </w:pPr>
      <w:r>
        <w:t xml:space="preserve">PVS patients exhibit a distinct immunophenotype: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Detail</w:t>
            </w:r>
          </w:p>
        </w:tc>
      </w:tr>
      <w:tr>
        <w:tc>
          <w:p>
            <w:pPr>
              <w:pStyle w:val="Compact"/>
              <w:jc w:val="left"/>
            </w:pPr>
            <w:r>
              <w:t xml:space="preserve">CD4+ T cells</w:t>
            </w:r>
          </w:p>
        </w:tc>
        <w:tc>
          <w:p>
            <w:pPr>
              <w:pStyle w:val="Compact"/>
              <w:jc w:val="left"/>
            </w:pPr>
            <w:r>
              <w:t xml:space="preserve">Reduced levels of circulating memory and effector cells</w:t>
            </w:r>
          </w:p>
        </w:tc>
      </w:tr>
      <w:tr>
        <w:tc>
          <w:p>
            <w:pPr>
              <w:pStyle w:val="Compact"/>
              <w:jc w:val="left"/>
            </w:pPr>
            <w:r>
              <w:t xml:space="preserve">CD8+ T cells</w:t>
            </w:r>
          </w:p>
        </w:tc>
        <w:tc>
          <w:p>
            <w:pPr>
              <w:pStyle w:val="Compact"/>
              <w:jc w:val="left"/>
            </w:pPr>
            <w:r>
              <w:t xml:space="preserve">Increased levels producing TNF-alpha (pro-inflammatory)</w:t>
            </w:r>
          </w:p>
        </w:tc>
      </w:tr>
      <w:tr>
        <w:tc>
          <w:p>
            <w:pPr>
              <w:pStyle w:val="Compact"/>
              <w:jc w:val="left"/>
            </w:pPr>
            <w:r>
              <w:t xml:space="preserve">Anti-spike antibodies</w:t>
            </w:r>
          </w:p>
        </w:tc>
        <w:tc>
          <w:p>
            <w:pPr>
              <w:pStyle w:val="Compact"/>
              <w:jc w:val="left"/>
            </w:pPr>
            <w:r>
              <w:t xml:space="preserve">Lower titers (likely due to vaccination cessation)</w:t>
            </w:r>
          </w:p>
        </w:tc>
      </w:tr>
      <w:tr>
        <w:tc>
          <w:p>
            <w:pPr>
              <w:pStyle w:val="Compact"/>
              <w:jc w:val="left"/>
            </w:pPr>
            <w:r>
              <w:t xml:space="preserve">Viral reactivation</w:t>
            </w:r>
          </w:p>
        </w:tc>
        <w:tc>
          <w:p>
            <w:pPr>
              <w:pStyle w:val="Compact"/>
              <w:jc w:val="left"/>
            </w:pPr>
            <w:r>
              <w:t xml:space="preserve">Higher frequency of EBV and VZV reactivation</w:t>
            </w:r>
          </w:p>
        </w:tc>
      </w:tr>
      <w:tr>
        <w:tc>
          <w:p>
            <w:pPr>
              <w:pStyle w:val="Compact"/>
              <w:jc w:val="left"/>
            </w:pPr>
            <w:r>
              <w:t xml:space="preserve">Spike protein</w:t>
            </w:r>
          </w:p>
        </w:tc>
        <w:tc>
          <w:p>
            <w:pPr>
              <w:pStyle w:val="Compact"/>
              <w:jc w:val="left"/>
            </w:pPr>
            <w:r>
              <w:t xml:space="preserve">Persistent circulating spike protein in subset of patients</w:t>
            </w:r>
          </w:p>
        </w:tc>
      </w:tr>
    </w:tbl>
    <w:p>
      <w:pPr>
        <w:pStyle w:val="Heading3"/>
      </w:pPr>
      <w:bookmarkStart w:id="62" w:name="biological-plausibility"/>
      <w:r>
        <w:t xml:space="preserve">Biological Plausibility</w:t>
      </w:r>
      <w:bookmarkEnd w:id="62"/>
    </w:p>
    <w:p>
      <w:pPr>
        <w:pStyle w:val="FirstParagraph"/>
      </w:pPr>
      <w:r>
        <w:t xml:space="preserve">The persistence of spike protein and specific T-cell dysregulation suggest chronic antigen stimulation drives inflammation and tissue damage. The overlap with small fiber neuropathy and dysautonomia indicates the immune response may target the autonomic nervous system.</w:t>
      </w:r>
    </w:p>
    <w:p>
      <w:pPr>
        <w:pStyle w:val="Heading2"/>
      </w:pPr>
      <w:bookmarkStart w:id="63" w:name="small-fiber-neuropathy-sfn"/>
      <w:r>
        <w:t xml:space="preserve">Small Fiber Neuropathy (SFN)</w:t>
      </w:r>
      <w:bookmarkEnd w:id="63"/>
    </w:p>
    <w:p>
      <w:pPr>
        <w:pStyle w:val="FirstParagraph"/>
      </w:pPr>
      <w:r>
        <w:t xml:space="preserve">A growing body of evidence links COVID-19 vaccination to new-onset small fiber neuropathy:</w:t>
      </w:r>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Finding</w:t>
            </w:r>
          </w:p>
        </w:tc>
      </w:tr>
      <w:tr>
        <w:tc>
          <w:p>
            <w:pPr>
              <w:pStyle w:val="Compact"/>
              <w:jc w:val="left"/>
            </w:pPr>
            <w:r>
              <w:t xml:space="preserve">Symptoms</w:t>
            </w:r>
          </w:p>
        </w:tc>
        <w:tc>
          <w:p>
            <w:pPr>
              <w:pStyle w:val="Compact"/>
              <w:jc w:val="left"/>
            </w:pPr>
            <w:r>
              <w:t xml:space="preserve">Burning pain, paresthesias, dysautonomia (POTS, orthostatic intolerance)</w:t>
            </w:r>
          </w:p>
        </w:tc>
      </w:tr>
      <w:tr>
        <w:tc>
          <w:p>
            <w:pPr>
              <w:pStyle w:val="Compact"/>
              <w:jc w:val="left"/>
            </w:pPr>
            <w:r>
              <w:t xml:space="preserve">Diagnosis</w:t>
            </w:r>
          </w:p>
        </w:tc>
        <w:tc>
          <w:p>
            <w:pPr>
              <w:pStyle w:val="Compact"/>
              <w:jc w:val="left"/>
            </w:pPr>
            <w:r>
              <w:t xml:space="preserve">Reduced intraepidermal nerve fiber density on skin biopsy</w:t>
            </w:r>
          </w:p>
        </w:tc>
      </w:tr>
      <w:tr>
        <w:tc>
          <w:p>
            <w:pPr>
              <w:pStyle w:val="Compact"/>
              <w:jc w:val="left"/>
            </w:pPr>
            <w:r>
              <w:t xml:space="preserve">Autoantibodies</w:t>
            </w:r>
          </w:p>
        </w:tc>
        <w:tc>
          <w:p>
            <w:pPr>
              <w:pStyle w:val="Compact"/>
              <w:jc w:val="left"/>
            </w:pPr>
            <w:r>
              <w:t xml:space="preserve">Anti-FGFR3, anti-TS-HDS positive in some patients</w:t>
            </w:r>
          </w:p>
        </w:tc>
      </w:tr>
      <w:tr>
        <w:tc>
          <w:p>
            <w:pPr>
              <w:pStyle w:val="Compact"/>
              <w:jc w:val="left"/>
            </w:pPr>
            <w:r>
              <w:t xml:space="preserve">Treatment response</w:t>
            </w:r>
          </w:p>
        </w:tc>
        <w:tc>
          <w:p>
            <w:pPr>
              <w:pStyle w:val="Compact"/>
              <w:jc w:val="left"/>
            </w:pPr>
            <w:r>
              <w:t xml:space="preserve">Improvement with IVIG or corticosteroids</w:t>
            </w:r>
          </w:p>
        </w:tc>
      </w:tr>
    </w:tbl>
    <w:p>
      <w:pPr>
        <w:pStyle w:val="Heading1"/>
      </w:pPr>
      <w:bookmarkStart w:id="64" w:name="data-statistics-and-analysis"/>
      <w:r>
        <w:t xml:space="preserve">Data, Statistics, and Analysis</w:t>
      </w:r>
      <w:bookmarkEnd w:id="64"/>
    </w:p>
    <w:p>
      <w:pPr>
        <w:pStyle w:val="Heading2"/>
      </w:pPr>
      <w:bookmarkStart w:id="65" w:name="vaccine-safety-surveillance-systems"/>
      <w:r>
        <w:t xml:space="preserve">Vaccine Safety Surveillance Systems</w:t>
      </w:r>
      <w:bookmarkEnd w:id="65"/>
    </w:p>
    <w:p>
      <w:pPr>
        <w:pStyle w:val="Heading3"/>
      </w:pPr>
      <w:bookmarkStart w:id="66" w:name="global-monitoring-framework"/>
      <w:r>
        <w:t xml:space="preserve">Global Monitoring Framework</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Purpose</w:t>
            </w:r>
          </w:p>
        </w:tc>
      </w:tr>
      <w:tr>
        <w:tc>
          <w:p>
            <w:pPr>
              <w:pStyle w:val="Compact"/>
              <w:jc w:val="left"/>
            </w:pPr>
            <w:r>
              <w:t xml:space="preserve">VAERS</w:t>
            </w:r>
          </w:p>
        </w:tc>
        <w:tc>
          <w:p>
            <w:pPr>
              <w:pStyle w:val="Compact"/>
              <w:jc w:val="left"/>
            </w:pPr>
            <w:r>
              <w:t xml:space="preserve">USA</w:t>
            </w:r>
          </w:p>
        </w:tc>
        <w:tc>
          <w:p>
            <w:pPr>
              <w:pStyle w:val="Compact"/>
              <w:jc w:val="left"/>
            </w:pPr>
            <w:r>
              <w:t xml:space="preserve">Passive</w:t>
            </w:r>
          </w:p>
        </w:tc>
        <w:tc>
          <w:p>
            <w:pPr>
              <w:pStyle w:val="Compact"/>
              <w:jc w:val="left"/>
            </w:pPr>
            <w:r>
              <w:t xml:space="preserve">Adverse event reporting</w:t>
            </w:r>
          </w:p>
        </w:tc>
      </w:tr>
      <w:tr>
        <w:tc>
          <w:p>
            <w:pPr>
              <w:pStyle w:val="Compact"/>
              <w:jc w:val="left"/>
            </w:pPr>
            <w:r>
              <w:t xml:space="preserve">Vaccine Safety Datalink (VSD)</w:t>
            </w:r>
          </w:p>
        </w:tc>
        <w:tc>
          <w:p>
            <w:pPr>
              <w:pStyle w:val="Compact"/>
              <w:jc w:val="left"/>
            </w:pPr>
            <w:r>
              <w:t xml:space="preserve">USA</w:t>
            </w:r>
          </w:p>
        </w:tc>
        <w:tc>
          <w:p>
            <w:pPr>
              <w:pStyle w:val="Compact"/>
              <w:jc w:val="left"/>
            </w:pPr>
            <w:r>
              <w:t xml:space="preserve">Active</w:t>
            </w:r>
          </w:p>
        </w:tc>
        <w:tc>
          <w:p>
            <w:pPr>
              <w:pStyle w:val="Compact"/>
              <w:jc w:val="left"/>
            </w:pPr>
            <w:r>
              <w:t xml:space="preserve">Defined population monitoring</w:t>
            </w:r>
          </w:p>
        </w:tc>
      </w:tr>
      <w:tr>
        <w:tc>
          <w:p>
            <w:pPr>
              <w:pStyle w:val="Compact"/>
              <w:jc w:val="left"/>
            </w:pPr>
            <w:r>
              <w:t xml:space="preserve">CISA</w:t>
            </w:r>
          </w:p>
        </w:tc>
        <w:tc>
          <w:p>
            <w:pPr>
              <w:pStyle w:val="Compact"/>
              <w:jc w:val="left"/>
            </w:pPr>
            <w:r>
              <w:t xml:space="preserve">USA</w:t>
            </w:r>
          </w:p>
        </w:tc>
        <w:tc>
          <w:p>
            <w:pPr>
              <w:pStyle w:val="Compact"/>
              <w:jc w:val="left"/>
            </w:pPr>
            <w:r>
              <w:t xml:space="preserve">Active</w:t>
            </w:r>
          </w:p>
        </w:tc>
        <w:tc>
          <w:p>
            <w:pPr>
              <w:pStyle w:val="Compact"/>
              <w:jc w:val="left"/>
            </w:pPr>
            <w:r>
              <w:t xml:space="preserve">Clinical immunization safety assessment</w:t>
            </w:r>
          </w:p>
        </w:tc>
      </w:tr>
      <w:tr>
        <w:tc>
          <w:p>
            <w:pPr>
              <w:pStyle w:val="Compact"/>
              <w:jc w:val="left"/>
            </w:pPr>
            <w:r>
              <w:t xml:space="preserve">EudraVigilance</w:t>
            </w:r>
          </w:p>
        </w:tc>
        <w:tc>
          <w:p>
            <w:pPr>
              <w:pStyle w:val="Compact"/>
              <w:jc w:val="left"/>
            </w:pPr>
            <w:r>
              <w:t xml:space="preserve">EU</w:t>
            </w:r>
          </w:p>
        </w:tc>
        <w:tc>
          <w:p>
            <w:pPr>
              <w:pStyle w:val="Compact"/>
              <w:jc w:val="left"/>
            </w:pPr>
            <w:r>
              <w:t xml:space="preserve">Passive</w:t>
            </w:r>
          </w:p>
        </w:tc>
        <w:tc>
          <w:p>
            <w:pPr>
              <w:pStyle w:val="Compact"/>
              <w:jc w:val="left"/>
            </w:pPr>
            <w:r>
              <w:t xml:space="preserve">~1.7 million reports analyzed</w:t>
            </w:r>
          </w:p>
        </w:tc>
      </w:tr>
      <w:tr>
        <w:tc>
          <w:p>
            <w:pPr>
              <w:pStyle w:val="Compact"/>
              <w:jc w:val="left"/>
            </w:pPr>
            <w:r>
              <w:t xml:space="preserve">Yellow Card Scheme</w:t>
            </w:r>
          </w:p>
        </w:tc>
        <w:tc>
          <w:p>
            <w:pPr>
              <w:pStyle w:val="Compact"/>
              <w:jc w:val="left"/>
            </w:pPr>
            <w:r>
              <w:t xml:space="preserve">UK</w:t>
            </w:r>
          </w:p>
        </w:tc>
        <w:tc>
          <w:p>
            <w:pPr>
              <w:pStyle w:val="Compact"/>
              <w:jc w:val="left"/>
            </w:pPr>
            <w:r>
              <w:t xml:space="preserve">Passive</w:t>
            </w:r>
          </w:p>
        </w:tc>
        <w:tc>
          <w:p>
            <w:pPr>
              <w:pStyle w:val="Compact"/>
              <w:jc w:val="left"/>
            </w:pPr>
            <w:r>
              <w:t xml:space="preserve">National surveillance</w:t>
            </w:r>
          </w:p>
        </w:tc>
      </w:tr>
      <w:tr>
        <w:tc>
          <w:p>
            <w:pPr>
              <w:pStyle w:val="Compact"/>
              <w:jc w:val="left"/>
            </w:pPr>
            <w:r>
              <w:t xml:space="preserve">WHO Global Advisory</w:t>
            </w:r>
          </w:p>
        </w:tc>
        <w:tc>
          <w:p>
            <w:pPr>
              <w:pStyle w:val="Compact"/>
              <w:jc w:val="left"/>
            </w:pPr>
            <w:r>
              <w:t xml:space="preserve">Global</w:t>
            </w:r>
          </w:p>
        </w:tc>
        <w:tc>
          <w:p>
            <w:pPr>
              <w:pStyle w:val="Compact"/>
              <w:jc w:val="left"/>
            </w:pPr>
            <w:r>
              <w:t xml:space="preserve">Coordination</w:t>
            </w:r>
          </w:p>
        </w:tc>
        <w:tc>
          <w:p>
            <w:pPr>
              <w:pStyle w:val="Compact"/>
              <w:jc w:val="left"/>
            </w:pPr>
            <w:r>
              <w:t xml:space="preserve">International safety coordination</w:t>
            </w:r>
          </w:p>
        </w:tc>
      </w:tr>
    </w:tbl>
    <w:p>
      <w:pPr>
        <w:pStyle w:val="Heading3"/>
      </w:pPr>
      <w:bookmarkStart w:id="67" w:name="ema-safety-data-summary"/>
      <w:r>
        <w:t xml:space="preserve">EMA Safety Data Summary</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Doses administered (EU/EEA)</w:t>
            </w:r>
          </w:p>
        </w:tc>
        <w:tc>
          <w:p>
            <w:pPr>
              <w:pStyle w:val="Compact"/>
              <w:jc w:val="left"/>
            </w:pPr>
            <w:r>
              <w:t xml:space="preserve">~1 billion</w:t>
            </w:r>
          </w:p>
        </w:tc>
      </w:tr>
      <w:tr>
        <w:tc>
          <w:p>
            <w:pPr>
              <w:pStyle w:val="Compact"/>
              <w:jc w:val="left"/>
            </w:pPr>
            <w:r>
              <w:t xml:space="preserve">Adverse event reporting rate</w:t>
            </w:r>
          </w:p>
        </w:tc>
        <w:tc>
          <w:p>
            <w:pPr>
              <w:pStyle w:val="Compact"/>
              <w:jc w:val="left"/>
            </w:pPr>
            <w:r>
              <w:t xml:space="preserve">~0.2% per 100 doses</w:t>
            </w:r>
          </w:p>
        </w:tc>
      </w:tr>
      <w:tr>
        <w:tc>
          <w:p>
            <w:pPr>
              <w:pStyle w:val="Compact"/>
              <w:jc w:val="left"/>
            </w:pPr>
            <w:r>
              <w:t xml:space="preserve">Fatal outcome reports</w:t>
            </w:r>
          </w:p>
        </w:tc>
        <w:tc>
          <w:p>
            <w:pPr>
              <w:pStyle w:val="Compact"/>
              <w:jc w:val="left"/>
            </w:pPr>
            <w:r>
              <w:t xml:space="preserve">~0.001% per 100 doses (~12,000 reports)</w:t>
            </w:r>
          </w:p>
        </w:tc>
      </w:tr>
      <w:tr>
        <w:tc>
          <w:p>
            <w:pPr>
              <w:pStyle w:val="Compact"/>
              <w:jc w:val="left"/>
            </w:pPr>
            <w:r>
              <w:t xml:space="preserve">Total adverse event reports</w:t>
            </w:r>
          </w:p>
        </w:tc>
        <w:tc>
          <w:p>
            <w:pPr>
              <w:pStyle w:val="Compact"/>
              <w:jc w:val="left"/>
            </w:pPr>
            <w:r>
              <w:t xml:space="preserve">~1.7 million</w:t>
            </w:r>
          </w:p>
        </w:tc>
      </w:tr>
    </w:tbl>
    <w:p>
      <w:pPr>
        <w:pStyle w:val="Heading2"/>
      </w:pPr>
      <w:bookmarkStart w:id="68" w:name="X8a7f982d1128367cd15c3968dfa5ce1e91152de"/>
      <w:r>
        <w:t xml:space="preserve">Comparative Risk Analysis: Vaccine vs. COVID-19 Infection</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Vaccinated (per million)</w:t>
            </w:r>
          </w:p>
        </w:tc>
        <w:tc>
          <w:tcPr>
            <w:tcBorders>
              <w:bottom w:val="single"/>
            </w:tcBorders>
            <w:vAlign w:val="bottom"/>
          </w:tcPr>
          <w:p>
            <w:pPr>
              <w:pStyle w:val="Compact"/>
              <w:jc w:val="left"/>
            </w:pPr>
            <w:r>
              <w:t xml:space="preserve">Unvaccinated (per million)</w:t>
            </w:r>
          </w:p>
        </w:tc>
        <w:tc>
          <w:tcPr>
            <w:tcBorders>
              <w:bottom w:val="single"/>
            </w:tcBorders>
            <w:vAlign w:val="bottom"/>
          </w:tcPr>
          <w:p>
            <w:pPr>
              <w:pStyle w:val="Compact"/>
              <w:jc w:val="left"/>
            </w:pPr>
            <w:r>
              <w:t xml:space="preserve">Risk Reduction</w:t>
            </w:r>
          </w:p>
        </w:tc>
      </w:tr>
      <w:tr>
        <w:tc>
          <w:p>
            <w:pPr>
              <w:pStyle w:val="Compact"/>
              <w:jc w:val="left"/>
            </w:pPr>
            <w:r>
              <w:t xml:space="preserve">Hospitalization</w:t>
            </w:r>
          </w:p>
        </w:tc>
        <w:tc>
          <w:p>
            <w:pPr>
              <w:pStyle w:val="Compact"/>
              <w:jc w:val="left"/>
            </w:pPr>
            <w:r>
              <w:t xml:space="preserve">50-200</w:t>
            </w:r>
          </w:p>
        </w:tc>
        <w:tc>
          <w:p>
            <w:pPr>
              <w:pStyle w:val="Compact"/>
              <w:jc w:val="left"/>
            </w:pPr>
            <w:r>
              <w:t xml:space="preserve">1,000-5,000</w:t>
            </w:r>
          </w:p>
        </w:tc>
        <w:tc>
          <w:p>
            <w:pPr>
              <w:pStyle w:val="Compact"/>
              <w:jc w:val="left"/>
            </w:pPr>
            <w:r>
              <w:t xml:space="preserve">90-95%</w:t>
            </w:r>
          </w:p>
        </w:tc>
      </w:tr>
      <w:tr>
        <w:tc>
          <w:p>
            <w:pPr>
              <w:pStyle w:val="Compact"/>
              <w:jc w:val="left"/>
            </w:pPr>
            <w:r>
              <w:t xml:space="preserve">Death</w:t>
            </w:r>
          </w:p>
        </w:tc>
        <w:tc>
          <w:p>
            <w:pPr>
              <w:pStyle w:val="Compact"/>
              <w:jc w:val="left"/>
            </w:pPr>
            <w:r>
              <w:t xml:space="preserve">1-10</w:t>
            </w:r>
          </w:p>
        </w:tc>
        <w:tc>
          <w:p>
            <w:pPr>
              <w:pStyle w:val="Compact"/>
              <w:jc w:val="left"/>
            </w:pPr>
            <w:r>
              <w:t xml:space="preserve">100-500</w:t>
            </w:r>
          </w:p>
        </w:tc>
        <w:tc>
          <w:p>
            <w:pPr>
              <w:pStyle w:val="Compact"/>
              <w:jc w:val="left"/>
            </w:pPr>
            <w:r>
              <w:t xml:space="preserve">95-99%</w:t>
            </w:r>
          </w:p>
        </w:tc>
      </w:tr>
      <w:tr>
        <w:tc>
          <w:p>
            <w:pPr>
              <w:pStyle w:val="Compact"/>
              <w:jc w:val="left"/>
            </w:pPr>
            <w:r>
              <w:t xml:space="preserve">Long COVID (6+ months)</w:t>
            </w:r>
          </w:p>
        </w:tc>
        <w:tc>
          <w:p>
            <w:pPr>
              <w:pStyle w:val="Compact"/>
              <w:jc w:val="left"/>
            </w:pPr>
            <w:r>
              <w:t xml:space="preserve">50-100</w:t>
            </w:r>
          </w:p>
        </w:tc>
        <w:tc>
          <w:p>
            <w:pPr>
              <w:pStyle w:val="Compact"/>
              <w:jc w:val="left"/>
            </w:pPr>
            <w:r>
              <w:t xml:space="preserve">500-1,000</w:t>
            </w:r>
          </w:p>
        </w:tc>
        <w:tc>
          <w:p>
            <w:pPr>
              <w:pStyle w:val="Compact"/>
              <w:jc w:val="left"/>
            </w:pPr>
            <w:r>
              <w:t xml:space="preserve">80-90%</w:t>
            </w:r>
          </w:p>
        </w:tc>
      </w:tr>
      <w:tr>
        <w:tc>
          <w:p>
            <w:pPr>
              <w:pStyle w:val="Compact"/>
              <w:jc w:val="left"/>
            </w:pPr>
            <w:r>
              <w:t xml:space="preserve">Myocarditis</w:t>
            </w:r>
          </w:p>
        </w:tc>
        <w:tc>
          <w:p>
            <w:pPr>
              <w:pStyle w:val="Compact"/>
              <w:jc w:val="left"/>
            </w:pPr>
            <w:r>
              <w:t xml:space="preserve">12-40 (young males)</w:t>
            </w:r>
          </w:p>
        </w:tc>
        <w:tc>
          <w:p>
            <w:pPr>
              <w:pStyle w:val="Compact"/>
              <w:jc w:val="left"/>
            </w:pPr>
            <w:r>
              <w:t xml:space="preserve">150-450</w:t>
            </w:r>
          </w:p>
        </w:tc>
        <w:tc>
          <w:p>
            <w:pPr>
              <w:pStyle w:val="Compact"/>
              <w:jc w:val="left"/>
            </w:pPr>
            <w:r>
              <w:t xml:space="preserve">3-10x lower</w:t>
            </w:r>
          </w:p>
        </w:tc>
      </w:tr>
    </w:tbl>
    <w:p>
      <w:pPr>
        <w:pStyle w:val="Heading2"/>
      </w:pPr>
      <w:bookmarkStart w:id="69" w:name="key-interpretation"/>
      <w:r>
        <w:t xml:space="preserve">Key Interpretation</w:t>
      </w:r>
      <w:bookmarkEnd w:id="69"/>
    </w:p>
    <w:p>
      <w:pPr>
        <w:numPr>
          <w:ilvl w:val="0"/>
          <w:numId w:val="1009"/>
        </w:numPr>
        <w:pStyle w:val="Compact"/>
      </w:pPr>
      <w:r>
        <w:t xml:space="preserve">Serious adverse events are extremely rare compared to COVID-19 infection risks</w:t>
      </w:r>
    </w:p>
    <w:p>
      <w:pPr>
        <w:numPr>
          <w:ilvl w:val="0"/>
          <w:numId w:val="1009"/>
        </w:numPr>
        <w:pStyle w:val="Compact"/>
      </w:pPr>
      <w:r>
        <w:t xml:space="preserve">Vaccine effectiveness wanes over time but protection against severe outcomes remains high</w:t>
      </w:r>
    </w:p>
    <w:p>
      <w:pPr>
        <w:numPr>
          <w:ilvl w:val="0"/>
          <w:numId w:val="1009"/>
        </w:numPr>
        <w:pStyle w:val="Compact"/>
      </w:pPr>
      <w:r>
        <w:t xml:space="preserve">Ongoing monitoring has not revealed new widespread long-term safety concerns</w:t>
      </w:r>
    </w:p>
    <w:p>
      <w:pPr>
        <w:numPr>
          <w:ilvl w:val="0"/>
          <w:numId w:val="1009"/>
        </w:numPr>
        <w:pStyle w:val="Compact"/>
      </w:pPr>
      <w:r>
        <w:t xml:space="preserve">Benefits of vaccination far outweigh risks across virtually all demographic groups</w:t>
      </w:r>
    </w:p>
    <w:p>
      <w:pPr>
        <w:pStyle w:val="Heading1"/>
      </w:pPr>
      <w:bookmarkStart w:id="70" w:name="challenges-issues-and-debates"/>
      <w:r>
        <w:t xml:space="preserve">Challenges, Issues, and Debates</w:t>
      </w:r>
      <w:bookmarkEnd w:id="70"/>
    </w:p>
    <w:p>
      <w:pPr>
        <w:pStyle w:val="Heading2"/>
      </w:pPr>
      <w:bookmarkStart w:id="71" w:name="public-perception-and-vaccine-hesitancy"/>
      <w:r>
        <w:t xml:space="preserve">Public Perception and Vaccine Hesitancy</w:t>
      </w:r>
      <w:bookmarkEnd w:id="71"/>
    </w:p>
    <w:p>
      <w:pPr>
        <w:pStyle w:val="FirstParagraph"/>
      </w:pPr>
      <w:r>
        <w:t xml:space="preserve">Despite overwhelming evidence supporting vaccine safety and efficacy, several challenges persist: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Challenge</w:t>
            </w:r>
          </w:p>
        </w:tc>
        <w:tc>
          <w:tcPr>
            <w:tcBorders>
              <w:bottom w:val="single"/>
            </w:tcBorders>
            <w:vAlign w:val="bottom"/>
          </w:tcPr>
          <w:p>
            <w:pPr>
              <w:pStyle w:val="Compact"/>
              <w:jc w:val="left"/>
            </w:pPr>
            <w:r>
              <w:t xml:space="preserve">Impact</w:t>
            </w:r>
          </w:p>
        </w:tc>
      </w:tr>
      <w:tr>
        <w:tc>
          <w:p>
            <w:pPr>
              <w:pStyle w:val="Compact"/>
              <w:jc w:val="left"/>
            </w:pPr>
            <w:r>
              <w:t xml:space="preserve">Misinformation amplification</w:t>
            </w:r>
          </w:p>
        </w:tc>
        <w:tc>
          <w:p>
            <w:pPr>
              <w:pStyle w:val="Compact"/>
              <w:jc w:val="left"/>
            </w:pPr>
            <w:r>
              <w:t xml:space="preserve">Undermines public trust</w:t>
            </w:r>
          </w:p>
        </w:tc>
      </w:tr>
      <w:tr>
        <w:tc>
          <w:p>
            <w:pPr>
              <w:pStyle w:val="Compact"/>
              <w:jc w:val="left"/>
            </w:pPr>
            <w:r>
              <w:t xml:space="preserve">Rare adverse event media focus</w:t>
            </w:r>
          </w:p>
        </w:tc>
        <w:tc>
          <w:p>
            <w:pPr>
              <w:pStyle w:val="Compact"/>
              <w:jc w:val="left"/>
            </w:pPr>
            <w:r>
              <w:t xml:space="preserve">Disproportionate risk perception</w:t>
            </w:r>
          </w:p>
        </w:tc>
      </w:tr>
      <w:tr>
        <w:tc>
          <w:p>
            <w:pPr>
              <w:pStyle w:val="Compact"/>
              <w:jc w:val="left"/>
            </w:pPr>
            <w:r>
              <w:t xml:space="preserve">Social media echo chambers</w:t>
            </w:r>
          </w:p>
        </w:tc>
        <w:tc>
          <w:p>
            <w:pPr>
              <w:pStyle w:val="Compact"/>
              <w:jc w:val="left"/>
            </w:pPr>
            <w:r>
              <w:t xml:space="preserve">Reinforces vaccine hesitancy</w:t>
            </w:r>
          </w:p>
        </w:tc>
      </w:tr>
      <w:tr>
        <w:tc>
          <w:p>
            <w:pPr>
              <w:pStyle w:val="Compact"/>
              <w:jc w:val="left"/>
            </w:pPr>
            <w:r>
              <w:t xml:space="preserve">Historical medical mistrust</w:t>
            </w:r>
          </w:p>
        </w:tc>
        <w:tc>
          <w:p>
            <w:pPr>
              <w:pStyle w:val="Compact"/>
              <w:jc w:val="left"/>
            </w:pPr>
            <w:r>
              <w:t xml:space="preserve">Affects specific communities</w:t>
            </w:r>
          </w:p>
        </w:tc>
      </w:tr>
    </w:tbl>
    <w:p>
      <w:pPr>
        <w:pStyle w:val="Heading2"/>
      </w:pPr>
      <w:bookmarkStart w:id="72" w:name="evolving-virus-variants"/>
      <w:r>
        <w:t xml:space="preserve">Evolving Virus Variants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Variant</w:t>
            </w:r>
          </w:p>
        </w:tc>
        <w:tc>
          <w:tcPr>
            <w:tcBorders>
              <w:bottom w:val="single"/>
            </w:tcBorders>
            <w:vAlign w:val="bottom"/>
          </w:tcPr>
          <w:p>
            <w:pPr>
              <w:pStyle w:val="Compact"/>
              <w:jc w:val="left"/>
            </w:pPr>
            <w:r>
              <w:t xml:space="preserve">Challenge</w:t>
            </w:r>
          </w:p>
        </w:tc>
        <w:tc>
          <w:tcPr>
            <w:tcBorders>
              <w:bottom w:val="single"/>
            </w:tcBorders>
            <w:vAlign w:val="bottom"/>
          </w:tcPr>
          <w:p>
            <w:pPr>
              <w:pStyle w:val="Compact"/>
              <w:jc w:val="left"/>
            </w:pPr>
            <w:r>
              <w:t xml:space="preserve">Response</w:t>
            </w:r>
          </w:p>
        </w:tc>
      </w:tr>
      <w:tr>
        <w:tc>
          <w:p>
            <w:pPr>
              <w:pStyle w:val="Compact"/>
              <w:jc w:val="left"/>
            </w:pPr>
            <w:r>
              <w:t xml:space="preserve">Delta</w:t>
            </w:r>
          </w:p>
        </w:tc>
        <w:tc>
          <w:p>
            <w:pPr>
              <w:pStyle w:val="Compact"/>
              <w:jc w:val="left"/>
            </w:pPr>
            <w:r>
              <w:t xml:space="preserve">Increased transmissibility</w:t>
            </w:r>
          </w:p>
        </w:tc>
        <w:tc>
          <w:p>
            <w:pPr>
              <w:pStyle w:val="Compact"/>
              <w:jc w:val="left"/>
            </w:pPr>
            <w:r>
              <w:t xml:space="preserve">Booster recommendations</w:t>
            </w:r>
          </w:p>
        </w:tc>
      </w:tr>
      <w:tr>
        <w:tc>
          <w:p>
            <w:pPr>
              <w:pStyle w:val="Compact"/>
              <w:jc w:val="left"/>
            </w:pPr>
            <w:r>
              <w:t xml:space="preserve">Omicron</w:t>
            </w:r>
          </w:p>
        </w:tc>
        <w:tc>
          <w:p>
            <w:pPr>
              <w:pStyle w:val="Compact"/>
              <w:jc w:val="left"/>
            </w:pPr>
            <w:r>
              <w:t xml:space="preserve">Immune escape</w:t>
            </w:r>
          </w:p>
        </w:tc>
        <w:tc>
          <w:p>
            <w:pPr>
              <w:pStyle w:val="Compact"/>
              <w:jc w:val="left"/>
            </w:pPr>
            <w:r>
              <w:t xml:space="preserve">Variant-adapted vaccines</w:t>
            </w:r>
          </w:p>
        </w:tc>
      </w:tr>
      <w:tr>
        <w:tc>
          <w:p>
            <w:pPr>
              <w:pStyle w:val="Compact"/>
              <w:jc w:val="left"/>
            </w:pPr>
            <w:r>
              <w:t xml:space="preserve">Future variants</w:t>
            </w:r>
          </w:p>
        </w:tc>
        <w:tc>
          <w:p>
            <w:pPr>
              <w:pStyle w:val="Compact"/>
              <w:jc w:val="left"/>
            </w:pPr>
            <w:r>
              <w:t xml:space="preserve">Unknown</w:t>
            </w:r>
          </w:p>
        </w:tc>
        <w:tc>
          <w:p>
            <w:pPr>
              <w:pStyle w:val="Compact"/>
              <w:jc w:val="left"/>
            </w:pPr>
            <w:r>
              <w:t xml:space="preserve">Pan-coronavirus vaccine development</w:t>
            </w:r>
          </w:p>
        </w:tc>
      </w:tr>
    </w:tbl>
    <w:p>
      <w:pPr>
        <w:pStyle w:val="Heading2"/>
      </w:pPr>
      <w:bookmarkStart w:id="73" w:name="scientific-debates"/>
      <w:r>
        <w:t xml:space="preserve">Scientific Debates</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Debate Points</w:t>
            </w:r>
          </w:p>
        </w:tc>
      </w:tr>
      <w:tr>
        <w:tc>
          <w:p>
            <w:pPr>
              <w:pStyle w:val="Compact"/>
              <w:jc w:val="left"/>
            </w:pPr>
            <w:r>
              <w:t xml:space="preserve">Optimal booster timing</w:t>
            </w:r>
          </w:p>
        </w:tc>
        <w:tc>
          <w:p>
            <w:pPr>
              <w:pStyle w:val="Compact"/>
              <w:jc w:val="left"/>
            </w:pPr>
            <w:r>
              <w:t xml:space="preserve">Balance immunity vs adverse events</w:t>
            </w:r>
          </w:p>
        </w:tc>
      </w:tr>
      <w:tr>
        <w:tc>
          <w:p>
            <w:pPr>
              <w:pStyle w:val="Compact"/>
              <w:jc w:val="left"/>
            </w:pPr>
            <w:r>
              <w:t xml:space="preserve">Universal vs targeted boosting</w:t>
            </w:r>
          </w:p>
        </w:tc>
        <w:tc>
          <w:p>
            <w:pPr>
              <w:pStyle w:val="Compact"/>
              <w:jc w:val="left"/>
            </w:pPr>
            <w:r>
              <w:t xml:space="preserve">Cost-effectiveness considerations</w:t>
            </w:r>
          </w:p>
        </w:tc>
      </w:tr>
      <w:tr>
        <w:tc>
          <w:p>
            <w:pPr>
              <w:pStyle w:val="Compact"/>
              <w:jc w:val="left"/>
            </w:pPr>
            <w:r>
              <w:t xml:space="preserve">Hybrid immunity value</w:t>
            </w:r>
          </w:p>
        </w:tc>
        <w:tc>
          <w:p>
            <w:pPr>
              <w:pStyle w:val="Compact"/>
              <w:jc w:val="left"/>
            </w:pPr>
            <w:r>
              <w:t xml:space="preserve">Natural + vaccine immunity interactions</w:t>
            </w:r>
          </w:p>
        </w:tc>
      </w:tr>
      <w:tr>
        <w:tc>
          <w:p>
            <w:pPr>
              <w:pStyle w:val="Compact"/>
              <w:jc w:val="left"/>
            </w:pPr>
            <w:r>
              <w:t xml:space="preserve">Long-term surveillance duration</w:t>
            </w:r>
          </w:p>
        </w:tc>
        <w:tc>
          <w:p>
            <w:pPr>
              <w:pStyle w:val="Compact"/>
              <w:jc w:val="left"/>
            </w:pPr>
            <w:r>
              <w:t xml:space="preserve">Resource allocation decisions</w:t>
            </w:r>
          </w:p>
        </w:tc>
      </w:tr>
    </w:tbl>
    <w:p>
      <w:pPr>
        <w:pStyle w:val="Heading2"/>
      </w:pPr>
      <w:bookmarkStart w:id="74" w:name="critical-unknowns"/>
      <w:r>
        <w:t xml:space="preserve">Critical Unknowns</w:t>
      </w:r>
      <w:bookmarkEnd w:id="74"/>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Unknown</w:t>
            </w:r>
          </w:p>
        </w:tc>
        <w:tc>
          <w:tcPr>
            <w:tcBorders>
              <w:bottom w:val="single"/>
            </w:tcBorders>
            <w:vAlign w:val="bottom"/>
          </w:tcPr>
          <w:p>
            <w:pPr>
              <w:pStyle w:val="Compact"/>
              <w:jc w:val="left"/>
            </w:pPr>
            <w:r>
              <w:t xml:space="preserve">Implication</w:t>
            </w:r>
          </w:p>
        </w:tc>
      </w:tr>
      <w:tr>
        <w:tc>
          <w:p>
            <w:pPr>
              <w:pStyle w:val="Compact"/>
              <w:jc w:val="left"/>
            </w:pPr>
            <w:r>
              <w:t xml:space="preserve">Long-term PVS prognosis</w:t>
            </w:r>
          </w:p>
        </w:tc>
        <w:tc>
          <w:p>
            <w:pPr>
              <w:pStyle w:val="Compact"/>
              <w:jc w:val="left"/>
            </w:pPr>
            <w:r>
              <w:t xml:space="preserve">Whether immune dysregulation resolves or becomes chronic</w:t>
            </w:r>
          </w:p>
        </w:tc>
      </w:tr>
      <w:tr>
        <w:tc>
          <w:p>
            <w:pPr>
              <w:pStyle w:val="Compact"/>
              <w:jc w:val="left"/>
            </w:pPr>
            <w:r>
              <w:t xml:space="preserve">Mechanism of spike persistence</w:t>
            </w:r>
          </w:p>
        </w:tc>
        <w:tc>
          <w:p>
            <w:pPr>
              <w:pStyle w:val="Compact"/>
              <w:jc w:val="left"/>
            </w:pPr>
            <w:r>
              <w:t xml:space="preserve">Why spike protein persists in some individuals</w:t>
            </w:r>
          </w:p>
        </w:tc>
      </w:tr>
      <w:tr>
        <w:tc>
          <w:p>
            <w:pPr>
              <w:pStyle w:val="Compact"/>
              <w:jc w:val="left"/>
            </w:pPr>
            <w:r>
              <w:t xml:space="preserve">Subclinical cardiac scarring outcomes</w:t>
            </w:r>
          </w:p>
        </w:tc>
        <w:tc>
          <w:p>
            <w:pPr>
              <w:pStyle w:val="Compact"/>
              <w:jc w:val="left"/>
            </w:pPr>
            <w:r>
              <w:t xml:space="preserve">Multi-year follow-up needed for arrhythmia risk</w:t>
            </w:r>
          </w:p>
        </w:tc>
      </w:tr>
      <w:tr>
        <w:tc>
          <w:p>
            <w:pPr>
              <w:pStyle w:val="Compact"/>
              <w:jc w:val="left"/>
            </w:pPr>
            <w:r>
              <w:t xml:space="preserve">Original antigenic sin</w:t>
            </w:r>
          </w:p>
        </w:tc>
        <w:tc>
          <w:p>
            <w:pPr>
              <w:pStyle w:val="Compact"/>
              <w:jc w:val="left"/>
            </w:pPr>
            <w:r>
              <w:t xml:space="preserve">Impact of repeated ancestral spike boosting</w:t>
            </w:r>
          </w:p>
        </w:tc>
      </w:tr>
    </w:tbl>
    <w:p>
      <w:pPr>
        <w:pStyle w:val="Heading1"/>
      </w:pPr>
      <w:bookmarkStart w:id="75" w:name="best-practices-and-recommendations"/>
      <w:r>
        <w:t xml:space="preserve">Best Practices and Recommendations</w:t>
      </w:r>
      <w:bookmarkEnd w:id="75"/>
    </w:p>
    <w:p>
      <w:pPr>
        <w:pStyle w:val="Heading2"/>
      </w:pPr>
      <w:bookmarkStart w:id="76" w:name="for-healthcare-providers"/>
      <w:r>
        <w:t xml:space="preserve">For Healthcare Providers</w:t>
      </w:r>
      <w:bookmarkEnd w:id="76"/>
    </w:p>
    <w:tbl>
      <w:tblPr>
        <w:tblStyle w:val="Table"/>
        <w:tblW w:type="pct" w:w="5000.0"/>
        <w:tblLook w:firstRow="1"/>
      </w:tblPr>
      <w:tblGrid>
        <w:gridCol w:w="4693"/>
        <w:gridCol w:w="3226"/>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Rationale</w:t>
            </w:r>
          </w:p>
        </w:tc>
      </w:tr>
      <w:tr>
        <w:tc>
          <w:p>
            <w:pPr>
              <w:pStyle w:val="Compact"/>
              <w:jc w:val="left"/>
            </w:pPr>
            <w:r>
              <w:t xml:space="preserve">Screen for contraindications</w:t>
            </w:r>
          </w:p>
        </w:tc>
        <w:tc>
          <w:p>
            <w:pPr>
              <w:pStyle w:val="Compact"/>
              <w:jc w:val="left"/>
            </w:pPr>
            <w:r>
              <w:t xml:space="preserve">History of allergic reactions, previous adverse events</w:t>
            </w:r>
          </w:p>
        </w:tc>
      </w:tr>
      <w:tr>
        <w:tc>
          <w:p>
            <w:pPr>
              <w:pStyle w:val="Compact"/>
              <w:jc w:val="left"/>
            </w:pPr>
            <w:r>
              <w:t xml:space="preserve">Discuss risk-benefit ratio</w:t>
            </w:r>
          </w:p>
        </w:tc>
        <w:tc>
          <w:p>
            <w:pPr>
              <w:pStyle w:val="Compact"/>
              <w:jc w:val="left"/>
            </w:pPr>
            <w:r>
              <w:t xml:space="preserve">Individualized counseling based on patient factors</w:t>
            </w:r>
          </w:p>
        </w:tc>
      </w:tr>
      <w:tr>
        <w:tc>
          <w:p>
            <w:pPr>
              <w:pStyle w:val="Compact"/>
              <w:jc w:val="left"/>
            </w:pPr>
            <w:r>
              <w:t xml:space="preserve">Report adverse events promptly</w:t>
            </w:r>
          </w:p>
        </w:tc>
        <w:tc>
          <w:p>
            <w:pPr>
              <w:pStyle w:val="Compact"/>
              <w:jc w:val="left"/>
            </w:pPr>
            <w:r>
              <w:t xml:space="preserve">Contribute to safety surveillance systems</w:t>
            </w:r>
          </w:p>
        </w:tc>
      </w:tr>
      <w:tr>
        <w:tc>
          <w:p>
            <w:pPr>
              <w:pStyle w:val="Compact"/>
              <w:jc w:val="left"/>
            </w:pPr>
            <w:r>
              <w:t xml:space="preserve">Stay updated on guidelines</w:t>
            </w:r>
          </w:p>
        </w:tc>
        <w:tc>
          <w:p>
            <w:pPr>
              <w:pStyle w:val="Compact"/>
              <w:jc w:val="left"/>
            </w:pPr>
            <w:r>
              <w:t xml:space="preserve">Recommendations evolve with new data</w:t>
            </w:r>
          </w:p>
        </w:tc>
      </w:tr>
      <w:tr>
        <w:tc>
          <w:p>
            <w:pPr>
              <w:pStyle w:val="Compact"/>
              <w:jc w:val="left"/>
            </w:pPr>
            <w:r>
              <w:t xml:space="preserve">Address vaccine hesitancy empathetically</w:t>
            </w:r>
          </w:p>
        </w:tc>
        <w:tc>
          <w:p>
            <w:pPr>
              <w:pStyle w:val="Compact"/>
              <w:jc w:val="left"/>
            </w:pPr>
            <w:r>
              <w:t xml:space="preserve">Build trust through open dialogue</w:t>
            </w:r>
          </w:p>
        </w:tc>
      </w:tr>
    </w:tbl>
    <w:p>
      <w:pPr>
        <w:pStyle w:val="Heading2"/>
      </w:pPr>
      <w:bookmarkStart w:id="77" w:name="for-individuals"/>
      <w:r>
        <w:t xml:space="preserve">For Individuals</w:t>
      </w:r>
      <w:bookmarkEnd w:id="77"/>
    </w:p>
    <w:tbl>
      <w:tblPr>
        <w:tblStyle w:val="Table"/>
        <w:tblW w:type="pct" w:w="5000.0"/>
        <w:tblLook w:firstRow="1"/>
      </w:tblPr>
      <w:tblGrid>
        <w:gridCol w:w="528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Action</w:t>
            </w:r>
          </w:p>
        </w:tc>
      </w:tr>
      <w:tr>
        <w:tc>
          <w:p>
            <w:pPr>
              <w:pStyle w:val="Compact"/>
              <w:jc w:val="left"/>
            </w:pPr>
            <w:r>
              <w:t xml:space="preserve">Stay informed</w:t>
            </w:r>
          </w:p>
        </w:tc>
        <w:tc>
          <w:p>
            <w:pPr>
              <w:pStyle w:val="Compact"/>
              <w:jc w:val="left"/>
            </w:pPr>
            <w:r>
              <w:t xml:space="preserve">Use reputable sources (CDC, WHO, national health authorities)</w:t>
            </w:r>
          </w:p>
        </w:tc>
      </w:tr>
      <w:tr>
        <w:tc>
          <w:p>
            <w:pPr>
              <w:pStyle w:val="Compact"/>
              <w:jc w:val="left"/>
            </w:pPr>
            <w:r>
              <w:t xml:space="preserve">Complete vaccination series</w:t>
            </w:r>
          </w:p>
        </w:tc>
        <w:tc>
          <w:p>
            <w:pPr>
              <w:pStyle w:val="Compact"/>
              <w:jc w:val="left"/>
            </w:pPr>
            <w:r>
              <w:t xml:space="preserve">Initial series plus recommended boosters</w:t>
            </w:r>
          </w:p>
        </w:tc>
      </w:tr>
      <w:tr>
        <w:tc>
          <w:p>
            <w:pPr>
              <w:pStyle w:val="Compact"/>
              <w:jc w:val="left"/>
            </w:pPr>
            <w:r>
              <w:t xml:space="preserve">Report adverse events</w:t>
            </w:r>
          </w:p>
        </w:tc>
        <w:tc>
          <w:p>
            <w:pPr>
              <w:pStyle w:val="Compact"/>
              <w:jc w:val="left"/>
            </w:pPr>
            <w:r>
              <w:t xml:space="preserve">Contact healthcare provider; report to VAERS or equivalent</w:t>
            </w:r>
          </w:p>
        </w:tc>
      </w:tr>
      <w:tr>
        <w:tc>
          <w:p>
            <w:pPr>
              <w:pStyle w:val="Compact"/>
              <w:jc w:val="left"/>
            </w:pPr>
            <w:r>
              <w:t xml:space="preserve">Monitor for symptoms</w:t>
            </w:r>
          </w:p>
        </w:tc>
        <w:tc>
          <w:p>
            <w:pPr>
              <w:pStyle w:val="Compact"/>
              <w:jc w:val="left"/>
            </w:pPr>
            <w:r>
              <w:t xml:space="preserve">Seek care for chest pain, shortness of breath, neurological symptoms</w:t>
            </w:r>
          </w:p>
        </w:tc>
      </w:tr>
      <w:tr>
        <w:tc>
          <w:p>
            <w:pPr>
              <w:pStyle w:val="Compact"/>
              <w:jc w:val="left"/>
            </w:pPr>
            <w:r>
              <w:t xml:space="preserve">Consider timing</w:t>
            </w:r>
          </w:p>
        </w:tc>
        <w:tc>
          <w:p>
            <w:pPr>
              <w:pStyle w:val="Compact"/>
              <w:jc w:val="left"/>
            </w:pPr>
            <w:r>
              <w:t xml:space="preserve">Discuss optimal timing with immunocompromising conditions</w:t>
            </w:r>
          </w:p>
        </w:tc>
      </w:tr>
    </w:tbl>
    <w:p>
      <w:pPr>
        <w:pStyle w:val="Heading2"/>
      </w:pPr>
      <w:bookmarkStart w:id="78" w:name="for-policymakers"/>
      <w:r>
        <w:t xml:space="preserve">For Policymakers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r>
      <w:tr>
        <w:tc>
          <w:p>
            <w:pPr>
              <w:pStyle w:val="Compact"/>
              <w:jc w:val="left"/>
            </w:pPr>
            <w:r>
              <w:t xml:space="preserve">Maintain robust surveillance</w:t>
            </w:r>
          </w:p>
        </w:tc>
        <w:tc>
          <w:p>
            <w:pPr>
              <w:pStyle w:val="Compact"/>
              <w:jc w:val="left"/>
            </w:pPr>
            <w:r>
              <w:t xml:space="preserve">Fund and support monitoring systems</w:t>
            </w:r>
          </w:p>
        </w:tc>
      </w:tr>
      <w:tr>
        <w:tc>
          <w:p>
            <w:pPr>
              <w:pStyle w:val="Compact"/>
              <w:jc w:val="left"/>
            </w:pPr>
            <w:r>
              <w:t xml:space="preserve">Transparent communication</w:t>
            </w:r>
          </w:p>
        </w:tc>
        <w:tc>
          <w:p>
            <w:pPr>
              <w:pStyle w:val="Compact"/>
              <w:jc w:val="left"/>
            </w:pPr>
            <w:r>
              <w:t xml:space="preserve">Acknowledge uncertainties; share data openly</w:t>
            </w:r>
          </w:p>
        </w:tc>
      </w:tr>
      <w:tr>
        <w:tc>
          <w:p>
            <w:pPr>
              <w:pStyle w:val="Compact"/>
              <w:jc w:val="left"/>
            </w:pPr>
            <w:r>
              <w:t xml:space="preserve">Equitable access</w:t>
            </w:r>
          </w:p>
        </w:tc>
        <w:tc>
          <w:p>
            <w:pPr>
              <w:pStyle w:val="Compact"/>
              <w:jc w:val="left"/>
            </w:pPr>
            <w:r>
              <w:t xml:space="preserve">Address vaccine distribution disparities</w:t>
            </w:r>
          </w:p>
        </w:tc>
      </w:tr>
      <w:tr>
        <w:tc>
          <w:p>
            <w:pPr>
              <w:pStyle w:val="Compact"/>
              <w:jc w:val="left"/>
            </w:pPr>
            <w:r>
              <w:t xml:space="preserve">Support research</w:t>
            </w:r>
          </w:p>
        </w:tc>
        <w:tc>
          <w:p>
            <w:pPr>
              <w:pStyle w:val="Compact"/>
              <w:jc w:val="left"/>
            </w:pPr>
            <w:r>
              <w:t xml:space="preserve">Fund long-term safety and efficacy studies</w:t>
            </w:r>
          </w:p>
        </w:tc>
      </w:tr>
      <w:tr>
        <w:tc>
          <w:p>
            <w:pPr>
              <w:pStyle w:val="Compact"/>
              <w:jc w:val="left"/>
            </w:pPr>
            <w:r>
              <w:t xml:space="preserve">Combat misinformation</w:t>
            </w:r>
          </w:p>
        </w:tc>
        <w:tc>
          <w:p>
            <w:pPr>
              <w:pStyle w:val="Compact"/>
              <w:jc w:val="left"/>
            </w:pPr>
            <w:r>
              <w:t xml:space="preserve">Public health communication campaigns</w:t>
            </w:r>
          </w:p>
        </w:tc>
      </w:tr>
    </w:tbl>
    <w:p>
      <w:pPr>
        <w:pStyle w:val="Heading2"/>
      </w:pPr>
      <w:bookmarkStart w:id="79" w:name="common-mistakes-to-avoid"/>
      <w:r>
        <w:t xml:space="preserve">Common Mistakes to Avoid</w:t>
      </w:r>
      <w:bookmarkEnd w:id="79"/>
    </w:p>
    <w:tbl>
      <w:tblPr>
        <w:tblStyle w:val="Table"/>
        <w:tblW w:type="pct" w:w="0.0"/>
        <w:tblLook w:firstRow="1"/>
      </w:tblPr>
      <w:tblGrid/>
      <w:tr>
        <w:trPr>
          <w:cnfStyle w:firstRow="1"/>
        </w:trPr>
        <w:tc>
          <w:tcPr>
            <w:tcBorders>
              <w:bottom w:val="single"/>
            </w:tcBorders>
            <w:vAlign w:val="bottom"/>
          </w:tcPr>
          <w:p>
            <w:pPr>
              <w:pStyle w:val="Compact"/>
              <w:jc w:val="left"/>
            </w:pPr>
            <w:r>
              <w:t xml:space="preserve">Mistake</w:t>
            </w:r>
          </w:p>
        </w:tc>
        <w:tc>
          <w:tcPr>
            <w:tcBorders>
              <w:bottom w:val="single"/>
            </w:tcBorders>
            <w:vAlign w:val="bottom"/>
          </w:tcPr>
          <w:p>
            <w:pPr>
              <w:pStyle w:val="Compact"/>
              <w:jc w:val="left"/>
            </w:pPr>
            <w:r>
              <w:t xml:space="preserve">Why to Avoid</w:t>
            </w:r>
          </w:p>
        </w:tc>
      </w:tr>
      <w:tr>
        <w:tc>
          <w:p>
            <w:pPr>
              <w:pStyle w:val="Compact"/>
              <w:jc w:val="left"/>
            </w:pPr>
            <w:r>
              <w:t xml:space="preserve">Spreading unverified information</w:t>
            </w:r>
          </w:p>
        </w:tc>
        <w:tc>
          <w:p>
            <w:pPr>
              <w:pStyle w:val="Compact"/>
              <w:jc w:val="left"/>
            </w:pPr>
            <w:r>
              <w:t xml:space="preserve">Undermines public health efforts</w:t>
            </w:r>
          </w:p>
        </w:tc>
      </w:tr>
      <w:tr>
        <w:tc>
          <w:p>
            <w:pPr>
              <w:pStyle w:val="Compact"/>
              <w:jc w:val="left"/>
            </w:pPr>
            <w:r>
              <w:t xml:space="preserve">Neglecting booster doses</w:t>
            </w:r>
          </w:p>
        </w:tc>
        <w:tc>
          <w:p>
            <w:pPr>
              <w:pStyle w:val="Compact"/>
              <w:jc w:val="left"/>
            </w:pPr>
            <w:r>
              <w:t xml:space="preserve">Allows immunity to wane</w:t>
            </w:r>
          </w:p>
        </w:tc>
      </w:tr>
      <w:tr>
        <w:tc>
          <w:p>
            <w:pPr>
              <w:pStyle w:val="Compact"/>
              <w:jc w:val="left"/>
            </w:pPr>
            <w:r>
              <w:t xml:space="preserve">Underestimating COVID-19 risks</w:t>
            </w:r>
          </w:p>
        </w:tc>
        <w:tc>
          <w:p>
            <w:pPr>
              <w:pStyle w:val="Compact"/>
              <w:jc w:val="left"/>
            </w:pPr>
            <w:r>
              <w:t xml:space="preserve">Infection risks exceed vaccine risks</w:t>
            </w:r>
          </w:p>
        </w:tc>
      </w:tr>
      <w:tr>
        <w:tc>
          <w:p>
            <w:pPr>
              <w:pStyle w:val="Compact"/>
              <w:jc w:val="left"/>
            </w:pPr>
            <w:r>
              <w:t xml:space="preserve">Ignoring post-vaccination symptoms</w:t>
            </w:r>
          </w:p>
        </w:tc>
        <w:tc>
          <w:p>
            <w:pPr>
              <w:pStyle w:val="Compact"/>
              <w:jc w:val="left"/>
            </w:pPr>
            <w:r>
              <w:t xml:space="preserve">Early reporting enables better care</w:t>
            </w:r>
          </w:p>
        </w:tc>
      </w:tr>
      <w:tr>
        <w:tc>
          <w:p>
            <w:pPr>
              <w:pStyle w:val="Compact"/>
              <w:jc w:val="left"/>
            </w:pPr>
            <w:r>
              <w:t xml:space="preserve">One-size-fits-all approach</w:t>
            </w:r>
          </w:p>
        </w:tc>
        <w:tc>
          <w:p>
            <w:pPr>
              <w:pStyle w:val="Compact"/>
              <w:jc w:val="left"/>
            </w:pPr>
            <w:r>
              <w:t xml:space="preserve">Individual factors matter for decision-making</w:t>
            </w:r>
          </w:p>
        </w:tc>
      </w:tr>
    </w:tbl>
    <w:p>
      <w:pPr>
        <w:pStyle w:val="Heading1"/>
      </w:pPr>
      <w:bookmarkStart w:id="80" w:name="future-outlook-and-trends"/>
      <w:r>
        <w:t xml:space="preserve">Future Outlook and Trends</w:t>
      </w:r>
      <w:bookmarkEnd w:id="80"/>
    </w:p>
    <w:p>
      <w:pPr>
        <w:pStyle w:val="Heading2"/>
      </w:pPr>
      <w:bookmarkStart w:id="81" w:name="next-generation-vaccine-architectures"/>
      <w:r>
        <w:t xml:space="preserve">Next-Generation Vaccine Architectures</w:t>
      </w:r>
      <w:bookmarkEnd w:id="81"/>
    </w:p>
    <w:p>
      <w:pPr>
        <w:pStyle w:val="Heading3"/>
      </w:pPr>
      <w:bookmarkStart w:id="82" w:name="mucosal-vaccines-intranasalinhaled"/>
      <w:r>
        <w:t xml:space="preserve">Mucosal Vaccines (Intranasal/Inhaled)</w:t>
      </w:r>
      <w:bookmarkEnd w:id="82"/>
    </w:p>
    <w:p>
      <w:pPr>
        <w:pStyle w:val="FirstParagraph"/>
      </w:pPr>
      <w:r>
        <w:t xml:space="preserve">Current intramuscular vaccines elicit systemic IgG but fail to generate robust mucosal IgA in the respiratory tract, allowing breakthrough infections.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Vaccine</w:t>
            </w:r>
          </w:p>
        </w:tc>
        <w:tc>
          <w:tcPr>
            <w:tcBorders>
              <w:bottom w:val="single"/>
            </w:tcBorders>
            <w:vAlign w:val="bottom"/>
          </w:tcPr>
          <w:p>
            <w:pPr>
              <w:pStyle w:val="Compact"/>
              <w:jc w:val="left"/>
            </w:pPr>
            <w:r>
              <w:t xml:space="preserve">Developer</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Mechanism</w:t>
            </w:r>
          </w:p>
        </w:tc>
      </w:tr>
      <w:tr>
        <w:tc>
          <w:p>
            <w:pPr>
              <w:pStyle w:val="Compact"/>
              <w:jc w:val="left"/>
            </w:pPr>
            <w:r>
              <w:t xml:space="preserve">CoviLiv</w:t>
            </w:r>
          </w:p>
        </w:tc>
        <w:tc>
          <w:p>
            <w:pPr>
              <w:pStyle w:val="Compact"/>
              <w:jc w:val="left"/>
            </w:pPr>
            <w:r>
              <w:t xml:space="preserve">Codagenix</w:t>
            </w:r>
          </w:p>
        </w:tc>
        <w:tc>
          <w:p>
            <w:pPr>
              <w:pStyle w:val="Compact"/>
              <w:jc w:val="left"/>
            </w:pPr>
            <w:r>
              <w:t xml:space="preserve">Phase 3 (WHO Solidarity)</w:t>
            </w:r>
          </w:p>
        </w:tc>
        <w:tc>
          <w:p>
            <w:pPr>
              <w:pStyle w:val="Compact"/>
              <w:jc w:val="left"/>
            </w:pPr>
            <w:r>
              <w:t xml:space="preserve">Live-attenuated intranasal</w:t>
            </w:r>
          </w:p>
        </w:tc>
      </w:tr>
      <w:tr>
        <w:tc>
          <w:p>
            <w:pPr>
              <w:pStyle w:val="Compact"/>
              <w:jc w:val="left"/>
            </w:pPr>
            <w:r>
              <w:t xml:space="preserve">iNCOVACC</w:t>
            </w:r>
          </w:p>
        </w:tc>
        <w:tc>
          <w:p>
            <w:pPr>
              <w:pStyle w:val="Compact"/>
              <w:jc w:val="left"/>
            </w:pPr>
            <w:r>
              <w:t xml:space="preserve">Bharat Biotech</w:t>
            </w:r>
          </w:p>
        </w:tc>
        <w:tc>
          <w:p>
            <w:pPr>
              <w:pStyle w:val="Compact"/>
              <w:jc w:val="left"/>
            </w:pPr>
            <w:r>
              <w:t xml:space="preserve">Approved (India)</w:t>
            </w:r>
          </w:p>
        </w:tc>
        <w:tc>
          <w:p>
            <w:pPr>
              <w:pStyle w:val="Compact"/>
              <w:jc w:val="left"/>
            </w:pPr>
            <w:r>
              <w:t xml:space="preserve">Adenoviral intranasal</w:t>
            </w:r>
          </w:p>
        </w:tc>
      </w:tr>
      <w:tr>
        <w:tc>
          <w:p>
            <w:pPr>
              <w:pStyle w:val="Compact"/>
              <w:jc w:val="left"/>
            </w:pPr>
            <w:r>
              <w:t xml:space="preserve">MPV/S-2P</w:t>
            </w:r>
          </w:p>
        </w:tc>
        <w:tc>
          <w:p>
            <w:pPr>
              <w:pStyle w:val="Compact"/>
              <w:jc w:val="left"/>
            </w:pPr>
            <w:r>
              <w:t xml:space="preserve">NIAID</w:t>
            </w:r>
          </w:p>
        </w:tc>
        <w:tc>
          <w:p>
            <w:pPr>
              <w:pStyle w:val="Compact"/>
              <w:jc w:val="left"/>
            </w:pPr>
            <w:r>
              <w:t xml:space="preserve">Phase 1 (Project NextGen)</w:t>
            </w:r>
          </w:p>
        </w:tc>
        <w:tc>
          <w:p>
            <w:pPr>
              <w:pStyle w:val="Compact"/>
              <w:jc w:val="left"/>
            </w:pPr>
            <w:r>
              <w:t xml:space="preserve">Murine pneumonia virus vector</w:t>
            </w:r>
          </w:p>
        </w:tc>
      </w:tr>
    </w:tbl>
    <w:p>
      <w:pPr>
        <w:pStyle w:val="BodyText"/>
      </w:pPr>
      <w:r>
        <w:rPr>
          <w:b/>
        </w:rPr>
        <w:t xml:space="preserve">Advantages:</w:t>
      </w:r>
      <w:r>
        <w:t xml:space="preserve"> </w:t>
      </w:r>
      <w:r>
        <w:t xml:space="preserve">- Stimulates secretory IgA (sIgA) in nasal mucosa</w:t>
      </w:r>
      <w:r>
        <w:t xml:space="preserve"> </w:t>
      </w:r>
      <w:r>
        <w:t xml:space="preserve">- Creates barrier against viral entry</w:t>
      </w:r>
      <w:r>
        <w:t xml:space="preserve"> </w:t>
      </w:r>
      <w:r>
        <w:t xml:space="preserve">- May reduce transmission more effectively</w:t>
      </w:r>
    </w:p>
    <w:p>
      <w:pPr>
        <w:pStyle w:val="Heading3"/>
      </w:pPr>
      <w:bookmarkStart w:id="83" w:name="pan-betacoronavirus-universal-vaccines"/>
      <w:r>
        <w:t xml:space="preserve">Pan-Betacoronavirus (Universal) Vaccines</w:t>
      </w:r>
      <w:bookmarkEnd w:id="83"/>
    </w:p>
    <w:p>
      <w:pPr>
        <w:pStyle w:val="FirstParagraph"/>
      </w:pPr>
      <w:r>
        <w:t xml:space="preserve">Designed to protect against SARS-CoV-2 variants and other sarbecoviruses (SARS-CoV-1, MERS, future emerging strains).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Vaccine</w:t>
            </w:r>
          </w:p>
        </w:tc>
        <w:tc>
          <w:tcPr>
            <w:tcBorders>
              <w:bottom w:val="single"/>
            </w:tcBorders>
            <w:vAlign w:val="bottom"/>
          </w:tcPr>
          <w:p>
            <w:pPr>
              <w:pStyle w:val="Compact"/>
              <w:jc w:val="left"/>
            </w:pPr>
            <w:r>
              <w:t xml:space="preserve">Developer</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Design</w:t>
            </w:r>
          </w:p>
        </w:tc>
      </w:tr>
      <w:tr>
        <w:tc>
          <w:p>
            <w:pPr>
              <w:pStyle w:val="Compact"/>
              <w:jc w:val="left"/>
            </w:pPr>
            <w:r>
              <w:t xml:space="preserve">Mosaic-8</w:t>
            </w:r>
          </w:p>
        </w:tc>
        <w:tc>
          <w:p>
            <w:pPr>
              <w:pStyle w:val="Compact"/>
              <w:jc w:val="left"/>
            </w:pPr>
            <w:r>
              <w:t xml:space="preserve">Caltech</w:t>
            </w:r>
          </w:p>
        </w:tc>
        <w:tc>
          <w:p>
            <w:pPr>
              <w:pStyle w:val="Compact"/>
              <w:jc w:val="left"/>
            </w:pPr>
            <w:r>
              <w:t xml:space="preserve">Phase 1 (2025)</w:t>
            </w:r>
          </w:p>
        </w:tc>
        <w:tc>
          <w:p>
            <w:pPr>
              <w:pStyle w:val="Compact"/>
              <w:jc w:val="left"/>
            </w:pPr>
            <w:r>
              <w:t xml:space="preserve">Nanoparticle with 8 sarbecovirus RBDs</w:t>
            </w:r>
          </w:p>
        </w:tc>
      </w:tr>
      <w:tr>
        <w:tc>
          <w:p>
            <w:pPr>
              <w:pStyle w:val="Compact"/>
              <w:jc w:val="left"/>
            </w:pPr>
            <w:r>
              <w:t xml:space="preserve">SpFN</w:t>
            </w:r>
          </w:p>
        </w:tc>
        <w:tc>
          <w:p>
            <w:pPr>
              <w:pStyle w:val="Compact"/>
              <w:jc w:val="left"/>
            </w:pPr>
            <w:r>
              <w:t xml:space="preserve">Walter Reed</w:t>
            </w:r>
          </w:p>
        </w:tc>
        <w:tc>
          <w:p>
            <w:pPr>
              <w:pStyle w:val="Compact"/>
              <w:jc w:val="left"/>
            </w:pPr>
            <w:r>
              <w:t xml:space="preserve">Phase 1 complete</w:t>
            </w:r>
          </w:p>
        </w:tc>
        <w:tc>
          <w:p>
            <w:pPr>
              <w:pStyle w:val="Compact"/>
              <w:jc w:val="left"/>
            </w:pPr>
            <w:r>
              <w:t xml:space="preserve">Spike Ferritin Nanoparticle</w:t>
            </w:r>
          </w:p>
        </w:tc>
      </w:tr>
    </w:tbl>
    <w:p>
      <w:pPr>
        <w:pStyle w:val="Heading2"/>
      </w:pPr>
      <w:bookmarkStart w:id="84" w:name="ongoing-research-priorities"/>
      <w:r>
        <w:t xml:space="preserve">Ongoing Research Priorities</w:t>
      </w:r>
      <w:bookmarkEnd w:id="84"/>
    </w:p>
    <w:tbl>
      <w:tblPr>
        <w:tblStyle w:val="Table"/>
        <w:tblW w:type="pct" w:w="5000.0"/>
        <w:tblLook w:firstRow="1"/>
      </w:tblPr>
      <w:tblGrid>
        <w:gridCol w:w="3600"/>
        <w:gridCol w:w="4320"/>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Focus Area</w:t>
            </w:r>
          </w:p>
        </w:tc>
      </w:tr>
      <w:tr>
        <w:tc>
          <w:p>
            <w:pPr>
              <w:pStyle w:val="Compact"/>
              <w:jc w:val="left"/>
            </w:pPr>
            <w:r>
              <w:t xml:space="preserve">Long-term safety monitoring</w:t>
            </w:r>
          </w:p>
        </w:tc>
        <w:tc>
          <w:p>
            <w:pPr>
              <w:pStyle w:val="Compact"/>
              <w:jc w:val="left"/>
            </w:pPr>
            <w:r>
              <w:t xml:space="preserve">Extended follow-up of vaccine recipients</w:t>
            </w:r>
          </w:p>
        </w:tc>
      </w:tr>
      <w:tr>
        <w:tc>
          <w:p>
            <w:pPr>
              <w:pStyle w:val="Compact"/>
              <w:jc w:val="left"/>
            </w:pPr>
            <w:r>
              <w:t xml:space="preserve">PVS characterization</w:t>
            </w:r>
          </w:p>
        </w:tc>
        <w:tc>
          <w:p>
            <w:pPr>
              <w:pStyle w:val="Compact"/>
              <w:jc w:val="left"/>
            </w:pPr>
            <w:r>
              <w:t xml:space="preserve">Understanding mechanisms and treatments</w:t>
            </w:r>
          </w:p>
        </w:tc>
      </w:tr>
      <w:tr>
        <w:tc>
          <w:p>
            <w:pPr>
              <w:pStyle w:val="Compact"/>
              <w:jc w:val="left"/>
            </w:pPr>
            <w:r>
              <w:t xml:space="preserve">Hybrid immunity optimization</w:t>
            </w:r>
          </w:p>
        </w:tc>
        <w:tc>
          <w:p>
            <w:pPr>
              <w:pStyle w:val="Compact"/>
              <w:jc w:val="left"/>
            </w:pPr>
            <w:r>
              <w:t xml:space="preserve">Combining natural and vaccine-induced immunity</w:t>
            </w:r>
          </w:p>
        </w:tc>
      </w:tr>
      <w:tr>
        <w:tc>
          <w:p>
            <w:pPr>
              <w:pStyle w:val="Compact"/>
              <w:jc w:val="left"/>
            </w:pPr>
            <w:r>
              <w:t xml:space="preserve">Variant prediction</w:t>
            </w:r>
          </w:p>
        </w:tc>
        <w:tc>
          <w:p>
            <w:pPr>
              <w:pStyle w:val="Compact"/>
              <w:jc w:val="left"/>
            </w:pPr>
            <w:r>
              <w:t xml:space="preserve">Anticipating future escape mutations</w:t>
            </w:r>
          </w:p>
        </w:tc>
      </w:tr>
      <w:tr>
        <w:tc>
          <w:p>
            <w:pPr>
              <w:pStyle w:val="Compact"/>
              <w:jc w:val="left"/>
            </w:pPr>
            <w:r>
              <w:t xml:space="preserve">mRNA platform refinement</w:t>
            </w:r>
          </w:p>
        </w:tc>
        <w:tc>
          <w:p>
            <w:pPr>
              <w:pStyle w:val="Compact"/>
              <w:jc w:val="left"/>
            </w:pPr>
            <w:r>
              <w:t xml:space="preserve">Reducing reactogenicity while maintaining efficacy</w:t>
            </w:r>
          </w:p>
        </w:tc>
      </w:tr>
    </w:tbl>
    <w:p>
      <w:pPr>
        <w:pStyle w:val="Heading2"/>
      </w:pPr>
      <w:bookmarkStart w:id="85" w:name="integration-into-routine-immunization"/>
      <w:r>
        <w:t xml:space="preserve">Integration into Routine Immunization</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Development</w:t>
            </w:r>
          </w:p>
        </w:tc>
        <w:tc>
          <w:tcPr>
            <w:tcBorders>
              <w:bottom w:val="single"/>
            </w:tcBorders>
            <w:vAlign w:val="bottom"/>
          </w:tcPr>
          <w:p>
            <w:pPr>
              <w:pStyle w:val="Compact"/>
              <w:jc w:val="left"/>
            </w:pPr>
            <w:r>
              <w:t xml:space="preserve">Timeline</w:t>
            </w:r>
          </w:p>
        </w:tc>
      </w:tr>
      <w:tr>
        <w:tc>
          <w:p>
            <w:pPr>
              <w:pStyle w:val="Compact"/>
              <w:jc w:val="left"/>
            </w:pPr>
            <w:r>
              <w:t xml:space="preserve">Annual COVID-19 vaccines</w:t>
            </w:r>
          </w:p>
        </w:tc>
        <w:tc>
          <w:p>
            <w:pPr>
              <w:pStyle w:val="Compact"/>
              <w:jc w:val="left"/>
            </w:pPr>
            <w:r>
              <w:t xml:space="preserve">Similar to influenza strategy</w:t>
            </w:r>
          </w:p>
        </w:tc>
      </w:tr>
      <w:tr>
        <w:tc>
          <w:p>
            <w:pPr>
              <w:pStyle w:val="Compact"/>
              <w:jc w:val="left"/>
            </w:pPr>
            <w:r>
              <w:t xml:space="preserve">Combined respiratory vaccines</w:t>
            </w:r>
          </w:p>
        </w:tc>
        <w:tc>
          <w:p>
            <w:pPr>
              <w:pStyle w:val="Compact"/>
              <w:jc w:val="left"/>
            </w:pPr>
            <w:r>
              <w:t xml:space="preserve">COVID-19 + influenza combinations</w:t>
            </w:r>
          </w:p>
        </w:tc>
      </w:tr>
      <w:tr>
        <w:tc>
          <w:p>
            <w:pPr>
              <w:pStyle w:val="Compact"/>
              <w:jc w:val="left"/>
            </w:pPr>
            <w:r>
              <w:t xml:space="preserve">Risk-based boosting</w:t>
            </w:r>
          </w:p>
        </w:tc>
        <w:tc>
          <w:p>
            <w:pPr>
              <w:pStyle w:val="Compact"/>
              <w:jc w:val="left"/>
            </w:pPr>
            <w:r>
              <w:t xml:space="preserve">Targeted recommendations by age/risk</w:t>
            </w:r>
          </w:p>
        </w:tc>
      </w:tr>
      <w:tr>
        <w:tc>
          <w:p>
            <w:pPr>
              <w:pStyle w:val="Compact"/>
              <w:jc w:val="left"/>
            </w:pPr>
            <w:r>
              <w:t xml:space="preserve">Global access expansion</w:t>
            </w:r>
          </w:p>
        </w:tc>
        <w:tc>
          <w:p>
            <w:pPr>
              <w:pStyle w:val="Compact"/>
              <w:jc w:val="left"/>
            </w:pPr>
            <w:r>
              <w:t xml:space="preserve">Addressing distribution inequities</w:t>
            </w:r>
          </w:p>
        </w:tc>
      </w:tr>
    </w:tbl>
    <w:p>
      <w:pPr>
        <w:pStyle w:val="Heading1"/>
      </w:pPr>
      <w:bookmarkStart w:id="86" w:name="case-studies"/>
      <w:r>
        <w:t xml:space="preserve">Case Studies</w:t>
      </w:r>
      <w:bookmarkEnd w:id="86"/>
    </w:p>
    <w:p>
      <w:pPr>
        <w:pStyle w:val="Heading2"/>
      </w:pPr>
      <w:bookmarkStart w:id="87" w:name="X9ca8887a2bb70039c9870fba4fb693f2ebecc9d"/>
      <w:r>
        <w:t xml:space="preserve">Case Study 1: Myocarditis in Young Males After mRNA Vaccination</w:t>
      </w:r>
      <w:bookmarkEnd w:id="87"/>
    </w:p>
    <w:p>
      <w:pPr>
        <w:pStyle w:val="Heading3"/>
      </w:pPr>
      <w:bookmarkStart w:id="88" w:name="background"/>
      <w:r>
        <w:t xml:space="preserve">Background</w:t>
      </w:r>
      <w:bookmarkEnd w:id="88"/>
    </w:p>
    <w:p>
      <w:pPr>
        <w:pStyle w:val="FirstParagraph"/>
      </w:pPr>
      <w:r>
        <w:t xml:space="preserve">In 2021, increased reports of myocarditis and pericarditis emerged among young males following mRNA vaccination, particularly after the second dose.</w:t>
      </w:r>
    </w:p>
    <w:p>
      <w:pPr>
        <w:pStyle w:val="Heading3"/>
      </w:pPr>
      <w:bookmarkStart w:id="89" w:name="data"/>
      <w:r>
        <w:t xml:space="preserve">Data</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Finding</w:t>
            </w:r>
          </w:p>
        </w:tc>
      </w:tr>
      <w:tr>
        <w:tc>
          <w:p>
            <w:pPr>
              <w:pStyle w:val="Compact"/>
              <w:jc w:val="left"/>
            </w:pPr>
            <w:r>
              <w:t xml:space="preserve">Incidence</w:t>
            </w:r>
          </w:p>
        </w:tc>
        <w:tc>
          <w:p>
            <w:pPr>
              <w:pStyle w:val="Compact"/>
              <w:jc w:val="left"/>
            </w:pPr>
            <w:r>
              <w:t xml:space="preserve">12-40 cases per million doses</w:t>
            </w:r>
          </w:p>
        </w:tc>
      </w:tr>
      <w:tr>
        <w:tc>
          <w:p>
            <w:pPr>
              <w:pStyle w:val="Compact"/>
              <w:jc w:val="left"/>
            </w:pPr>
            <w:r>
              <w:t xml:space="preserve">Presentation</w:t>
            </w:r>
          </w:p>
        </w:tc>
        <w:tc>
          <w:p>
            <w:pPr>
              <w:pStyle w:val="Compact"/>
              <w:jc w:val="left"/>
            </w:pPr>
            <w:r>
              <w:t xml:space="preserve">Chest pain, elevated cardiac enzymes</w:t>
            </w:r>
          </w:p>
        </w:tc>
      </w:tr>
      <w:tr>
        <w:tc>
          <w:p>
            <w:pPr>
              <w:pStyle w:val="Compact"/>
              <w:jc w:val="left"/>
            </w:pPr>
            <w:r>
              <w:t xml:space="preserve">Treatment</w:t>
            </w:r>
          </w:p>
        </w:tc>
        <w:tc>
          <w:p>
            <w:pPr>
              <w:pStyle w:val="Compact"/>
              <w:jc w:val="left"/>
            </w:pPr>
            <w:r>
              <w:t xml:space="preserve">Conservative (NSAIDs, rest)</w:t>
            </w:r>
          </w:p>
        </w:tc>
      </w:tr>
      <w:tr>
        <w:tc>
          <w:p>
            <w:pPr>
              <w:pStyle w:val="Compact"/>
              <w:jc w:val="left"/>
            </w:pPr>
            <w:r>
              <w:t xml:space="preserve">Outcome</w:t>
            </w:r>
          </w:p>
        </w:tc>
        <w:tc>
          <w:p>
            <w:pPr>
              <w:pStyle w:val="Compact"/>
              <w:jc w:val="left"/>
            </w:pPr>
            <w:r>
              <w:t xml:space="preserve">Most cases mild, resolved with treatment</w:t>
            </w:r>
          </w:p>
        </w:tc>
      </w:tr>
      <w:tr>
        <w:tc>
          <w:p>
            <w:pPr>
              <w:pStyle w:val="Compact"/>
              <w:jc w:val="left"/>
            </w:pPr>
            <w:r>
              <w:t xml:space="preserve">Comparison</w:t>
            </w:r>
          </w:p>
        </w:tc>
        <w:tc>
          <w:p>
            <w:pPr>
              <w:pStyle w:val="Compact"/>
              <w:jc w:val="left"/>
            </w:pPr>
            <w:r>
              <w:t xml:space="preserve">COVID-19 infection myocarditis risk significantly higher</w:t>
            </w:r>
          </w:p>
        </w:tc>
      </w:tr>
    </w:tbl>
    <w:p>
      <w:pPr>
        <w:pStyle w:val="Heading3"/>
      </w:pPr>
      <w:bookmarkStart w:id="90" w:name="lessons-learned"/>
      <w:r>
        <w:t xml:space="preserve">Lessons Learned</w:t>
      </w:r>
      <w:bookmarkEnd w:id="90"/>
    </w:p>
    <w:p>
      <w:pPr>
        <w:numPr>
          <w:ilvl w:val="0"/>
          <w:numId w:val="1010"/>
        </w:numPr>
        <w:pStyle w:val="Compact"/>
      </w:pPr>
      <w:r>
        <w:t xml:space="preserve">Robust surveillance enabled rapid identification</w:t>
      </w:r>
    </w:p>
    <w:p>
      <w:pPr>
        <w:numPr>
          <w:ilvl w:val="0"/>
          <w:numId w:val="1010"/>
        </w:numPr>
        <w:pStyle w:val="Compact"/>
      </w:pPr>
      <w:r>
        <w:t xml:space="preserve">Transparent communication maintained public confidence</w:t>
      </w:r>
    </w:p>
    <w:p>
      <w:pPr>
        <w:numPr>
          <w:ilvl w:val="0"/>
          <w:numId w:val="1010"/>
        </w:numPr>
        <w:pStyle w:val="Compact"/>
      </w:pPr>
      <w:r>
        <w:t xml:space="preserve">Risk-benefit analysis still favors vaccination</w:t>
      </w:r>
    </w:p>
    <w:p>
      <w:pPr>
        <w:numPr>
          <w:ilvl w:val="0"/>
          <w:numId w:val="1010"/>
        </w:numPr>
        <w:pStyle w:val="Compact"/>
      </w:pPr>
      <w:r>
        <w:t xml:space="preserve">Special attention warranted for young male population</w:t>
      </w:r>
    </w:p>
    <w:p>
      <w:pPr>
        <w:pStyle w:val="Heading2"/>
      </w:pPr>
      <w:bookmarkStart w:id="91" w:name="X8c476564306f2f28d673da3cc7d313a9c38788e"/>
      <w:r>
        <w:t xml:space="preserve">Case Study 2: Thrombosis with Thrombocytopenia Syndrome (TTS)</w:t>
      </w:r>
      <w:bookmarkEnd w:id="91"/>
    </w:p>
    <w:p>
      <w:pPr>
        <w:pStyle w:val="Heading3"/>
      </w:pPr>
      <w:bookmarkStart w:id="92" w:name="background-1"/>
      <w:r>
        <w:t xml:space="preserve">Background</w:t>
      </w:r>
      <w:bookmarkEnd w:id="92"/>
    </w:p>
    <w:p>
      <w:pPr>
        <w:pStyle w:val="FirstParagraph"/>
      </w:pPr>
      <w:r>
        <w:t xml:space="preserve">In early 2021, unusual blood clots with low platelets were reported following AstraZeneca and Johnson &amp; Johnson vaccines.</w:t>
      </w:r>
    </w:p>
    <w:p>
      <w:pPr>
        <w:pStyle w:val="Heading3"/>
      </w:pPr>
      <w:bookmarkStart w:id="93" w:name="response"/>
      <w:r>
        <w:t xml:space="preserve">Response</w:t>
      </w:r>
      <w:bookmarkEnd w:id="93"/>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Outcome</w:t>
            </w:r>
          </w:p>
        </w:tc>
      </w:tr>
      <w:tr>
        <w:tc>
          <w:p>
            <w:pPr>
              <w:pStyle w:val="Compact"/>
              <w:jc w:val="left"/>
            </w:pPr>
            <w:r>
              <w:t xml:space="preserve">Rapid investigation by regulatory agencies</w:t>
            </w:r>
          </w:p>
        </w:tc>
        <w:tc>
          <w:p>
            <w:pPr>
              <w:pStyle w:val="Compact"/>
              <w:jc w:val="left"/>
            </w:pPr>
            <w:r>
              <w:t xml:space="preserve">Causal link confirmed</w:t>
            </w:r>
          </w:p>
        </w:tc>
      </w:tr>
      <w:tr>
        <w:tc>
          <w:p>
            <w:pPr>
              <w:pStyle w:val="Compact"/>
              <w:jc w:val="left"/>
            </w:pPr>
            <w:r>
              <w:t xml:space="preserve">Mechanism identified</w:t>
            </w:r>
          </w:p>
        </w:tc>
        <w:tc>
          <w:p>
            <w:pPr>
              <w:pStyle w:val="Compact"/>
              <w:jc w:val="left"/>
            </w:pPr>
            <w:r>
              <w:t xml:space="preserve">PF4 autoantibodies</w:t>
            </w:r>
          </w:p>
        </w:tc>
      </w:tr>
      <w:tr>
        <w:tc>
          <w:p>
            <w:pPr>
              <w:pStyle w:val="Compact"/>
              <w:jc w:val="left"/>
            </w:pPr>
            <w:r>
              <w:t xml:space="preserve">Recommendations updated</w:t>
            </w:r>
          </w:p>
        </w:tc>
        <w:tc>
          <w:p>
            <w:pPr>
              <w:pStyle w:val="Compact"/>
              <w:jc w:val="left"/>
            </w:pPr>
            <w:r>
              <w:t xml:space="preserve">Alternative vaccines prioritized for at-risk groups</w:t>
            </w:r>
          </w:p>
        </w:tc>
      </w:tr>
      <w:tr>
        <w:tc>
          <w:p>
            <w:pPr>
              <w:pStyle w:val="Compact"/>
              <w:jc w:val="left"/>
            </w:pPr>
            <w:r>
              <w:t xml:space="preserve">Risk assessment</w:t>
            </w:r>
          </w:p>
        </w:tc>
        <w:tc>
          <w:p>
            <w:pPr>
              <w:pStyle w:val="Compact"/>
              <w:jc w:val="left"/>
            </w:pPr>
            <w:r>
              <w:t xml:space="preserve">Overall risk remained extremely low</w:t>
            </w:r>
          </w:p>
        </w:tc>
      </w:tr>
    </w:tbl>
    <w:p>
      <w:pPr>
        <w:pStyle w:val="Heading3"/>
      </w:pPr>
      <w:bookmarkStart w:id="94" w:name="lessons-learned-1"/>
      <w:r>
        <w:t xml:space="preserve">Lessons Learned</w:t>
      </w:r>
      <w:bookmarkEnd w:id="94"/>
    </w:p>
    <w:p>
      <w:pPr>
        <w:numPr>
          <w:ilvl w:val="0"/>
          <w:numId w:val="1011"/>
        </w:numPr>
        <w:pStyle w:val="Compact"/>
      </w:pPr>
      <w:r>
        <w:t xml:space="preserve">Adaptive regulatory responses optimize safety</w:t>
      </w:r>
    </w:p>
    <w:p>
      <w:pPr>
        <w:numPr>
          <w:ilvl w:val="0"/>
          <w:numId w:val="1011"/>
        </w:numPr>
        <w:pStyle w:val="Compact"/>
      </w:pPr>
      <w:r>
        <w:t xml:space="preserve">Risk stratification enables personalized recommendations</w:t>
      </w:r>
    </w:p>
    <w:p>
      <w:pPr>
        <w:numPr>
          <w:ilvl w:val="0"/>
          <w:numId w:val="1011"/>
        </w:numPr>
        <w:pStyle w:val="Compact"/>
      </w:pPr>
      <w:r>
        <w:t xml:space="preserve">Benefits of vaccination far outweigh risks</w:t>
      </w:r>
    </w:p>
    <w:p>
      <w:pPr>
        <w:numPr>
          <w:ilvl w:val="0"/>
          <w:numId w:val="1011"/>
        </w:numPr>
        <w:pStyle w:val="Compact"/>
      </w:pPr>
      <w:r>
        <w:t xml:space="preserve">Continuous monitoring essential for rare events</w:t>
      </w:r>
    </w:p>
    <w:p>
      <w:pPr>
        <w:pStyle w:val="Heading2"/>
      </w:pPr>
      <w:bookmarkStart w:id="95" w:name="Xe37d9754d84aac0701f088cbadebf208cd4b1a8"/>
      <w:r>
        <w:t xml:space="preserve">Case Study 3: Long-Term Safety in Pregnant Women</w:t>
      </w:r>
      <w:bookmarkEnd w:id="95"/>
    </w:p>
    <w:p>
      <w:pPr>
        <w:pStyle w:val="Heading3"/>
      </w:pPr>
      <w:bookmarkStart w:id="96" w:name="background-2"/>
      <w:r>
        <w:t xml:space="preserve">Background</w:t>
      </w:r>
      <w:bookmarkEnd w:id="96"/>
    </w:p>
    <w:p>
      <w:pPr>
        <w:pStyle w:val="FirstParagraph"/>
      </w:pPr>
      <w:r>
        <w:t xml:space="preserve">Initial exclusion of pregnant women from clinical trials created uncertainty about vaccine safety in pregnancy.</w:t>
      </w:r>
    </w:p>
    <w:p>
      <w:pPr>
        <w:pStyle w:val="Heading3"/>
      </w:pPr>
      <w:bookmarkStart w:id="97" w:name="subsequent-evidence"/>
      <w:r>
        <w:t xml:space="preserve">Subsequent Evidence</w:t>
      </w:r>
      <w:bookmarkEnd w:id="97"/>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left"/>
            </w:pPr>
            <w:r>
              <w:t xml:space="preserve">Study Type</w:t>
            </w:r>
          </w:p>
        </w:tc>
        <w:tc>
          <w:tcPr>
            <w:tcBorders>
              <w:bottom w:val="single"/>
            </w:tcBorders>
            <w:vAlign w:val="bottom"/>
          </w:tcPr>
          <w:p>
            <w:pPr>
              <w:pStyle w:val="Compact"/>
              <w:jc w:val="left"/>
            </w:pPr>
            <w:r>
              <w:t xml:space="preserve">Finding</w:t>
            </w:r>
          </w:p>
        </w:tc>
      </w:tr>
      <w:tr>
        <w:tc>
          <w:p>
            <w:pPr>
              <w:pStyle w:val="Compact"/>
              <w:jc w:val="left"/>
            </w:pPr>
            <w:r>
              <w:t xml:space="preserve">Observational studies (&gt;100,000 women)</w:t>
            </w:r>
          </w:p>
        </w:tc>
        <w:tc>
          <w:p>
            <w:pPr>
              <w:pStyle w:val="Compact"/>
              <w:jc w:val="left"/>
            </w:pPr>
            <w:r>
              <w:t xml:space="preserve">No increased adverse pregnancy outcomes</w:t>
            </w:r>
          </w:p>
        </w:tc>
      </w:tr>
      <w:tr>
        <w:tc>
          <w:p>
            <w:pPr>
              <w:pStyle w:val="Compact"/>
              <w:jc w:val="left"/>
            </w:pPr>
            <w:r>
              <w:t xml:space="preserve">Miscarriage rates</w:t>
            </w:r>
          </w:p>
        </w:tc>
        <w:tc>
          <w:p>
            <w:pPr>
              <w:pStyle w:val="Compact"/>
              <w:jc w:val="left"/>
            </w:pPr>
            <w:r>
              <w:t xml:space="preserve">Similar to background rates</w:t>
            </w:r>
          </w:p>
        </w:tc>
      </w:tr>
      <w:tr>
        <w:tc>
          <w:p>
            <w:pPr>
              <w:pStyle w:val="Compact"/>
              <w:jc w:val="left"/>
            </w:pPr>
            <w:r>
              <w:t xml:space="preserve">Preterm birth</w:t>
            </w:r>
          </w:p>
        </w:tc>
        <w:tc>
          <w:p>
            <w:pPr>
              <w:pStyle w:val="Compact"/>
              <w:jc w:val="left"/>
            </w:pPr>
            <w:r>
              <w:t xml:space="preserve">No increase</w:t>
            </w:r>
          </w:p>
        </w:tc>
      </w:tr>
      <w:tr>
        <w:tc>
          <w:p>
            <w:pPr>
              <w:pStyle w:val="Compact"/>
              <w:jc w:val="left"/>
            </w:pPr>
            <w:r>
              <w:t xml:space="preserve">Congenital anomalies</w:t>
            </w:r>
          </w:p>
        </w:tc>
        <w:tc>
          <w:p>
            <w:pPr>
              <w:pStyle w:val="Compact"/>
              <w:jc w:val="left"/>
            </w:pPr>
            <w:r>
              <w:t xml:space="preserve">No increase</w:t>
            </w:r>
          </w:p>
        </w:tc>
      </w:tr>
      <w:tr>
        <w:tc>
          <w:p>
            <w:pPr>
              <w:pStyle w:val="Compact"/>
              <w:jc w:val="left"/>
            </w:pPr>
            <w:r>
              <w:t xml:space="preserve">Neonatal protection</w:t>
            </w:r>
          </w:p>
        </w:tc>
        <w:tc>
          <w:p>
            <w:pPr>
              <w:pStyle w:val="Compact"/>
              <w:jc w:val="left"/>
            </w:pPr>
            <w:r>
              <w:t xml:space="preserve">Antibodies transferred via placenta</w:t>
            </w:r>
          </w:p>
        </w:tc>
      </w:tr>
    </w:tbl>
    <w:p>
      <w:pPr>
        <w:pStyle w:val="Heading3"/>
      </w:pPr>
      <w:bookmarkStart w:id="98" w:name="lessons-learned-2"/>
      <w:r>
        <w:t xml:space="preserve">Lessons Learned</w:t>
      </w:r>
      <w:bookmarkEnd w:id="98"/>
    </w:p>
    <w:p>
      <w:pPr>
        <w:numPr>
          <w:ilvl w:val="0"/>
          <w:numId w:val="1012"/>
        </w:numPr>
        <w:pStyle w:val="Compact"/>
      </w:pPr>
      <w:r>
        <w:t xml:space="preserve">Real-world data collection essential for special populations</w:t>
      </w:r>
    </w:p>
    <w:p>
      <w:pPr>
        <w:numPr>
          <w:ilvl w:val="0"/>
          <w:numId w:val="1012"/>
        </w:numPr>
        <w:pStyle w:val="Compact"/>
      </w:pPr>
      <w:r>
        <w:t xml:space="preserve">Post-marketing surveillance addresses initial knowledge gaps</w:t>
      </w:r>
    </w:p>
    <w:p>
      <w:pPr>
        <w:numPr>
          <w:ilvl w:val="0"/>
          <w:numId w:val="1012"/>
        </w:numPr>
        <w:pStyle w:val="Compact"/>
      </w:pPr>
      <w:r>
        <w:t xml:space="preserve">Pregnancy should not be barrier to vaccination</w:t>
      </w:r>
    </w:p>
    <w:p>
      <w:pPr>
        <w:numPr>
          <w:ilvl w:val="0"/>
          <w:numId w:val="1012"/>
        </w:numPr>
        <w:pStyle w:val="Compact"/>
      </w:pPr>
      <w:r>
        <w:t xml:space="preserve">Benefits extend to newborns through passive immunity</w:t>
      </w:r>
    </w:p>
    <w:p>
      <w:pPr>
        <w:pStyle w:val="Heading1"/>
      </w:pPr>
      <w:bookmarkStart w:id="99" w:name="conclusion"/>
      <w:r>
        <w:t xml:space="preserve">Conclusion</w:t>
      </w:r>
      <w:bookmarkEnd w:id="99"/>
    </w:p>
    <w:p>
      <w:pPr>
        <w:pStyle w:val="Heading2"/>
      </w:pPr>
      <w:bookmarkStart w:id="100" w:name="synthesis-of-key-findings"/>
      <w:r>
        <w:t xml:space="preserve">Synthesis of Key Findings</w:t>
      </w:r>
      <w:bookmarkEnd w:id="100"/>
    </w:p>
    <w:p>
      <w:pPr>
        <w:pStyle w:val="FirstParagraph"/>
      </w:pPr>
      <w:r>
        <w:t xml:space="preserve">The long-term effects of COVID-19 vaccines on the human body have been the subject of intense scientific scrutiny and public interest. Based on extensive research and real-world evidence: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Evidence Level</w:t>
            </w:r>
          </w:p>
        </w:tc>
      </w:tr>
      <w:tr>
        <w:tc>
          <w:p>
            <w:pPr>
              <w:pStyle w:val="Compact"/>
              <w:jc w:val="left"/>
            </w:pPr>
            <w:r>
              <w:t xml:space="preserve">Vaccines are highly effective against severe disease</w:t>
            </w:r>
          </w:p>
        </w:tc>
        <w:tc>
          <w:p>
            <w:pPr>
              <w:pStyle w:val="Compact"/>
              <w:jc w:val="left"/>
            </w:pPr>
            <w:r>
              <w:t xml:space="preserve">Strong</w:t>
            </w:r>
          </w:p>
        </w:tc>
      </w:tr>
      <w:tr>
        <w:tc>
          <w:p>
            <w:pPr>
              <w:pStyle w:val="Compact"/>
              <w:jc w:val="left"/>
            </w:pPr>
            <w:r>
              <w:t xml:space="preserve">Serious adverse events are rare</w:t>
            </w:r>
          </w:p>
        </w:tc>
        <w:tc>
          <w:p>
            <w:pPr>
              <w:pStyle w:val="Compact"/>
              <w:jc w:val="left"/>
            </w:pPr>
            <w:r>
              <w:t xml:space="preserve">Strong</w:t>
            </w:r>
          </w:p>
        </w:tc>
      </w:tr>
      <w:tr>
        <w:tc>
          <w:p>
            <w:pPr>
              <w:pStyle w:val="Compact"/>
              <w:jc w:val="left"/>
            </w:pPr>
            <w:r>
              <w:t xml:space="preserve">Benefits outweigh risks across populations</w:t>
            </w:r>
          </w:p>
        </w:tc>
        <w:tc>
          <w:p>
            <w:pPr>
              <w:pStyle w:val="Compact"/>
              <w:jc w:val="left"/>
            </w:pPr>
            <w:r>
              <w:t xml:space="preserve">Strong</w:t>
            </w:r>
          </w:p>
        </w:tc>
      </w:tr>
      <w:tr>
        <w:tc>
          <w:p>
            <w:pPr>
              <w:pStyle w:val="Compact"/>
              <w:jc w:val="left"/>
            </w:pPr>
            <w:r>
              <w:t xml:space="preserve">No widespread long-term safety signals</w:t>
            </w:r>
          </w:p>
        </w:tc>
        <w:tc>
          <w:p>
            <w:pPr>
              <w:pStyle w:val="Compact"/>
              <w:jc w:val="left"/>
            </w:pPr>
            <w:r>
              <w:t xml:space="preserve">Strong</w:t>
            </w:r>
          </w:p>
        </w:tc>
      </w:tr>
      <w:tr>
        <w:tc>
          <w:p>
            <w:pPr>
              <w:pStyle w:val="Compact"/>
              <w:jc w:val="left"/>
            </w:pPr>
            <w:r>
              <w:t xml:space="preserve">Waning immunity requires boosters</w:t>
            </w:r>
          </w:p>
        </w:tc>
        <w:tc>
          <w:p>
            <w:pPr>
              <w:pStyle w:val="Compact"/>
              <w:jc w:val="left"/>
            </w:pPr>
            <w:r>
              <w:t xml:space="preserve">Strong</w:t>
            </w:r>
          </w:p>
        </w:tc>
      </w:tr>
      <w:tr>
        <w:tc>
          <w:p>
            <w:pPr>
              <w:pStyle w:val="Compact"/>
              <w:jc w:val="left"/>
            </w:pPr>
            <w:r>
              <w:t xml:space="preserve">Some rare conditions require continued monitoring</w:t>
            </w:r>
          </w:p>
        </w:tc>
        <w:tc>
          <w:p>
            <w:pPr>
              <w:pStyle w:val="Compact"/>
              <w:jc w:val="left"/>
            </w:pPr>
            <w:r>
              <w:t xml:space="preserve">Moderate</w:t>
            </w:r>
          </w:p>
        </w:tc>
      </w:tr>
    </w:tbl>
    <w:p>
      <w:pPr>
        <w:pStyle w:val="Heading2"/>
      </w:pPr>
      <w:bookmarkStart w:id="101" w:name="implications-for-stakeholders"/>
      <w:r>
        <w:t xml:space="preserve">Implications for Stakeholders</w:t>
      </w:r>
      <w:bookmarkEnd w:id="101"/>
    </w:p>
    <w:tbl>
      <w:tblPr>
        <w:tblStyle w:val="Table"/>
        <w:tblW w:type="pct" w:w="5000.0"/>
        <w:tblLook w:firstRow="1"/>
      </w:tblPr>
      <w:tblGrid>
        <w:gridCol w:w="3813"/>
        <w:gridCol w:w="4106"/>
      </w:tblGrid>
      <w:tr>
        <w:trPr>
          <w:cnfStyle w:firstRow="1"/>
        </w:trPr>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Key Takeaway</w:t>
            </w:r>
          </w:p>
        </w:tc>
      </w:tr>
      <w:tr>
        <w:tc>
          <w:p>
            <w:pPr>
              <w:pStyle w:val="Compact"/>
              <w:jc w:val="left"/>
            </w:pPr>
            <w:r>
              <w:t xml:space="preserve">Individuals</w:t>
            </w:r>
          </w:p>
        </w:tc>
        <w:tc>
          <w:p>
            <w:pPr>
              <w:pStyle w:val="Compact"/>
              <w:jc w:val="left"/>
            </w:pPr>
            <w:r>
              <w:t xml:space="preserve">Vaccination remains the safest approach to COVID-19 protection</w:t>
            </w:r>
          </w:p>
        </w:tc>
      </w:tr>
      <w:tr>
        <w:tc>
          <w:p>
            <w:pPr>
              <w:pStyle w:val="Compact"/>
              <w:jc w:val="left"/>
            </w:pPr>
            <w:r>
              <w:t xml:space="preserve">Healthcare providers</w:t>
            </w:r>
          </w:p>
        </w:tc>
        <w:tc>
          <w:p>
            <w:pPr>
              <w:pStyle w:val="Compact"/>
              <w:jc w:val="left"/>
            </w:pPr>
            <w:r>
              <w:t xml:space="preserve">Continue recommending vaccination while monitoring for rare adverse events</w:t>
            </w:r>
          </w:p>
        </w:tc>
      </w:tr>
      <w:tr>
        <w:tc>
          <w:p>
            <w:pPr>
              <w:pStyle w:val="Compact"/>
              <w:jc w:val="left"/>
            </w:pPr>
            <w:r>
              <w:t xml:space="preserve">Policymakers</w:t>
            </w:r>
          </w:p>
        </w:tc>
        <w:tc>
          <w:p>
            <w:pPr>
              <w:pStyle w:val="Compact"/>
              <w:jc w:val="left"/>
            </w:pPr>
            <w:r>
              <w:t xml:space="preserve">Maintain surveillance systems and transparent communication</w:t>
            </w:r>
          </w:p>
        </w:tc>
      </w:tr>
      <w:tr>
        <w:tc>
          <w:p>
            <w:pPr>
              <w:pStyle w:val="Compact"/>
              <w:jc w:val="left"/>
            </w:pPr>
            <w:r>
              <w:t xml:space="preserve">Researchers</w:t>
            </w:r>
          </w:p>
        </w:tc>
        <w:tc>
          <w:p>
            <w:pPr>
              <w:pStyle w:val="Compact"/>
              <w:jc w:val="left"/>
            </w:pPr>
            <w:r>
              <w:t xml:space="preserve">Focus on long-term monitoring, PVS mechanisms, and next-gen vaccines</w:t>
            </w:r>
          </w:p>
        </w:tc>
      </w:tr>
    </w:tbl>
    <w:p>
      <w:pPr>
        <w:pStyle w:val="Heading2"/>
      </w:pPr>
      <w:bookmarkStart w:id="102" w:name="final-assessment"/>
      <w:r>
        <w:t xml:space="preserve">Final Assessment</w:t>
      </w:r>
      <w:bookmarkEnd w:id="102"/>
    </w:p>
    <w:p>
      <w:pPr>
        <w:pStyle w:val="FirstParagraph"/>
      </w:pPr>
      <w:r>
        <w:t xml:space="preserve">While COVID-19 vaccines have been instrumental in controlling the pandemic, they are associated with a spectrum of rare, long-term effects ranging from transient menstrual changes to serious cardiovascular and neurological conditions. The emergence of Post-Vaccination Syndrome as a distinct neuro-immune entity warrants urgent research. The future of COVID-19 prophylaxis lies in next-generation mucosal and pan-coronavirus vaccines, which aim to decouple protection from the risks associated with current systemic mRNA and viral vector platforms.</w:t>
      </w:r>
    </w:p>
    <w:p>
      <w:pPr>
        <w:pStyle w:val="BodyText"/>
      </w:pPr>
      <w:r>
        <w:t xml:space="preserve">For individuals and communities, staying informed and adhering to expert recommendations remain the best strategies for safeguarding health.</w:t>
      </w:r>
    </w:p>
    <w:p>
      <w:pPr>
        <w:pStyle w:val="Heading1"/>
      </w:pPr>
      <w:bookmarkStart w:id="103" w:name="deep-research-findings"/>
      <w:r>
        <w:t xml:space="preserve">Deep Research Findings</w:t>
      </w:r>
      <w:bookmarkEnd w:id="103"/>
    </w:p>
    <w:p>
      <w:pPr>
        <w:pStyle w:val="FirstParagraph"/>
      </w:pPr>
      <w:r>
        <w:t xml:space="preserve">The following section contains the complete deep research findings conducted for this documentation project, presented verbatim:</w:t>
      </w:r>
    </w:p>
    <w:p>
      <w:pPr>
        <w:pStyle w:val="Heading2"/>
      </w:pPr>
      <w:bookmarkStart w:id="104" w:name="X0a978083f888ee6def2a8efd3eadc91bb041949"/>
      <w:r>
        <w:t xml:space="preserve">Project Name: COVID – Long-term Effects of COVID-19 Vaccines on the Human Body</w:t>
      </w:r>
      <w:bookmarkEnd w:id="104"/>
    </w:p>
    <w:p>
      <w:pPr>
        <w:pStyle w:val="Heading2"/>
      </w:pPr>
      <w:bookmarkStart w:id="105" w:name="key-points"/>
      <w:r>
        <w:t xml:space="preserve">Key Points</w:t>
      </w:r>
      <w:bookmarkEnd w:id="105"/>
    </w:p>
    <w:p>
      <w:pPr>
        <w:numPr>
          <w:ilvl w:val="0"/>
          <w:numId w:val="1013"/>
        </w:numPr>
        <w:pStyle w:val="Compact"/>
      </w:pPr>
      <w:r>
        <w:rPr>
          <w:b/>
        </w:rPr>
        <w:t xml:space="preserve">Safety Profile &amp; Risk-Benefit:</w:t>
      </w:r>
      <w:r>
        <w:t xml:space="preserve"> </w:t>
      </w:r>
      <w:r>
        <w:t xml:space="preserve">Extensive global surveillance confirms that COVID-19 vaccines are generally safe and effective against severe disease. However, rare but serious adverse events have been documented, including myocarditis (mRNA vaccines), thrombosis with thrombocytopenia syndrome (viral vector vaccines), and neurological conditions like Guillain-Barré Syndrome.</w:t>
      </w:r>
    </w:p>
    <w:p>
      <w:pPr>
        <w:numPr>
          <w:ilvl w:val="0"/>
          <w:numId w:val="1013"/>
        </w:numPr>
        <w:pStyle w:val="Compact"/>
      </w:pPr>
      <w:r>
        <w:rPr>
          <w:b/>
        </w:rPr>
        <w:t xml:space="preserve">Emerging Syndromes:</w:t>
      </w:r>
      <w:r>
        <w:t xml:space="preserve"> </w:t>
      </w:r>
      <w:r>
        <w:t xml:space="preserve">A subset of individuals reports a chronic, debilitating condition often termed</w:t>
      </w:r>
      <w:r>
        <w:t xml:space="preserve"> </w:t>
      </w:r>
      <w:r>
        <w:t xml:space="preserve">“</w:t>
      </w:r>
      <w:r>
        <w:t xml:space="preserve">Post-Vaccination Syndrome</w:t>
      </w:r>
      <w:r>
        <w:t xml:space="preserve">”</w:t>
      </w:r>
      <w:r>
        <w:t xml:space="preserve"> </w:t>
      </w:r>
      <w:r>
        <w:t xml:space="preserve">(PVS). Recent research, notably from Yale University, has identified distinct immune signatures in these patients, including lower CD4+ T cell counts, elevated cytokine-producing CD8+ T cells, and persistent circulating spike protein, distinguishing PVS from Long COVID and healthy controls.</w:t>
      </w:r>
    </w:p>
    <w:p>
      <w:pPr>
        <w:numPr>
          <w:ilvl w:val="0"/>
          <w:numId w:val="1013"/>
        </w:numPr>
        <w:pStyle w:val="Compact"/>
      </w:pPr>
      <w:r>
        <w:rPr>
          <w:b/>
        </w:rPr>
        <w:t xml:space="preserve">Cardiovascular Sequelae:</w:t>
      </w:r>
      <w:r>
        <w:t xml:space="preserve"> </w:t>
      </w:r>
      <w:r>
        <w:t xml:space="preserve">Myocarditis is a recognized risk, particularly in young males following the second mRNA dose. While acute recovery is typical, cardiac magnetic resonance (CMR) imaging has revealed late gadolinium enhancement (LGE) indicative of myocardial scarring in some patients, the long-term prognostic significance of which remains under investigation.</w:t>
      </w:r>
    </w:p>
    <w:p>
      <w:pPr>
        <w:numPr>
          <w:ilvl w:val="0"/>
          <w:numId w:val="1013"/>
        </w:numPr>
        <w:pStyle w:val="Compact"/>
      </w:pPr>
      <w:r>
        <w:rPr>
          <w:b/>
        </w:rPr>
        <w:t xml:space="preserve">Neurological &amp; Autoimmune Signals:</w:t>
      </w:r>
      <w:r>
        <w:t xml:space="preserve"> </w:t>
      </w:r>
      <w:r>
        <w:t xml:space="preserve">Case series have linked vaccination to small fiber neuropathy (SFN) and new-onset autoimmune conditions (e.g., autoimmune hepatitis, IgA nephropathy). Mechanisms such as molecular mimicry and adjuvant-induced immune activation are proposed but require further elucidation.</w:t>
      </w:r>
    </w:p>
    <w:p>
      <w:pPr>
        <w:numPr>
          <w:ilvl w:val="0"/>
          <w:numId w:val="1013"/>
        </w:numPr>
        <w:pStyle w:val="Compact"/>
      </w:pPr>
      <w:r>
        <w:rPr>
          <w:b/>
        </w:rPr>
        <w:t xml:space="preserve">Reproductive Health:</w:t>
      </w:r>
      <w:r>
        <w:t xml:space="preserve"> </w:t>
      </w:r>
      <w:r>
        <w:t xml:space="preserve">Systematic reviews indicate that menstrual disturbances (e.g., cycle length changes) are common but transient and non-alarming. There is no evidence of long-term fertility impairment in men or women.</w:t>
      </w:r>
    </w:p>
    <w:p>
      <w:pPr>
        <w:numPr>
          <w:ilvl w:val="0"/>
          <w:numId w:val="1013"/>
        </w:numPr>
        <w:pStyle w:val="Compact"/>
      </w:pPr>
      <w:r>
        <w:rPr>
          <w:b/>
        </w:rPr>
        <w:t xml:space="preserve">Next-Generation Architectures:</w:t>
      </w:r>
      <w:r>
        <w:t xml:space="preserve"> </w:t>
      </w:r>
      <w:r>
        <w:t xml:space="preserve">To address waning immunity and transmission, the field is pivoting toward mucosal vaccines (intranasal) to elicit IgA protection and pan-betacoronavirus vaccines (e.g., Mosaic-8, SpFN) targeting conserved viral epitopes to future-proof against emerging variants.</w:t>
      </w:r>
    </w:p>
    <w:p>
      <w:r>
        <w:pict>
          <v:rect style="width:0;height:1.5pt" o:hralign="center" o:hrstd="t" o:hr="t"/>
        </w:pict>
      </w:r>
    </w:p>
    <w:p>
      <w:pPr>
        <w:pStyle w:val="Heading2"/>
      </w:pPr>
      <w:bookmarkStart w:id="106" w:name="introduction"/>
      <w:r>
        <w:t xml:space="preserve">1. Introduction</w:t>
      </w:r>
      <w:bookmarkEnd w:id="106"/>
    </w:p>
    <w:p>
      <w:pPr>
        <w:pStyle w:val="FirstParagraph"/>
      </w:pPr>
      <w:r>
        <w:t xml:space="preserve">The global deployment of COVID-19 vaccines represents the largest mass vaccination campaign in history. As of late 2025, billions of doses have been administered, utilizing diverse platforms including mRNA (Pfizer-BioNTech, Moderna), viral vectors (AstraZeneca, Johnson &amp; Johnson), and protein subunits (Novavax). While these interventions have significantly reduced mortality and morbidity associated with SARS-CoV-2, the unprecedented scale of deployment has allowed for the detection of rare, delayed, and persistent adverse events that smaller clinical trials could not identify.</w:t>
      </w:r>
    </w:p>
    <w:p>
      <w:pPr>
        <w:pStyle w:val="BodyText"/>
      </w:pPr>
      <w:r>
        <w:t xml:space="preserve">This documentation provides a thorough architectural investigation into the long-term effects of these vaccines on the human body. It synthesizes data from large-scale epidemiological studies, mechanistic immunological research, and emerging clinical reports to construct a complete picture of the physiological impact of COVID-19 vaccination beyond the acute phase.</w:t>
      </w:r>
    </w:p>
    <w:p>
      <w:pPr>
        <w:pStyle w:val="Heading3"/>
      </w:pPr>
      <w:bookmarkStart w:id="107" w:name="scope-of-long-term-effects"/>
      <w:r>
        <w:t xml:space="preserve">1.1 Scope of</w:t>
      </w:r>
      <w:r>
        <w:t xml:space="preserve"> </w:t>
      </w:r>
      <w:r>
        <w:t xml:space="preserve">“</w:t>
      </w:r>
      <w:r>
        <w:t xml:space="preserve">Long-term Effects</w:t>
      </w:r>
      <w:r>
        <w:t xml:space="preserve">”</w:t>
      </w:r>
      <w:bookmarkEnd w:id="107"/>
    </w:p>
    <w:p>
      <w:pPr>
        <w:pStyle w:val="FirstParagraph"/>
      </w:pPr>
      <w:r>
        <w:t xml:space="preserve">In the context of this report,</w:t>
      </w:r>
      <w:r>
        <w:t xml:space="preserve"> </w:t>
      </w:r>
      <w:r>
        <w:t xml:space="preserve">“</w:t>
      </w:r>
      <w:r>
        <w:t xml:space="preserve">long-term effects</w:t>
      </w:r>
      <w:r>
        <w:t xml:space="preserve">”</w:t>
      </w:r>
      <w:r>
        <w:t xml:space="preserve"> </w:t>
      </w:r>
      <w:r>
        <w:t xml:space="preserve">encompasses:</w:t>
      </w:r>
      <w:r>
        <w:t xml:space="preserve"> </w:t>
      </w:r>
      <w:r>
        <w:t xml:space="preserve">1.</w:t>
      </w:r>
      <w:r>
        <w:t xml:space="preserve"> </w:t>
      </w:r>
      <w:r>
        <w:rPr>
          <w:b/>
        </w:rPr>
        <w:t xml:space="preserve">Delayed-onset events:</w:t>
      </w:r>
      <w:r>
        <w:t xml:space="preserve"> </w:t>
      </w:r>
      <w:r>
        <w:t xml:space="preserve">Adverse reactions occurring weeks to months post-vaccination.</w:t>
      </w:r>
      <w:r>
        <w:t xml:space="preserve"> </w:t>
      </w:r>
      <w:r>
        <w:t xml:space="preserve">2.</w:t>
      </w:r>
      <w:r>
        <w:t xml:space="preserve"> </w:t>
      </w:r>
      <w:r>
        <w:rPr>
          <w:b/>
        </w:rPr>
        <w:t xml:space="preserve">Persistent sequelae:</w:t>
      </w:r>
      <w:r>
        <w:t xml:space="preserve"> </w:t>
      </w:r>
      <w:r>
        <w:t xml:space="preserve">Acute adverse events (e.g., myocarditis) that result in permanent tissue damage or chronic dysfunction.</w:t>
      </w:r>
      <w:r>
        <w:t xml:space="preserve"> </w:t>
      </w:r>
      <w:r>
        <w:t xml:space="preserve">3.</w:t>
      </w:r>
      <w:r>
        <w:t xml:space="preserve"> </w:t>
      </w:r>
      <w:r>
        <w:rPr>
          <w:b/>
        </w:rPr>
        <w:t xml:space="preserve">Chronic syndromes:</w:t>
      </w:r>
      <w:r>
        <w:t xml:space="preserve"> </w:t>
      </w:r>
      <w:r>
        <w:t xml:space="preserve">New-onset multisystem conditions (e.g., PVS, autoimmune disease) triggered by vaccination and persisting for months or years.</w:t>
      </w:r>
    </w:p>
    <w:p>
      <w:r>
        <w:pict>
          <v:rect style="width:0;height:1.5pt" o:hralign="center" o:hrstd="t" o:hr="t"/>
        </w:pict>
      </w:r>
    </w:p>
    <w:p>
      <w:pPr>
        <w:pStyle w:val="Heading2"/>
      </w:pPr>
      <w:bookmarkStart w:id="108" w:name="Xd0411bfefa1b361916827098eb5b60f16a499dd"/>
      <w:r>
        <w:t xml:space="preserve">2. Cardiovascular System: Myocarditis and Pericarditis</w:t>
      </w:r>
      <w:bookmarkEnd w:id="108"/>
    </w:p>
    <w:p>
      <w:pPr>
        <w:pStyle w:val="Heading3"/>
      </w:pPr>
      <w:bookmarkStart w:id="109" w:name="epidemiology-and-risk-stratification"/>
      <w:r>
        <w:t xml:space="preserve">2.1 Epidemiology and Risk Stratification</w:t>
      </w:r>
      <w:bookmarkEnd w:id="109"/>
    </w:p>
    <w:p>
      <w:pPr>
        <w:pStyle w:val="FirstParagraph"/>
      </w:pPr>
      <w:r>
        <w:t xml:space="preserve">Myocarditis (inflammation of the heart muscle) and pericarditis (inflammation of the heart lining) have been causally linked to mRNA COVID-19 vaccines.</w:t>
      </w:r>
      <w:r>
        <w:t xml:space="preserve"> </w:t>
      </w:r>
      <w:r>
        <w:t xml:space="preserve">*</w:t>
      </w:r>
      <w:r>
        <w:t xml:space="preserve"> </w:t>
      </w:r>
      <w:r>
        <w:rPr>
          <w:b/>
        </w:rPr>
        <w:t xml:space="preserve">Incidence:</w:t>
      </w:r>
      <w:r>
        <w:t xml:space="preserve"> </w:t>
      </w:r>
      <w:r>
        <w:t xml:space="preserve">The risk is highest in adolescent and young adult males (ages 16–29) following the second dose of mRNA vaccines. Studies indicate an incidence of approximately 10.7 to 105.9 cases per million doses in high-risk groups [cite: 1, 2].</w:t>
      </w:r>
      <w:r>
        <w:t xml:space="preserve"> </w:t>
      </w:r>
      <w:r>
        <w:t xml:space="preserve">*</w:t>
      </w:r>
      <w:r>
        <w:t xml:space="preserve"> </w:t>
      </w:r>
      <w:r>
        <w:rPr>
          <w:b/>
        </w:rPr>
        <w:t xml:space="preserve">Vaccine Specificity:</w:t>
      </w:r>
      <w:r>
        <w:t xml:space="preserve"> </w:t>
      </w:r>
      <w:r>
        <w:t xml:space="preserve">The risk is notably higher with the Moderna (mRNA-1273) vaccine compared to Pfizer-BioNTech (BNT162b2), likely due to the higher mRNA dosage (100 µg vs. 30 µg in primary series) [cite: 3, 4].</w:t>
      </w:r>
      <w:r>
        <w:t xml:space="preserve"> </w:t>
      </w:r>
      <w:r>
        <w:t xml:space="preserve">*</w:t>
      </w:r>
      <w:r>
        <w:t xml:space="preserve"> </w:t>
      </w:r>
      <w:r>
        <w:rPr>
          <w:b/>
        </w:rPr>
        <w:t xml:space="preserve">Comparative Risk:</w:t>
      </w:r>
      <w:r>
        <w:t xml:space="preserve"> </w:t>
      </w:r>
      <w:r>
        <w:t xml:space="preserve">In the general population, the risk of myocarditis from SARS-CoV-2 infection significantly exceeds the risk from vaccination (approx. 7–11 times higher) [cite: 5, 6]. However, stratified analyses reveal that for men under 40, the risk of myocarditis following a second dose of mRNA-1273 may exceed the risk associated with infection [cite: 3, 7, 8].</w:t>
      </w:r>
    </w:p>
    <w:p>
      <w:pPr>
        <w:pStyle w:val="Heading3"/>
      </w:pPr>
      <w:bookmarkStart w:id="110" w:name="clinical-course-and-long-term-prognosis"/>
      <w:r>
        <w:t xml:space="preserve">2.2 Clinical Course and Long-term Prognosis</w:t>
      </w:r>
      <w:bookmarkEnd w:id="110"/>
    </w:p>
    <w:p>
      <w:pPr>
        <w:pStyle w:val="FirstParagraph"/>
      </w:pPr>
      <w:r>
        <w:t xml:space="preserve">Most cases of vaccine-associated myocarditis are clinically mild, responding well to non-steroidal anti-inflammatory drugs (NSAIDs) and rest, with symptom resolution by hospital discharge [cite: 1, 9]. However,</w:t>
      </w:r>
      <w:r>
        <w:t xml:space="preserve"> </w:t>
      </w:r>
      <w:r>
        <w:t xml:space="preserve">“</w:t>
      </w:r>
      <w:r>
        <w:t xml:space="preserve">mild</w:t>
      </w:r>
      <w:r>
        <w:t xml:space="preserve">”</w:t>
      </w:r>
      <w:r>
        <w:t xml:space="preserve"> </w:t>
      </w:r>
      <w:r>
        <w:t xml:space="preserve">clinical presentation does not preclude subclinical structural damage.</w:t>
      </w:r>
    </w:p>
    <w:p>
      <w:pPr>
        <w:numPr>
          <w:ilvl w:val="0"/>
          <w:numId w:val="1014"/>
        </w:numPr>
        <w:pStyle w:val="Compact"/>
      </w:pPr>
      <w:r>
        <w:rPr>
          <w:b/>
        </w:rPr>
        <w:t xml:space="preserve">Follow-up Data (90 Days to 18 Months):</w:t>
      </w:r>
    </w:p>
    <w:p>
      <w:pPr>
        <w:numPr>
          <w:ilvl w:val="1"/>
          <w:numId w:val="1015"/>
        </w:numPr>
        <w:pStyle w:val="Compact"/>
      </w:pPr>
      <w:r>
        <w:t xml:space="preserve">A study of patients aged 12–29 found that 81% were considered fully recovered by 90 days [cite: 10].</w:t>
      </w:r>
    </w:p>
    <w:p>
      <w:pPr>
        <w:numPr>
          <w:ilvl w:val="1"/>
          <w:numId w:val="1015"/>
        </w:numPr>
        <w:pStyle w:val="Compact"/>
      </w:pPr>
      <w:r>
        <w:t xml:space="preserve">A French cohort study followed patients for 18 months and found that those with post-vaccine myocarditis had a lower frequency of cardiovascular complications compared to conventional viral myocarditis cases [cite: 11, 12].</w:t>
      </w:r>
    </w:p>
    <w:p>
      <w:pPr>
        <w:numPr>
          <w:ilvl w:val="1"/>
          <w:numId w:val="1015"/>
        </w:numPr>
        <w:pStyle w:val="Compact"/>
      </w:pPr>
      <w:r>
        <w:t xml:space="preserve">Conversely, persistent abnormalities are observed. A significant proportion of patients (over 50% in some cohorts) show late gadolinium enhancement (LGE) on cardiac magnetic resonance (CMR) imaging months after the acute event [cite: 10, 13]. LGE indicates myocardial fibrosis (scarring), which is a known substrate for future arrhythmias and cardiomyopathy.</w:t>
      </w:r>
    </w:p>
    <w:p>
      <w:pPr>
        <w:numPr>
          <w:ilvl w:val="0"/>
          <w:numId w:val="1014"/>
        </w:numPr>
        <w:pStyle w:val="Compact"/>
      </w:pPr>
      <w:r>
        <w:rPr>
          <w:b/>
        </w:rPr>
        <w:t xml:space="preserve">Adolescent Scarring:</w:t>
      </w:r>
      <w:r>
        <w:t xml:space="preserve"> </w:t>
      </w:r>
      <w:r>
        <w:t xml:space="preserve">Recent data suggests a higher prevalence of myocardial scarring in young males post-vaccination than previously appreciated, raising concerns about long-term arrhythmogenic risk despite initial clinical recovery [cite: 13].</w:t>
      </w:r>
    </w:p>
    <w:p>
      <w:pPr>
        <w:pStyle w:val="Heading3"/>
      </w:pPr>
      <w:bookmarkStart w:id="111" w:name="X78e498c507998ec8f6b726bfb42548085f9f4fa"/>
      <w:r>
        <w:t xml:space="preserve">2.3 Architectural Investigation: Mechanisms of Injury</w:t>
      </w:r>
      <w:bookmarkEnd w:id="111"/>
    </w:p>
    <w:p>
      <w:pPr>
        <w:pStyle w:val="FirstParagraph"/>
      </w:pPr>
      <w:r>
        <w:t xml:space="preserve">The pathogenesis of vaccine-induced myocarditis remains under intense investigation. Leading hypotheses include:</w:t>
      </w:r>
      <w:r>
        <w:t xml:space="preserve"> </w:t>
      </w:r>
      <w:r>
        <w:t xml:space="preserve">1.</w:t>
      </w:r>
      <w:r>
        <w:t xml:space="preserve"> </w:t>
      </w:r>
      <w:r>
        <w:rPr>
          <w:b/>
        </w:rPr>
        <w:t xml:space="preserve">Hyper-inflammatory Response:</w:t>
      </w:r>
      <w:r>
        <w:t xml:space="preserve"> </w:t>
      </w:r>
      <w:r>
        <w:t xml:space="preserve">The mRNA vaccines elicit a potent innate immune response. In genetically susceptible individuals, this may lead to systemic inflammation and cytokine-mediated cardiotoxicity [cite: 14].</w:t>
      </w:r>
      <w:r>
        <w:t xml:space="preserve"> </w:t>
      </w:r>
      <w:r>
        <w:t xml:space="preserve">2.</w:t>
      </w:r>
      <w:r>
        <w:t xml:space="preserve"> </w:t>
      </w:r>
      <w:r>
        <w:rPr>
          <w:b/>
        </w:rPr>
        <w:t xml:space="preserve">Molecular Mimicry:</w:t>
      </w:r>
      <w:r>
        <w:t xml:space="preserve"> </w:t>
      </w:r>
      <w:r>
        <w:t xml:space="preserve">Antibodies generated against the SARS-CoV-2 spike protein may cross-react with human cardiac contractile proteins (e.g., alpha-myosin), leading to autoimmune attack [cite: 15, 16].</w:t>
      </w:r>
      <w:r>
        <w:t xml:space="preserve"> </w:t>
      </w:r>
      <w:r>
        <w:t xml:space="preserve">3.</w:t>
      </w:r>
      <w:r>
        <w:t xml:space="preserve"> </w:t>
      </w:r>
      <w:r>
        <w:rPr>
          <w:b/>
        </w:rPr>
        <w:t xml:space="preserve">Hormonal Modulation:</w:t>
      </w:r>
      <w:r>
        <w:t xml:space="preserve"> </w:t>
      </w:r>
      <w:r>
        <w:t xml:space="preserve">The strong male predominance suggests a role for testosterone in potentiating inflammation or inhibiting anti-inflammatory pathways in the heart [cite: 14].</w:t>
      </w:r>
    </w:p>
    <w:p>
      <w:r>
        <w:pict>
          <v:rect style="width:0;height:1.5pt" o:hralign="center" o:hrstd="t" o:hr="t"/>
        </w:pict>
      </w:r>
    </w:p>
    <w:p>
      <w:pPr>
        <w:pStyle w:val="Heading2"/>
      </w:pPr>
      <w:bookmarkStart w:id="112" w:name="neurological-system"/>
      <w:r>
        <w:t xml:space="preserve">3. Neurological System</w:t>
      </w:r>
      <w:bookmarkEnd w:id="112"/>
    </w:p>
    <w:p>
      <w:pPr>
        <w:pStyle w:val="Heading3"/>
      </w:pPr>
      <w:bookmarkStart w:id="113" w:name="small-fiber-neuropathy-sfn-1"/>
      <w:r>
        <w:t xml:space="preserve">3.1 Small Fiber Neuropathy (SFN)</w:t>
      </w:r>
      <w:bookmarkEnd w:id="113"/>
    </w:p>
    <w:p>
      <w:pPr>
        <w:pStyle w:val="FirstParagraph"/>
      </w:pPr>
      <w:r>
        <w:t xml:space="preserve">A growing body of evidence links COVID-19 vaccination to new-onset small fiber neuropathy, a condition characterized by damage to the thin myelinated (Aδ) and unmyelinated (C) nerve fibers.</w:t>
      </w:r>
      <w:r>
        <w:t xml:space="preserve"> </w:t>
      </w:r>
      <w:r>
        <w:t xml:space="preserve">*</w:t>
      </w:r>
      <w:r>
        <w:t xml:space="preserve"> </w:t>
      </w:r>
      <w:r>
        <w:rPr>
          <w:b/>
        </w:rPr>
        <w:t xml:space="preserve">Clinical Presentation:</w:t>
      </w:r>
      <w:r>
        <w:t xml:space="preserve"> </w:t>
      </w:r>
      <w:r>
        <w:t xml:space="preserve">Patients present with burning pain, paresthesias (tingling/numbness), and dysautonomia (POTS, orthostatic intolerance, palpitations) [cite: 17, 18, 19].</w:t>
      </w:r>
      <w:r>
        <w:t xml:space="preserve"> </w:t>
      </w:r>
      <w:r>
        <w:t xml:space="preserve">*</w:t>
      </w:r>
      <w:r>
        <w:t xml:space="preserve"> </w:t>
      </w:r>
      <w:r>
        <w:rPr>
          <w:b/>
        </w:rPr>
        <w:t xml:space="preserve">Diagnostic Findings:</w:t>
      </w:r>
      <w:r>
        <w:t xml:space="preserve"> </w:t>
      </w:r>
      <w:r>
        <w:t xml:space="preserve">Skin biopsy often reveals reduced intraepidermal nerve fiber density. Some patients test positive for autoantibodies, specifically anti-FGFR3 (fibroblast growth factor receptor 3) and anti-TS-HDS, suggesting an autoimmune etiology [cite: 19, 20].</w:t>
      </w:r>
      <w:r>
        <w:t xml:space="preserve"> </w:t>
      </w:r>
      <w:r>
        <w:t xml:space="preserve">*</w:t>
      </w:r>
      <w:r>
        <w:t xml:space="preserve"> </w:t>
      </w:r>
      <w:r>
        <w:rPr>
          <w:b/>
        </w:rPr>
        <w:t xml:space="preserve">Therapeutic Response:</w:t>
      </w:r>
      <w:r>
        <w:t xml:space="preserve"> </w:t>
      </w:r>
      <w:r>
        <w:t xml:space="preserve">Case series have documented significant clinical improvement and nerve fiber regeneration following treatment with intravenous immunoglobulin (IVIG) or corticosteroids, reinforcing the immune-mediated hypothesis [cite: 18, 19, 20].</w:t>
      </w:r>
    </w:p>
    <w:p>
      <w:pPr>
        <w:pStyle w:val="Heading3"/>
      </w:pPr>
      <w:bookmarkStart w:id="114" w:name="guillain-barré-syndrome-gbs-1"/>
      <w:r>
        <w:t xml:space="preserve">3.2 Guillain-Barré Syndrome (GBS)</w:t>
      </w:r>
      <w:bookmarkEnd w:id="114"/>
    </w:p>
    <w:p>
      <w:pPr>
        <w:pStyle w:val="FirstParagraph"/>
      </w:pPr>
      <w:r>
        <w:t xml:space="preserve">GBS, an acute demyelinating polyneuropathy, is a recognized rare adverse event associated primarily with adenoviral vector vaccines (Johnson &amp; Johnson, AstraZeneca).</w:t>
      </w:r>
      <w:r>
        <w:t xml:space="preserve"> </w:t>
      </w:r>
      <w:r>
        <w:t xml:space="preserve">*</w:t>
      </w:r>
      <w:r>
        <w:t xml:space="preserve"> </w:t>
      </w:r>
      <w:r>
        <w:rPr>
          <w:b/>
        </w:rPr>
        <w:t xml:space="preserve">Incidence:</w:t>
      </w:r>
      <w:r>
        <w:t xml:space="preserve"> </w:t>
      </w:r>
      <w:r>
        <w:t xml:space="preserve">The risk is estimated at approximately 7–8 excess cases per 10 million doses [cite: 21].</w:t>
      </w:r>
      <w:r>
        <w:t xml:space="preserve"> </w:t>
      </w:r>
      <w:r>
        <w:t xml:space="preserve">*</w:t>
      </w:r>
      <w:r>
        <w:t xml:space="preserve"> </w:t>
      </w:r>
      <w:r>
        <w:rPr>
          <w:b/>
        </w:rPr>
        <w:t xml:space="preserve">Mechanism:</w:t>
      </w:r>
      <w:r>
        <w:t xml:space="preserve"> </w:t>
      </w:r>
      <w:r>
        <w:t xml:space="preserve">The response is likely driven by an immune reaction to the adenovirus vector or cross-reactivity between vaccine components and peripheral nerve myelin.</w:t>
      </w:r>
    </w:p>
    <w:p>
      <w:pPr>
        <w:pStyle w:val="Heading3"/>
      </w:pPr>
      <w:bookmarkStart w:id="115" w:name="transverse-myelitis-atm"/>
      <w:r>
        <w:t xml:space="preserve">3.3 Transverse Myelitis (ATM)</w:t>
      </w:r>
      <w:bookmarkEnd w:id="115"/>
    </w:p>
    <w:p>
      <w:pPr>
        <w:pStyle w:val="FirstParagraph"/>
      </w:pPr>
      <w:r>
        <w:t xml:space="preserve">Acute transverse myelitis, inflammation of the spinal cord, has been reported following both mRNA and viral vector vaccines.</w:t>
      </w:r>
      <w:r>
        <w:t xml:space="preserve"> </w:t>
      </w:r>
      <w:r>
        <w:t xml:space="preserve">*</w:t>
      </w:r>
      <w:r>
        <w:t xml:space="preserve"> </w:t>
      </w:r>
      <w:r>
        <w:rPr>
          <w:b/>
        </w:rPr>
        <w:t xml:space="preserve">Risk Assessment:</w:t>
      </w:r>
      <w:r>
        <w:t xml:space="preserve"> </w:t>
      </w:r>
      <w:r>
        <w:t xml:space="preserve">Studies indicate an increased risk of ATM (IRR ~2.41) within 1–42 days post-vaccination [cite: 22]. While rare (approx. 1.7 cases per million), the association is consistent across multiple vaccine platforms [cite: 23, 24].</w:t>
      </w:r>
      <w:r>
        <w:t xml:space="preserve"> </w:t>
      </w:r>
      <w:r>
        <w:t xml:space="preserve">*</w:t>
      </w:r>
      <w:r>
        <w:t xml:space="preserve"> </w:t>
      </w:r>
      <w:r>
        <w:rPr>
          <w:b/>
        </w:rPr>
        <w:t xml:space="preserve">Clinical Course:</w:t>
      </w:r>
      <w:r>
        <w:t xml:space="preserve"> </w:t>
      </w:r>
      <w:r>
        <w:t xml:space="preserve">Symptoms include sensory deficits, motor weakness, and autonomic dysfunction. Early diagnosis and steroid treatment are critical for recovery [cite: 23].</w:t>
      </w:r>
    </w:p>
    <w:p>
      <w:r>
        <w:pict>
          <v:rect style="width:0;height:1.5pt" o:hralign="center" o:hrstd="t" o:hr="t"/>
        </w:pict>
      </w:r>
    </w:p>
    <w:p>
      <w:pPr>
        <w:pStyle w:val="Heading2"/>
      </w:pPr>
      <w:bookmarkStart w:id="116" w:name="post-vaccination-syndrome-pvs-1"/>
      <w:r>
        <w:t xml:space="preserve">4. Post-Vaccination Syndrome (PVS)</w:t>
      </w:r>
      <w:bookmarkEnd w:id="116"/>
    </w:p>
    <w:p>
      <w:pPr>
        <w:pStyle w:val="FirstParagraph"/>
      </w:pPr>
      <w:r>
        <w:t xml:space="preserve">A distinct clinical entity, often referred to by patients and researchers as</w:t>
      </w:r>
      <w:r>
        <w:t xml:space="preserve"> </w:t>
      </w:r>
      <w:r>
        <w:t xml:space="preserve">“</w:t>
      </w:r>
      <w:r>
        <w:t xml:space="preserve">Post-Vaccination Syndrome</w:t>
      </w:r>
      <w:r>
        <w:t xml:space="preserve">”</w:t>
      </w:r>
      <w:r>
        <w:t xml:space="preserve"> </w:t>
      </w:r>
      <w:r>
        <w:t xml:space="preserve">(PVS) or</w:t>
      </w:r>
      <w:r>
        <w:t xml:space="preserve"> </w:t>
      </w:r>
      <w:r>
        <w:t xml:space="preserve">“</w:t>
      </w:r>
      <w:r>
        <w:t xml:space="preserve">Long Vax,</w:t>
      </w:r>
      <w:r>
        <w:t xml:space="preserve">”</w:t>
      </w:r>
      <w:r>
        <w:t xml:space="preserve"> </w:t>
      </w:r>
      <w:r>
        <w:t xml:space="preserve">has emerged. This condition shares phenotypic similarities with Long COVID (PASC) but occurs in the absence of SARS-CoV-2 infection.</w:t>
      </w:r>
    </w:p>
    <w:p>
      <w:pPr>
        <w:pStyle w:val="Heading3"/>
      </w:pPr>
      <w:bookmarkStart w:id="117" w:name="yale-listen-study-findings-1"/>
      <w:r>
        <w:t xml:space="preserve">4.1 Yale LISTEN Study Findings</w:t>
      </w:r>
      <w:bookmarkEnd w:id="117"/>
    </w:p>
    <w:p>
      <w:pPr>
        <w:pStyle w:val="FirstParagraph"/>
      </w:pPr>
      <w:r>
        <w:t xml:space="preserve">The Yale</w:t>
      </w:r>
      <w:r>
        <w:t xml:space="preserve"> </w:t>
      </w:r>
      <w:r>
        <w:t xml:space="preserve">“</w:t>
      </w:r>
      <w:r>
        <w:t xml:space="preserve">Listen to Immune, Symptom and Treatment Experiences Now</w:t>
      </w:r>
      <w:r>
        <w:t xml:space="preserve">”</w:t>
      </w:r>
      <w:r>
        <w:t xml:space="preserve"> </w:t>
      </w:r>
      <w:r>
        <w:t xml:space="preserve">(LISTEN) study has provided the most comprehensive biological characterization of PVS to date [cite: 25, 26, 27, 28].</w:t>
      </w:r>
      <w:r>
        <w:t xml:space="preserve"> </w:t>
      </w:r>
      <w:r>
        <w:t xml:space="preserve">*</w:t>
      </w:r>
      <w:r>
        <w:t xml:space="preserve"> </w:t>
      </w:r>
      <w:r>
        <w:rPr>
          <w:b/>
        </w:rPr>
        <w:t xml:space="preserve">Symptomatology:</w:t>
      </w:r>
      <w:r>
        <w:t xml:space="preserve"> </w:t>
      </w:r>
      <w:r>
        <w:t xml:space="preserve">The most common symptoms are exercise intolerance (71%), excessive fatigue (69%), numbness/neuropathy (63%), and brain fog (63%) [cite: 29].</w:t>
      </w:r>
      <w:r>
        <w:t xml:space="preserve"> </w:t>
      </w:r>
      <w:r>
        <w:t xml:space="preserve">*</w:t>
      </w:r>
      <w:r>
        <w:t xml:space="preserve"> </w:t>
      </w:r>
      <w:r>
        <w:rPr>
          <w:b/>
        </w:rPr>
        <w:t xml:space="preserve">Immune Signature:</w:t>
      </w:r>
      <w:r>
        <w:t xml:space="preserve"> </w:t>
      </w:r>
      <w:r>
        <w:t xml:space="preserve">PVS patients exhibit a distinct immunophenotype compared to healthy controls and Long COVID patients:</w:t>
      </w:r>
      <w:r>
        <w:t xml:space="preserve"> </w:t>
      </w:r>
      <w:r>
        <w:t xml:space="preserve">*</w:t>
      </w:r>
      <w:r>
        <w:t xml:space="preserve"> </w:t>
      </w:r>
      <w:r>
        <w:rPr>
          <w:b/>
        </w:rPr>
        <w:t xml:space="preserve">T-Cell Perturbations:</w:t>
      </w:r>
      <w:r>
        <w:t xml:space="preserve"> </w:t>
      </w:r>
      <w:r>
        <w:t xml:space="preserve">Reduced levels of circulating memory and effector CD4+ T cells; increased levels of CD8+ T cells producing TNF-alpha (a pro-inflammatory cytokine) [cite: 25, 26, 28].</w:t>
      </w:r>
      <w:r>
        <w:t xml:space="preserve"> </w:t>
      </w:r>
      <w:r>
        <w:t xml:space="preserve">*</w:t>
      </w:r>
      <w:r>
        <w:t xml:space="preserve"> </w:t>
      </w:r>
      <w:r>
        <w:rPr>
          <w:b/>
        </w:rPr>
        <w:t xml:space="preserve">Antibody Levels:</w:t>
      </w:r>
      <w:r>
        <w:t xml:space="preserve"> </w:t>
      </w:r>
      <w:r>
        <w:t xml:space="preserve">Lower anti-spike antibody titers compared to controls (likely due to cessation of vaccination following adverse events) [cite: 28].</w:t>
      </w:r>
      <w:r>
        <w:t xml:space="preserve"> </w:t>
      </w:r>
      <w:r>
        <w:t xml:space="preserve">*</w:t>
      </w:r>
      <w:r>
        <w:t xml:space="preserve"> </w:t>
      </w:r>
      <w:r>
        <w:rPr>
          <w:b/>
        </w:rPr>
        <w:t xml:space="preserve">Viral Reactivation:</w:t>
      </w:r>
      <w:r>
        <w:t xml:space="preserve"> </w:t>
      </w:r>
      <w:r>
        <w:t xml:space="preserve">Higher frequency of reactivated Epstein-Barr Virus (EBV) and Varicella-Zoster Virus (VZV) [cite: 25, 26].</w:t>
      </w:r>
      <w:r>
        <w:t xml:space="preserve"> </w:t>
      </w:r>
      <w:r>
        <w:t xml:space="preserve">*</w:t>
      </w:r>
      <w:r>
        <w:t xml:space="preserve"> </w:t>
      </w:r>
      <w:r>
        <w:rPr>
          <w:b/>
        </w:rPr>
        <w:t xml:space="preserve">Persistent Spike Protein:</w:t>
      </w:r>
      <w:r>
        <w:t xml:space="preserve"> </w:t>
      </w:r>
      <w:r>
        <w:t xml:space="preserve">A subset of PVS patients exhibits elevated levels of circulating spike protein in plasma months to years after vaccination, suggesting a failure to clear the antigen or a reservoir of production [cite: 25, 28].</w:t>
      </w:r>
    </w:p>
    <w:p>
      <w:pPr>
        <w:pStyle w:val="Heading3"/>
      </w:pPr>
      <w:bookmarkStart w:id="118" w:name="biological-plausibility-1"/>
      <w:r>
        <w:t xml:space="preserve">4.2 Biological Plausibility</w:t>
      </w:r>
      <w:bookmarkEnd w:id="118"/>
    </w:p>
    <w:p>
      <w:pPr>
        <w:pStyle w:val="FirstParagraph"/>
      </w:pPr>
      <w:r>
        <w:t xml:space="preserve">The persistence of spike protein and the specific T-cell dysregulation suggest a mechanism where chronic antigen stimulation drives inflammation and tissue damage. The overlap with SFN and dysautonomia indicates that the immune response may target the autonomic nervous system [cite: 18, 20].</w:t>
      </w:r>
    </w:p>
    <w:p>
      <w:r>
        <w:pict>
          <v:rect style="width:0;height:1.5pt" o:hralign="center" o:hrstd="t" o:hr="t"/>
        </w:pict>
      </w:r>
    </w:p>
    <w:p>
      <w:pPr>
        <w:pStyle w:val="Heading2"/>
      </w:pPr>
      <w:bookmarkStart w:id="119" w:name="X1b569d69606c0e30bc11b29d5816a3152e5ac8c"/>
      <w:r>
        <w:t xml:space="preserve">5. Reproductive Health: Fertility and Menstruation</w:t>
      </w:r>
      <w:bookmarkEnd w:id="119"/>
    </w:p>
    <w:p>
      <w:pPr>
        <w:pStyle w:val="Heading3"/>
      </w:pPr>
      <w:bookmarkStart w:id="120" w:name="menstrual-disturbances-1"/>
      <w:r>
        <w:t xml:space="preserve">5.1 Menstrual Disturbances</w:t>
      </w:r>
      <w:bookmarkEnd w:id="120"/>
    </w:p>
    <w:p>
      <w:pPr>
        <w:pStyle w:val="FirstParagraph"/>
      </w:pPr>
      <w:r>
        <w:t xml:space="preserve">Concerns regarding menstrual irregularities have been a major source of vaccine hesitancy.</w:t>
      </w:r>
      <w:r>
        <w:t xml:space="preserve"> </w:t>
      </w:r>
      <w:r>
        <w:t xml:space="preserve">*</w:t>
      </w:r>
      <w:r>
        <w:t xml:space="preserve"> </w:t>
      </w:r>
      <w:r>
        <w:rPr>
          <w:b/>
        </w:rPr>
        <w:t xml:space="preserve">Systematic Review Findings:</w:t>
      </w:r>
      <w:r>
        <w:t xml:space="preserve"> </w:t>
      </w:r>
      <w:r>
        <w:t xml:space="preserve">Meta-analyses of thousands of women confirm a link between COVID-19 vaccination and temporary menstrual changes. Common effects include lengthened cycles (by &lt;1 day on average), heavier bleeding, and intermenstrual bleeding [cite: 30, 31, 32, 33].</w:t>
      </w:r>
      <w:r>
        <w:t xml:space="preserve"> </w:t>
      </w:r>
      <w:r>
        <w:t xml:space="preserve">*</w:t>
      </w:r>
      <w:r>
        <w:t xml:space="preserve"> </w:t>
      </w:r>
      <w:r>
        <w:rPr>
          <w:b/>
        </w:rPr>
        <w:t xml:space="preserve">Duration:</w:t>
      </w:r>
      <w:r>
        <w:t xml:space="preserve"> </w:t>
      </w:r>
      <w:r>
        <w:t xml:space="preserve">These changes are transient, typically resolving within 1–3 cycles post-vaccination [cite: 31, 34].</w:t>
      </w:r>
      <w:r>
        <w:t xml:space="preserve"> </w:t>
      </w:r>
      <w:r>
        <w:t xml:space="preserve">*</w:t>
      </w:r>
      <w:r>
        <w:t xml:space="preserve"> </w:t>
      </w:r>
      <w:r>
        <w:rPr>
          <w:b/>
        </w:rPr>
        <w:t xml:space="preserve">Mechanism:</w:t>
      </w:r>
      <w:r>
        <w:t xml:space="preserve"> </w:t>
      </w:r>
      <w:r>
        <w:t xml:space="preserve">The immune response to vaccination can transiently disrupt the hypothalamic-pituitary-ovarian (HPO) axis or cause local inflammation in the endometrium, affecting shedding [cite: 31].</w:t>
      </w:r>
    </w:p>
    <w:p>
      <w:pPr>
        <w:pStyle w:val="Heading3"/>
      </w:pPr>
      <w:bookmarkStart w:id="121" w:name="fertility-1"/>
      <w:r>
        <w:t xml:space="preserve">5.2 Fertility</w:t>
      </w:r>
      <w:bookmarkEnd w:id="121"/>
    </w:p>
    <w:p>
      <w:pPr>
        <w:numPr>
          <w:ilvl w:val="0"/>
          <w:numId w:val="1016"/>
        </w:numPr>
        <w:pStyle w:val="Compact"/>
      </w:pPr>
      <w:r>
        <w:rPr>
          <w:b/>
        </w:rPr>
        <w:t xml:space="preserve">Female:</w:t>
      </w:r>
      <w:r>
        <w:t xml:space="preserve"> </w:t>
      </w:r>
      <w:r>
        <w:t xml:space="preserve">There is no scientific evidence of long-term fertility impairment. Ovarian reserve markers and IVF outcomes show no significant difference between vaccinated and unvaccinated women [cite: 35].</w:t>
      </w:r>
    </w:p>
    <w:p>
      <w:pPr>
        <w:numPr>
          <w:ilvl w:val="0"/>
          <w:numId w:val="1016"/>
        </w:numPr>
        <w:pStyle w:val="Compact"/>
      </w:pPr>
      <w:r>
        <w:rPr>
          <w:b/>
        </w:rPr>
        <w:t xml:space="preserve">Male:</w:t>
      </w:r>
      <w:r>
        <w:t xml:space="preserve"> </w:t>
      </w:r>
      <w:r>
        <w:t xml:space="preserve">Sperm parameters (concentration, motility, volume) remain unaffected by mRNA vaccination [cite: 35]. In contrast, SARS-CoV-2 infection is known to negatively impact male fertility.</w:t>
      </w:r>
    </w:p>
    <w:p>
      <w:r>
        <w:pict>
          <v:rect style="width:0;height:1.5pt" o:hralign="center" o:hrstd="t" o:hr="t"/>
        </w:pict>
      </w:r>
    </w:p>
    <w:p>
      <w:pPr>
        <w:pStyle w:val="Heading2"/>
      </w:pPr>
      <w:bookmarkStart w:id="122" w:name="autoimmune-and-inflammatory-conditions"/>
      <w:r>
        <w:t xml:space="preserve">6. Autoimmune and Inflammatory Conditions</w:t>
      </w:r>
      <w:bookmarkEnd w:id="122"/>
    </w:p>
    <w:p>
      <w:pPr>
        <w:pStyle w:val="Heading3"/>
      </w:pPr>
      <w:bookmarkStart w:id="123" w:name="new-onset-autoimmunity"/>
      <w:r>
        <w:t xml:space="preserve">6.1 New-Onset Autoimmunity</w:t>
      </w:r>
      <w:bookmarkEnd w:id="123"/>
    </w:p>
    <w:p>
      <w:pPr>
        <w:pStyle w:val="FirstParagraph"/>
      </w:pPr>
      <w:r>
        <w:t xml:space="preserve">Case reports and surveillance data have identified temporal associations between COVID-19 vaccination and the onset of autoimmune diseases.</w:t>
      </w:r>
      <w:r>
        <w:t xml:space="preserve"> </w:t>
      </w:r>
      <w:r>
        <w:t xml:space="preserve">*</w:t>
      </w:r>
      <w:r>
        <w:t xml:space="preserve"> </w:t>
      </w:r>
      <w:r>
        <w:rPr>
          <w:b/>
        </w:rPr>
        <w:t xml:space="preserve">Conditions:</w:t>
      </w:r>
      <w:r>
        <w:t xml:space="preserve"> </w:t>
      </w:r>
      <w:r>
        <w:t xml:space="preserve">Systemic Lupus Erythematosus (SLE), Autoimmune Hepatitis, IgA Nephropathy, and ANCA-associated vasculitis [cite: 15, 36, 37].</w:t>
      </w:r>
      <w:r>
        <w:t xml:space="preserve"> </w:t>
      </w:r>
      <w:r>
        <w:t xml:space="preserve">*</w:t>
      </w:r>
      <w:r>
        <w:t xml:space="preserve"> </w:t>
      </w:r>
      <w:r>
        <w:rPr>
          <w:b/>
        </w:rPr>
        <w:t xml:space="preserve">Mechanisms:</w:t>
      </w:r>
      <w:r>
        <w:t xml:space="preserve"> </w:t>
      </w:r>
      <w:r>
        <w:t xml:space="preserve">*</w:t>
      </w:r>
      <w:r>
        <w:t xml:space="preserve"> </w:t>
      </w:r>
      <w:r>
        <w:rPr>
          <w:b/>
        </w:rPr>
        <w:t xml:space="preserve">Molecular Mimicry:</w:t>
      </w:r>
      <w:r>
        <w:t xml:space="preserve"> </w:t>
      </w:r>
      <w:r>
        <w:t xml:space="preserve">The spike protein shares peptide sequences with human proteins, potentially triggering cross-reactive autoantibodies [cite: 15, 16].</w:t>
      </w:r>
      <w:r>
        <w:t xml:space="preserve"> </w:t>
      </w:r>
      <w:r>
        <w:t xml:space="preserve">*</w:t>
      </w:r>
      <w:r>
        <w:t xml:space="preserve"> </w:t>
      </w:r>
      <w:r>
        <w:rPr>
          <w:b/>
        </w:rPr>
        <w:t xml:space="preserve">Bystander Activation:</w:t>
      </w:r>
      <w:r>
        <w:t xml:space="preserve"> </w:t>
      </w:r>
      <w:r>
        <w:t xml:space="preserve">The robust innate immune activation by vaccine adjuvants (e.g., LNPs) may unmask latent autoimmunity in genetically predisposed individuals [cite: 16, 36].</w:t>
      </w:r>
      <w:r>
        <w:t xml:space="preserve"> </w:t>
      </w:r>
      <w:r>
        <w:t xml:space="preserve">*</w:t>
      </w:r>
      <w:r>
        <w:t xml:space="preserve"> </w:t>
      </w:r>
      <w:r>
        <w:rPr>
          <w:b/>
        </w:rPr>
        <w:t xml:space="preserve">ASIA Syndrome:</w:t>
      </w:r>
      <w:r>
        <w:t xml:space="preserve"> </w:t>
      </w:r>
      <w:r>
        <w:t xml:space="preserve">Autoimmune/Inflammatory Syndrome Induced by Adjuvants is a proposed framework for these reactions, though controversial [cite: 37].</w:t>
      </w:r>
    </w:p>
    <w:p>
      <w:r>
        <w:pict>
          <v:rect style="width:0;height:1.5pt" o:hralign="center" o:hrstd="t" o:hr="t"/>
        </w:pict>
      </w:r>
    </w:p>
    <w:p>
      <w:pPr>
        <w:pStyle w:val="Heading2"/>
      </w:pPr>
      <w:bookmarkStart w:id="124" w:name="Xc4b5f421348a3ea5a5c85b32a4f15a7a9a310cc"/>
      <w:r>
        <w:t xml:space="preserve">7. Architectural Investigation: Vaccine Platforms &amp; Mechanisms</w:t>
      </w:r>
      <w:bookmarkEnd w:id="124"/>
    </w:p>
    <w:p>
      <w:pPr>
        <w:pStyle w:val="Heading3"/>
      </w:pPr>
      <w:bookmarkStart w:id="125" w:name="mrna-platform-pfizer-moderna"/>
      <w:r>
        <w:t xml:space="preserve">7.1 mRNA Platform (Pfizer, Moderna)</w:t>
      </w:r>
      <w:bookmarkEnd w:id="125"/>
    </w:p>
    <w:p>
      <w:pPr>
        <w:numPr>
          <w:ilvl w:val="0"/>
          <w:numId w:val="1017"/>
        </w:numPr>
        <w:pStyle w:val="Compact"/>
      </w:pPr>
      <w:r>
        <w:rPr>
          <w:b/>
        </w:rPr>
        <w:t xml:space="preserve">Architecture:</w:t>
      </w:r>
      <w:r>
        <w:t xml:space="preserve"> </w:t>
      </w:r>
      <w:r>
        <w:t xml:space="preserve">Lipid nanoparticles (LNPs) encapsulate nucleoside-modified mRNA encoding the full-length spike protein.</w:t>
      </w:r>
    </w:p>
    <w:p>
      <w:pPr>
        <w:numPr>
          <w:ilvl w:val="0"/>
          <w:numId w:val="1017"/>
        </w:numPr>
        <w:pStyle w:val="Compact"/>
      </w:pPr>
      <w:r>
        <w:rPr>
          <w:b/>
        </w:rPr>
        <w:t xml:space="preserve">Mechanism:</w:t>
      </w:r>
      <w:r>
        <w:t xml:space="preserve"> </w:t>
      </w:r>
      <w:r>
        <w:t xml:space="preserve">LNPs fuse with host cells (muscle, dendritic cells), releasing mRNA for translation. The expressed spike protein is presented on the cell surface (MHC I) or secreted, triggering robust cytotoxic T-cell (CD8+) and helper T-cell (CD4+) responses, alongside neutralizing antibody production.</w:t>
      </w:r>
    </w:p>
    <w:p>
      <w:pPr>
        <w:numPr>
          <w:ilvl w:val="0"/>
          <w:numId w:val="1017"/>
        </w:numPr>
        <w:pStyle w:val="Compact"/>
      </w:pPr>
      <w:r>
        <w:rPr>
          <w:b/>
        </w:rPr>
        <w:t xml:space="preserve">Risks:</w:t>
      </w:r>
    </w:p>
    <w:p>
      <w:pPr>
        <w:numPr>
          <w:ilvl w:val="1"/>
          <w:numId w:val="1018"/>
        </w:numPr>
        <w:pStyle w:val="Compact"/>
      </w:pPr>
      <w:r>
        <w:rPr>
          <w:b/>
        </w:rPr>
        <w:t xml:space="preserve">Systemic Distribution:</w:t>
      </w:r>
      <w:r>
        <w:t xml:space="preserve"> </w:t>
      </w:r>
      <w:r>
        <w:t xml:space="preserve">While intended to remain local, LNPs and spike protein can distribute systemically, potentially accumulating in tissues like the liver, spleen, and ovaries (transiently), or the heart [cite: 38].</w:t>
      </w:r>
    </w:p>
    <w:p>
      <w:pPr>
        <w:numPr>
          <w:ilvl w:val="1"/>
          <w:numId w:val="1018"/>
        </w:numPr>
        <w:pStyle w:val="Compact"/>
      </w:pPr>
      <w:r>
        <w:rPr>
          <w:b/>
        </w:rPr>
        <w:t xml:space="preserve">Spike Persistence:</w:t>
      </w:r>
      <w:r>
        <w:t xml:space="preserve"> </w:t>
      </w:r>
      <w:r>
        <w:t xml:space="preserve">Recent findings of spike protein in blood/tissue months post-vaccination challenge the assumption of rapid clearance. This persistence correlates with PVS symptoms [cite: 25, 28].</w:t>
      </w:r>
    </w:p>
    <w:p>
      <w:pPr>
        <w:pStyle w:val="Heading3"/>
      </w:pPr>
      <w:bookmarkStart w:id="126" w:name="viral-vector-platform-astrazeneca-jj"/>
      <w:r>
        <w:t xml:space="preserve">7.2 Viral Vector Platform (AstraZeneca, J&amp;J)</w:t>
      </w:r>
      <w:bookmarkEnd w:id="126"/>
    </w:p>
    <w:p>
      <w:pPr>
        <w:numPr>
          <w:ilvl w:val="0"/>
          <w:numId w:val="1019"/>
        </w:numPr>
        <w:pStyle w:val="Compact"/>
      </w:pPr>
      <w:r>
        <w:rPr>
          <w:b/>
        </w:rPr>
        <w:t xml:space="preserve">Architecture:</w:t>
      </w:r>
      <w:r>
        <w:t xml:space="preserve"> </w:t>
      </w:r>
      <w:r>
        <w:t xml:space="preserve">Non-replicating adenovirus (ChAdOx1, Ad26) carries DNA encoding the spike protein.</w:t>
      </w:r>
    </w:p>
    <w:p>
      <w:pPr>
        <w:numPr>
          <w:ilvl w:val="0"/>
          <w:numId w:val="1019"/>
        </w:numPr>
        <w:pStyle w:val="Compact"/>
      </w:pPr>
      <w:r>
        <w:rPr>
          <w:b/>
        </w:rPr>
        <w:t xml:space="preserve">Mechanism:</w:t>
      </w:r>
      <w:r>
        <w:t xml:space="preserve"> </w:t>
      </w:r>
      <w:r>
        <w:t xml:space="preserve">The virus enters cells, delivers DNA to the nucleus, where it is transcribed to mRNA and then translated.</w:t>
      </w:r>
    </w:p>
    <w:p>
      <w:pPr>
        <w:numPr>
          <w:ilvl w:val="0"/>
          <w:numId w:val="1019"/>
        </w:numPr>
        <w:pStyle w:val="Compact"/>
      </w:pPr>
      <w:r>
        <w:rPr>
          <w:b/>
        </w:rPr>
        <w:t xml:space="preserve">Risks:</w:t>
      </w:r>
    </w:p>
    <w:p>
      <w:pPr>
        <w:numPr>
          <w:ilvl w:val="1"/>
          <w:numId w:val="1020"/>
        </w:numPr>
        <w:pStyle w:val="Compact"/>
      </w:pPr>
      <w:r>
        <w:rPr>
          <w:b/>
        </w:rPr>
        <w:t xml:space="preserve">TTS (Thrombosis with Thrombocytopenia Syndrome):</w:t>
      </w:r>
      <w:r>
        <w:t xml:space="preserve"> </w:t>
      </w:r>
      <w:r>
        <w:t xml:space="preserve">A rare, life-threatening condition driven by autoantibodies against Platelet Factor 4 (PF4). The adenovirus vector is implicated in binding PF4, creating neoantigens that trigger this autoimmune clotting disorder [cite: 39, 40, 41].</w:t>
      </w:r>
    </w:p>
    <w:p>
      <w:pPr>
        <w:pStyle w:val="Heading3"/>
      </w:pPr>
      <w:bookmarkStart w:id="127" w:name="protein-subunit-novavax"/>
      <w:r>
        <w:t xml:space="preserve">7.3 Protein Subunit (Novavax)</w:t>
      </w:r>
      <w:bookmarkEnd w:id="127"/>
    </w:p>
    <w:p>
      <w:pPr>
        <w:numPr>
          <w:ilvl w:val="0"/>
          <w:numId w:val="1021"/>
        </w:numPr>
        <w:pStyle w:val="Compact"/>
      </w:pPr>
      <w:r>
        <w:rPr>
          <w:b/>
        </w:rPr>
        <w:t xml:space="preserve">Architecture:</w:t>
      </w:r>
      <w:r>
        <w:t xml:space="preserve"> </w:t>
      </w:r>
      <w:r>
        <w:t xml:space="preserve">Recombinant spike protein nanoparticles with Matrix-M adjuvant.</w:t>
      </w:r>
    </w:p>
    <w:p>
      <w:pPr>
        <w:numPr>
          <w:ilvl w:val="0"/>
          <w:numId w:val="1021"/>
        </w:numPr>
        <w:pStyle w:val="Compact"/>
      </w:pPr>
      <w:r>
        <w:rPr>
          <w:b/>
        </w:rPr>
        <w:t xml:space="preserve">Mechanism:</w:t>
      </w:r>
      <w:r>
        <w:t xml:space="preserve"> </w:t>
      </w:r>
      <w:r>
        <w:t xml:space="preserve">Direct presentation of antigen to the immune system.</w:t>
      </w:r>
    </w:p>
    <w:p>
      <w:pPr>
        <w:numPr>
          <w:ilvl w:val="0"/>
          <w:numId w:val="1021"/>
        </w:numPr>
        <w:pStyle w:val="Compact"/>
      </w:pPr>
      <w:r>
        <w:rPr>
          <w:b/>
        </w:rPr>
        <w:t xml:space="preserve">Profile:</w:t>
      </w:r>
      <w:r>
        <w:t xml:space="preserve"> </w:t>
      </w:r>
      <w:r>
        <w:t xml:space="preserve">Generally lower reactogenicity than mRNA/viral vectors but associated with rare myocarditis cases [cite: 9].</w:t>
      </w:r>
    </w:p>
    <w:p>
      <w:r>
        <w:pict>
          <v:rect style="width:0;height:1.5pt" o:hralign="center" o:hrstd="t" o:hr="t"/>
        </w:pict>
      </w:r>
    </w:p>
    <w:p>
      <w:pPr>
        <w:pStyle w:val="Heading2"/>
      </w:pPr>
      <w:bookmarkStart w:id="128" w:name="Xd49bb839172e370d0a8e6d3b43e3242ce15e180"/>
      <w:r>
        <w:t xml:space="preserve">8. Alternative Approaches: Next-Generation Vaccines</w:t>
      </w:r>
      <w:bookmarkEnd w:id="128"/>
    </w:p>
    <w:p>
      <w:pPr>
        <w:pStyle w:val="FirstParagraph"/>
      </w:pPr>
      <w:r>
        <w:t xml:space="preserve">To address the limitations of current vaccines (waning immunity, lack of mucosal protection, variant escape), the field is advancing toward novel architectures.</w:t>
      </w:r>
    </w:p>
    <w:p>
      <w:pPr>
        <w:pStyle w:val="Heading3"/>
      </w:pPr>
      <w:bookmarkStart w:id="129" w:name="mucosal-vaccines-intranasalinhaled-1"/>
      <w:r>
        <w:t xml:space="preserve">8.1 Mucosal Vaccines (Intranasal/Inhaled)</w:t>
      </w:r>
      <w:bookmarkEnd w:id="129"/>
    </w:p>
    <w:p>
      <w:pPr>
        <w:pStyle w:val="FirstParagraph"/>
      </w:pPr>
      <w:r>
        <w:t xml:space="preserve">Current intramuscular vaccines elicit systemic IgG but fail to generate robust mucosal IgA in the respiratory tract, allowing for breakthrough infections and transmission.</w:t>
      </w:r>
      <w:r>
        <w:t xml:space="preserve"> </w:t>
      </w:r>
      <w:r>
        <w:t xml:space="preserve">*</w:t>
      </w:r>
      <w:r>
        <w:t xml:space="preserve"> </w:t>
      </w:r>
      <w:r>
        <w:rPr>
          <w:b/>
        </w:rPr>
        <w:t xml:space="preserve">Mechanism:</w:t>
      </w:r>
      <w:r>
        <w:t xml:space="preserve"> </w:t>
      </w:r>
      <w:r>
        <w:t xml:space="preserve">Intranasal delivery stimulates secretory IgA (sIgA) in the nasal mucosa, creating a barrier against viral entry [cite: 42, 43].</w:t>
      </w:r>
      <w:r>
        <w:t xml:space="preserve"> </w:t>
      </w:r>
      <w:r>
        <w:t xml:space="preserve">*</w:t>
      </w:r>
      <w:r>
        <w:t xml:space="preserve"> </w:t>
      </w:r>
      <w:r>
        <w:rPr>
          <w:b/>
        </w:rPr>
        <w:t xml:space="preserve">Leading Candidates:</w:t>
      </w:r>
      <w:r>
        <w:t xml:space="preserve"> </w:t>
      </w:r>
      <w:r>
        <w:t xml:space="preserve">*</w:t>
      </w:r>
      <w:r>
        <w:t xml:space="preserve"> </w:t>
      </w:r>
      <w:r>
        <w:rPr>
          <w:b/>
        </w:rPr>
        <w:t xml:space="preserve">CoviLiv (Codagenix):</w:t>
      </w:r>
      <w:r>
        <w:t xml:space="preserve"> </w:t>
      </w:r>
      <w:r>
        <w:t xml:space="preserve">A live-attenuated intranasal vaccine. It has reached Phase 3 trials (WHO Solidarity Trial) and shows broad T-cell immunity against multiple viral proteins, not just Spike [cite: 44, 45].</w:t>
      </w:r>
      <w:r>
        <w:t xml:space="preserve"> </w:t>
      </w:r>
      <w:r>
        <w:t xml:space="preserve">*</w:t>
      </w:r>
      <w:r>
        <w:t xml:space="preserve"> </w:t>
      </w:r>
      <w:r>
        <w:rPr>
          <w:b/>
        </w:rPr>
        <w:t xml:space="preserve">iNCOVACC (Bharat Biotech):</w:t>
      </w:r>
      <w:r>
        <w:t xml:space="preserve"> </w:t>
      </w:r>
      <w:r>
        <w:t xml:space="preserve">An adenoviral intranasal vaccine approved in India [cite: 46, 47].</w:t>
      </w:r>
      <w:r>
        <w:t xml:space="preserve"> </w:t>
      </w:r>
      <w:r>
        <w:t xml:space="preserve">*</w:t>
      </w:r>
      <w:r>
        <w:t xml:space="preserve"> </w:t>
      </w:r>
      <w:r>
        <w:rPr>
          <w:b/>
        </w:rPr>
        <w:t xml:space="preserve">MPV/S-2P (NIAID):</w:t>
      </w:r>
      <w:r>
        <w:t xml:space="preserve"> </w:t>
      </w:r>
      <w:r>
        <w:t xml:space="preserve">A murine pneumonia virus-vectored nasal vaccine currently in Phase 1 trials under Project NextGen [cite: 48].</w:t>
      </w:r>
      <w:r>
        <w:t xml:space="preserve"> </w:t>
      </w:r>
      <w:r>
        <w:t xml:space="preserve">*</w:t>
      </w:r>
      <w:r>
        <w:t xml:space="preserve"> </w:t>
      </w:r>
      <w:r>
        <w:rPr>
          <w:b/>
        </w:rPr>
        <w:t xml:space="preserve">Washington University Candidates:</w:t>
      </w:r>
      <w:r>
        <w:t xml:space="preserve"> </w:t>
      </w:r>
      <w:r>
        <w:t xml:space="preserve">Adenoviral nasal vaccines showing high efficacy in preclinical models [cite: 49].</w:t>
      </w:r>
    </w:p>
    <w:p>
      <w:pPr>
        <w:pStyle w:val="Heading3"/>
      </w:pPr>
      <w:bookmarkStart w:id="130" w:name="pan-betacoronavirus-universal-vaccines-1"/>
      <w:r>
        <w:t xml:space="preserve">8.2 Pan-Betacoronavirus (Universal) Vaccines</w:t>
      </w:r>
      <w:bookmarkEnd w:id="130"/>
    </w:p>
    <w:p>
      <w:pPr>
        <w:pStyle w:val="FirstParagraph"/>
      </w:pPr>
      <w:r>
        <w:t xml:space="preserve">Designed to protect against SARS-CoV-2 variants and other sarbecoviruses (e.g., SARS-CoV-1, MERS) by targeting conserved epitopes.</w:t>
      </w:r>
      <w:r>
        <w:t xml:space="preserve"> </w:t>
      </w:r>
      <w:r>
        <w:t xml:space="preserve">*</w:t>
      </w:r>
      <w:r>
        <w:t xml:space="preserve"> </w:t>
      </w:r>
      <w:r>
        <w:rPr>
          <w:b/>
        </w:rPr>
        <w:t xml:space="preserve">Mosaic-8 (Caltech):</w:t>
      </w:r>
      <w:r>
        <w:t xml:space="preserve"> </w:t>
      </w:r>
      <w:r>
        <w:t xml:space="preserve">A nanoparticle displaying Receptor Binding Domains (RBDs) from 8 different sarbecoviruses. It elicits broad cross-reactive antibodies in animal models, protecting against mismatched strains. Phase 1 trials are scheduled for 2025 [cite: 50, 51].</w:t>
      </w:r>
      <w:r>
        <w:t xml:space="preserve"> </w:t>
      </w:r>
      <w:r>
        <w:t xml:space="preserve">*</w:t>
      </w:r>
      <w:r>
        <w:t xml:space="preserve"> </w:t>
      </w:r>
      <w:r>
        <w:rPr>
          <w:b/>
        </w:rPr>
        <w:t xml:space="preserve">SpFN (Walter Reed):</w:t>
      </w:r>
      <w:r>
        <w:t xml:space="preserve"> </w:t>
      </w:r>
      <w:r>
        <w:t xml:space="preserve">A Spike Ferritin Nanoparticle vaccine. Phase 1 data indicates it induces potent neutralizing antibodies against variants of concern and SARS-CoV-1 [cite: 52, 53, 54].</w:t>
      </w:r>
    </w:p>
    <w:p>
      <w:r>
        <w:pict>
          <v:rect style="width:0;height:1.5pt" o:hralign="center" o:hrstd="t" o:hr="t"/>
        </w:pict>
      </w:r>
    </w:p>
    <w:p>
      <w:pPr>
        <w:pStyle w:val="Heading2"/>
      </w:pPr>
      <w:bookmarkStart w:id="131" w:name="unknowns-risks-and-future-directions"/>
      <w:r>
        <w:t xml:space="preserve">9. Unknowns, Risks, and Future Directions</w:t>
      </w:r>
      <w:bookmarkEnd w:id="131"/>
    </w:p>
    <w:p>
      <w:pPr>
        <w:pStyle w:val="Heading3"/>
      </w:pPr>
      <w:bookmarkStart w:id="132" w:name="critical-unknowns-1"/>
      <w:r>
        <w:t xml:space="preserve">9.1 Critical Unknowns</w:t>
      </w:r>
      <w:bookmarkEnd w:id="132"/>
    </w:p>
    <w:p>
      <w:pPr>
        <w:numPr>
          <w:ilvl w:val="0"/>
          <w:numId w:val="1022"/>
        </w:numPr>
        <w:pStyle w:val="Compact"/>
      </w:pPr>
      <w:r>
        <w:rPr>
          <w:b/>
        </w:rPr>
        <w:t xml:space="preserve">Long-term PVS Prognosis:</w:t>
      </w:r>
      <w:r>
        <w:t xml:space="preserve"> </w:t>
      </w:r>
      <w:r>
        <w:t xml:space="preserve">The natural history of Post-Vaccination Syndrome is unknown. Whether immune dysregulation resolves over time or leads to permanent autoimmunity is a critical gap [cite: 25].</w:t>
      </w:r>
    </w:p>
    <w:p>
      <w:pPr>
        <w:numPr>
          <w:ilvl w:val="0"/>
          <w:numId w:val="1022"/>
        </w:numPr>
        <w:pStyle w:val="Compact"/>
      </w:pPr>
      <w:r>
        <w:rPr>
          <w:b/>
        </w:rPr>
        <w:t xml:space="preserve">Mechanism of Spike Persistence:</w:t>
      </w:r>
      <w:r>
        <w:t xml:space="preserve"> </w:t>
      </w:r>
      <w:r>
        <w:t xml:space="preserve">It is unclear why spike protein persists in some individuals. Hypotheses include reverse transcription (highly controversial/unproven in vivo), integration into the genome (unlikely), or persistence in long-lived monocytes [cite: 55].</w:t>
      </w:r>
    </w:p>
    <w:p>
      <w:pPr>
        <w:numPr>
          <w:ilvl w:val="0"/>
          <w:numId w:val="1022"/>
        </w:numPr>
        <w:pStyle w:val="Compact"/>
      </w:pPr>
      <w:r>
        <w:rPr>
          <w:b/>
        </w:rPr>
        <w:t xml:space="preserve">Subclinical Cardiac Scarring:</w:t>
      </w:r>
      <w:r>
        <w:t xml:space="preserve"> </w:t>
      </w:r>
      <w:r>
        <w:t xml:space="preserve">The long-term clinical impact of LGE observed in post-vaccine myocarditis patients requires multi-year follow-up to assess arrhythmia risk [cite: 13].</w:t>
      </w:r>
    </w:p>
    <w:p>
      <w:pPr>
        <w:pStyle w:val="Heading3"/>
      </w:pPr>
      <w:bookmarkStart w:id="133" w:name="risks"/>
      <w:r>
        <w:t xml:space="preserve">9.2 Risks</w:t>
      </w:r>
      <w:bookmarkEnd w:id="133"/>
    </w:p>
    <w:p>
      <w:pPr>
        <w:numPr>
          <w:ilvl w:val="0"/>
          <w:numId w:val="1023"/>
        </w:numPr>
        <w:pStyle w:val="Compact"/>
      </w:pPr>
      <w:r>
        <w:rPr>
          <w:b/>
        </w:rPr>
        <w:t xml:space="preserve">Autoimmunity:</w:t>
      </w:r>
      <w:r>
        <w:t xml:space="preserve"> </w:t>
      </w:r>
      <w:r>
        <w:t xml:space="preserve">The potential for mRNA technology to induce chronic inflammation or autoimmunity in susceptible cohorts remains a safety signal requiring surveillance [cite: 36].</w:t>
      </w:r>
    </w:p>
    <w:p>
      <w:pPr>
        <w:numPr>
          <w:ilvl w:val="0"/>
          <w:numId w:val="1023"/>
        </w:numPr>
        <w:pStyle w:val="Compact"/>
      </w:pPr>
      <w:r>
        <w:rPr>
          <w:b/>
        </w:rPr>
        <w:t xml:space="preserve">Original Antigenic Sin:</w:t>
      </w:r>
      <w:r>
        <w:t xml:space="preserve"> </w:t>
      </w:r>
      <w:r>
        <w:t xml:space="preserve">Repeated boosting with the ancestral spike protein may bias the immune response, potentially reducing efficacy against highly divergent future variants [cite: 51].</w:t>
      </w:r>
    </w:p>
    <w:p>
      <w:pPr>
        <w:pStyle w:val="Heading3"/>
      </w:pPr>
      <w:bookmarkStart w:id="134" w:name="conclusion-1"/>
      <w:r>
        <w:t xml:space="preserve">9.3 Conclusion</w:t>
      </w:r>
      <w:bookmarkEnd w:id="134"/>
    </w:p>
    <w:p>
      <w:pPr>
        <w:pStyle w:val="FirstParagraph"/>
      </w:pPr>
      <w:r>
        <w:t xml:space="preserve">While COVID-19 vaccines have been instrumental in controlling the pandemic, they are associated with a spectrum of rare, long-term effects ranging from transient menstrual changes to serious cardiovascular and neurological conditions. The emergence of Post-Vaccination Syndrome as a distinct neuro-immune entity warrants urgent research. The future of COVID-19 prophylaxis lies in next-generation mucosal and pan-coronavirus vaccines, which aim to decouple protection from the risks associated with current systemic mRNA and viral vector platforms.</w:t>
      </w:r>
    </w:p>
    <w:p>
      <w:pPr>
        <w:pStyle w:val="BodyText"/>
      </w:pPr>
      <w:r>
        <w:rPr>
          <w:b/>
        </w:rPr>
        <w:t xml:space="preserve">Sources:</w:t>
      </w:r>
      <w:r>
        <w:t xml:space="preserve"> </w:t>
      </w:r>
      <w:r>
        <w:t xml:space="preserve">1.</w:t>
      </w:r>
      <w:r>
        <w:t xml:space="preserve"> </w:t>
      </w:r>
      <w:hyperlink r:id="rId135">
        <w:r>
          <w:rPr>
            <w:rStyle w:val="Hyperlink"/>
          </w:rPr>
          <w:t xml:space="preserve">cdc.gov</w:t>
        </w:r>
      </w:hyperlink>
      <w:r>
        <w:t xml:space="preserve"> </w:t>
      </w:r>
      <w:r>
        <w:t xml:space="preserve">2.</w:t>
      </w:r>
      <w:r>
        <w:t xml:space="preserve"> </w:t>
      </w:r>
      <w:hyperlink r:id="rId136">
        <w:r>
          <w:rPr>
            <w:rStyle w:val="Hyperlink"/>
          </w:rPr>
          <w:t xml:space="preserve">nih.gov</w:t>
        </w:r>
      </w:hyperlink>
      <w:r>
        <w:t xml:space="preserve"> </w:t>
      </w:r>
      <w:r>
        <w:t xml:space="preserve">3.</w:t>
      </w:r>
      <w:r>
        <w:t xml:space="preserve"> </w:t>
      </w:r>
      <w:hyperlink r:id="rId137">
        <w:r>
          <w:rPr>
            <w:rStyle w:val="Hyperlink"/>
          </w:rPr>
          <w:t xml:space="preserve">nih.gov</w:t>
        </w:r>
      </w:hyperlink>
      <w:r>
        <w:t xml:space="preserve"> </w:t>
      </w:r>
      <w:r>
        <w:t xml:space="preserve">4.</w:t>
      </w:r>
      <w:r>
        <w:t xml:space="preserve"> </w:t>
      </w:r>
      <w:hyperlink r:id="rId138">
        <w:r>
          <w:rPr>
            <w:rStyle w:val="Hyperlink"/>
          </w:rPr>
          <w:t xml:space="preserve">umn.edu</w:t>
        </w:r>
      </w:hyperlink>
      <w:r>
        <w:t xml:space="preserve"> </w:t>
      </w:r>
      <w:r>
        <w:t xml:space="preserve">5.</w:t>
      </w:r>
      <w:r>
        <w:t xml:space="preserve"> </w:t>
      </w:r>
      <w:hyperlink r:id="rId139">
        <w:r>
          <w:rPr>
            <w:rStyle w:val="Hyperlink"/>
          </w:rPr>
          <w:t xml:space="preserve">psu.edu</w:t>
        </w:r>
      </w:hyperlink>
      <w:r>
        <w:t xml:space="preserve"> </w:t>
      </w:r>
      <w:r>
        <w:t xml:space="preserve">6.</w:t>
      </w:r>
      <w:r>
        <w:t xml:space="preserve"> </w:t>
      </w:r>
      <w:hyperlink r:id="rId140">
        <w:r>
          <w:rPr>
            <w:rStyle w:val="Hyperlink"/>
          </w:rPr>
          <w:t xml:space="preserve">heart.org</w:t>
        </w:r>
      </w:hyperlink>
      <w:r>
        <w:t xml:space="preserve"> </w:t>
      </w:r>
      <w:r>
        <w:t xml:space="preserve">7.</w:t>
      </w:r>
      <w:r>
        <w:t xml:space="preserve"> </w:t>
      </w:r>
      <w:hyperlink r:id="rId141">
        <w:r>
          <w:rPr>
            <w:rStyle w:val="Hyperlink"/>
          </w:rPr>
          <w:t xml:space="preserve">ahajournals.org</w:t>
        </w:r>
      </w:hyperlink>
      <w:r>
        <w:t xml:space="preserve"> </w:t>
      </w:r>
      <w:r>
        <w:t xml:space="preserve">8.</w:t>
      </w:r>
      <w:r>
        <w:t xml:space="preserve"> </w:t>
      </w:r>
      <w:hyperlink r:id="rId142">
        <w:r>
          <w:rPr>
            <w:rStyle w:val="Hyperlink"/>
          </w:rPr>
          <w:t xml:space="preserve">nih.gov</w:t>
        </w:r>
      </w:hyperlink>
      <w:r>
        <w:t xml:space="preserve"> </w:t>
      </w:r>
      <w:r>
        <w:t xml:space="preserve">9.</w:t>
      </w:r>
      <w:r>
        <w:t xml:space="preserve"> </w:t>
      </w:r>
      <w:hyperlink r:id="rId143">
        <w:r>
          <w:rPr>
            <w:rStyle w:val="Hyperlink"/>
          </w:rPr>
          <w:t xml:space="preserve">cdc.gov</w:t>
        </w:r>
      </w:hyperlink>
      <w:r>
        <w:t xml:space="preserve"> </w:t>
      </w:r>
      <w:r>
        <w:t xml:space="preserve">10.</w:t>
      </w:r>
      <w:r>
        <w:t xml:space="preserve"> </w:t>
      </w:r>
      <w:hyperlink r:id="rId144">
        <w:r>
          <w:rPr>
            <w:rStyle w:val="Hyperlink"/>
          </w:rPr>
          <w:t xml:space="preserve">mdpi.com</w:t>
        </w:r>
      </w:hyperlink>
      <w:r>
        <w:t xml:space="preserve"> </w:t>
      </w:r>
      <w:r>
        <w:t xml:space="preserve">11.</w:t>
      </w:r>
      <w:r>
        <w:t xml:space="preserve"> </w:t>
      </w:r>
      <w:hyperlink r:id="rId145">
        <w:r>
          <w:rPr>
            <w:rStyle w:val="Hyperlink"/>
          </w:rPr>
          <w:t xml:space="preserve">pfizer.com</w:t>
        </w:r>
      </w:hyperlink>
      <w:r>
        <w:t xml:space="preserve"> </w:t>
      </w:r>
      <w:r>
        <w:t xml:space="preserve">12.</w:t>
      </w:r>
      <w:r>
        <w:t xml:space="preserve"> </w:t>
      </w:r>
      <w:hyperlink r:id="rId146">
        <w:r>
          <w:rPr>
            <w:rStyle w:val="Hyperlink"/>
          </w:rPr>
          <w:t xml:space="preserve">nih.gov</w:t>
        </w:r>
      </w:hyperlink>
      <w:r>
        <w:t xml:space="preserve"> </w:t>
      </w:r>
      <w:r>
        <w:t xml:space="preserve">13.</w:t>
      </w:r>
      <w:r>
        <w:t xml:space="preserve"> </w:t>
      </w:r>
      <w:hyperlink r:id="rId147">
        <w:r>
          <w:rPr>
            <w:rStyle w:val="Hyperlink"/>
          </w:rPr>
          <w:t xml:space="preserve">news-medical.net</w:t>
        </w:r>
      </w:hyperlink>
      <w:r>
        <w:t xml:space="preserve"> </w:t>
      </w:r>
      <w:r>
        <w:t xml:space="preserve">14.</w:t>
      </w:r>
      <w:r>
        <w:t xml:space="preserve"> </w:t>
      </w:r>
      <w:hyperlink r:id="rId148">
        <w:r>
          <w:rPr>
            <w:rStyle w:val="Hyperlink"/>
          </w:rPr>
          <w:t xml:space="preserve">stanford.edu</w:t>
        </w:r>
      </w:hyperlink>
      <w:r>
        <w:t xml:space="preserve"> </w:t>
      </w:r>
      <w:r>
        <w:t xml:space="preserve">15.</w:t>
      </w:r>
      <w:r>
        <w:t xml:space="preserve"> </w:t>
      </w:r>
      <w:hyperlink r:id="rId149">
        <w:r>
          <w:rPr>
            <w:rStyle w:val="Hyperlink"/>
          </w:rPr>
          <w:t xml:space="preserve">nih.gov</w:t>
        </w:r>
      </w:hyperlink>
      <w:r>
        <w:t xml:space="preserve"> </w:t>
      </w:r>
      <w:r>
        <w:t xml:space="preserve">16.</w:t>
      </w:r>
      <w:r>
        <w:t xml:space="preserve"> </w:t>
      </w:r>
      <w:hyperlink r:id="rId150">
        <w:r>
          <w:rPr>
            <w:rStyle w:val="Hyperlink"/>
          </w:rPr>
          <w:t xml:space="preserve">nih.gov</w:t>
        </w:r>
      </w:hyperlink>
      <w:r>
        <w:t xml:space="preserve"> </w:t>
      </w:r>
      <w:r>
        <w:t xml:space="preserve">17.</w:t>
      </w:r>
      <w:r>
        <w:t xml:space="preserve"> </w:t>
      </w:r>
      <w:hyperlink r:id="rId151">
        <w:r>
          <w:rPr>
            <w:rStyle w:val="Hyperlink"/>
          </w:rPr>
          <w:t xml:space="preserve">nih.gov</w:t>
        </w:r>
      </w:hyperlink>
      <w:r>
        <w:t xml:space="preserve"> </w:t>
      </w:r>
      <w:r>
        <w:t xml:space="preserve">18.</w:t>
      </w:r>
      <w:r>
        <w:t xml:space="preserve"> </w:t>
      </w:r>
      <w:hyperlink r:id="rId152">
        <w:r>
          <w:rPr>
            <w:rStyle w:val="Hyperlink"/>
          </w:rPr>
          <w:t xml:space="preserve">neurology.org</w:t>
        </w:r>
      </w:hyperlink>
      <w:r>
        <w:t xml:space="preserve"> </w:t>
      </w:r>
      <w:r>
        <w:t xml:space="preserve">19.</w:t>
      </w:r>
      <w:r>
        <w:t xml:space="preserve"> </w:t>
      </w:r>
      <w:hyperlink r:id="rId153">
        <w:r>
          <w:rPr>
            <w:rStyle w:val="Hyperlink"/>
          </w:rPr>
          <w:t xml:space="preserve">nih.gov</w:t>
        </w:r>
      </w:hyperlink>
      <w:r>
        <w:t xml:space="preserve"> </w:t>
      </w:r>
      <w:r>
        <w:t xml:space="preserve">20.</w:t>
      </w:r>
      <w:r>
        <w:t xml:space="preserve"> </w:t>
      </w:r>
      <w:hyperlink r:id="rId154">
        <w:r>
          <w:rPr>
            <w:rStyle w:val="Hyperlink"/>
          </w:rPr>
          <w:t xml:space="preserve">maryland.gov</w:t>
        </w:r>
      </w:hyperlink>
      <w:r>
        <w:t xml:space="preserve"> </w:t>
      </w:r>
      <w:r>
        <w:t xml:space="preserve">21.</w:t>
      </w:r>
      <w:r>
        <w:t xml:space="preserve"> </w:t>
      </w:r>
      <w:hyperlink r:id="rId155">
        <w:r>
          <w:rPr>
            <w:rStyle w:val="Hyperlink"/>
          </w:rPr>
          <w:t xml:space="preserve">nih.gov</w:t>
        </w:r>
      </w:hyperlink>
      <w:r>
        <w:t xml:space="preserve"> </w:t>
      </w:r>
      <w:r>
        <w:t xml:space="preserve">22.</w:t>
      </w:r>
      <w:r>
        <w:t xml:space="preserve"> </w:t>
      </w:r>
      <w:hyperlink r:id="rId156">
        <w:r>
          <w:rPr>
            <w:rStyle w:val="Hyperlink"/>
          </w:rPr>
          <w:t xml:space="preserve">nih.gov</w:t>
        </w:r>
      </w:hyperlink>
      <w:r>
        <w:t xml:space="preserve"> </w:t>
      </w:r>
      <w:r>
        <w:t xml:space="preserve">23.</w:t>
      </w:r>
      <w:r>
        <w:t xml:space="preserve"> </w:t>
      </w:r>
      <w:hyperlink r:id="rId157">
        <w:r>
          <w:rPr>
            <w:rStyle w:val="Hyperlink"/>
          </w:rPr>
          <w:t xml:space="preserve">tandfonline.com</w:t>
        </w:r>
      </w:hyperlink>
      <w:r>
        <w:t xml:space="preserve"> </w:t>
      </w:r>
      <w:r>
        <w:t xml:space="preserve">24.</w:t>
      </w:r>
      <w:r>
        <w:t xml:space="preserve"> </w:t>
      </w:r>
      <w:hyperlink r:id="rId158">
        <w:r>
          <w:rPr>
            <w:rStyle w:val="Hyperlink"/>
          </w:rPr>
          <w:t xml:space="preserve">mdpi.com</w:t>
        </w:r>
      </w:hyperlink>
      <w:r>
        <w:t xml:space="preserve"> </w:t>
      </w:r>
      <w:r>
        <w:t xml:space="preserve">25.</w:t>
      </w:r>
      <w:r>
        <w:t xml:space="preserve"> </w:t>
      </w:r>
      <w:hyperlink r:id="rId159">
        <w:r>
          <w:rPr>
            <w:rStyle w:val="Hyperlink"/>
          </w:rPr>
          <w:t xml:space="preserve">medpagetoday.com</w:t>
        </w:r>
      </w:hyperlink>
      <w:r>
        <w:t xml:space="preserve"> </w:t>
      </w:r>
      <w:r>
        <w:t xml:space="preserve">26.</w:t>
      </w:r>
      <w:r>
        <w:t xml:space="preserve"> </w:t>
      </w:r>
      <w:hyperlink r:id="rId160">
        <w:r>
          <w:rPr>
            <w:rStyle w:val="Hyperlink"/>
          </w:rPr>
          <w:t xml:space="preserve">yale.edu</w:t>
        </w:r>
      </w:hyperlink>
      <w:r>
        <w:t xml:space="preserve"> </w:t>
      </w:r>
      <w:r>
        <w:t xml:space="preserve">27.</w:t>
      </w:r>
      <w:r>
        <w:t xml:space="preserve"> </w:t>
      </w:r>
      <w:hyperlink r:id="rId161">
        <w:r>
          <w:rPr>
            <w:rStyle w:val="Hyperlink"/>
          </w:rPr>
          <w:t xml:space="preserve">medrxiv.org</w:t>
        </w:r>
      </w:hyperlink>
      <w:r>
        <w:t xml:space="preserve"> </w:t>
      </w:r>
      <w:r>
        <w:t xml:space="preserve">28.</w:t>
      </w:r>
      <w:r>
        <w:t xml:space="preserve"> </w:t>
      </w:r>
      <w:hyperlink r:id="rId162">
        <w:r>
          <w:rPr>
            <w:rStyle w:val="Hyperlink"/>
          </w:rPr>
          <w:t xml:space="preserve">medrxiv.org</w:t>
        </w:r>
      </w:hyperlink>
      <w:r>
        <w:t xml:space="preserve"> </w:t>
      </w:r>
      <w:r>
        <w:t xml:space="preserve">29.</w:t>
      </w:r>
      <w:r>
        <w:t xml:space="preserve"> </w:t>
      </w:r>
      <w:hyperlink r:id="rId163">
        <w:r>
          <w:rPr>
            <w:rStyle w:val="Hyperlink"/>
          </w:rPr>
          <w:t xml:space="preserve">medrxiv.org</w:t>
        </w:r>
      </w:hyperlink>
      <w:r>
        <w:t xml:space="preserve"> </w:t>
      </w:r>
      <w:r>
        <w:t xml:space="preserve">30.</w:t>
      </w:r>
      <w:r>
        <w:t xml:space="preserve"> </w:t>
      </w:r>
      <w:hyperlink r:id="rId164">
        <w:r>
          <w:rPr>
            <w:rStyle w:val="Hyperlink"/>
          </w:rPr>
          <w:t xml:space="preserve">nih.gov</w:t>
        </w:r>
      </w:hyperlink>
      <w:r>
        <w:t xml:space="preserve"> </w:t>
      </w:r>
      <w:r>
        <w:t xml:space="preserve">31.</w:t>
      </w:r>
      <w:r>
        <w:t xml:space="preserve"> </w:t>
      </w:r>
      <w:hyperlink r:id="rId165">
        <w:r>
          <w:rPr>
            <w:rStyle w:val="Hyperlink"/>
          </w:rPr>
          <w:t xml:space="preserve">frontiersin.org</w:t>
        </w:r>
      </w:hyperlink>
      <w:r>
        <w:t xml:space="preserve"> </w:t>
      </w:r>
      <w:r>
        <w:t xml:space="preserve">32.</w:t>
      </w:r>
      <w:r>
        <w:t xml:space="preserve"> </w:t>
      </w:r>
      <w:hyperlink r:id="rId166">
        <w:r>
          <w:rPr>
            <w:rStyle w:val="Hyperlink"/>
          </w:rPr>
          <w:t xml:space="preserve">auctoresonline.org</w:t>
        </w:r>
      </w:hyperlink>
      <w:r>
        <w:t xml:space="preserve"> </w:t>
      </w:r>
      <w:r>
        <w:t xml:space="preserve">33.</w:t>
      </w:r>
      <w:r>
        <w:t xml:space="preserve"> </w:t>
      </w:r>
      <w:hyperlink r:id="rId167">
        <w:r>
          <w:rPr>
            <w:rStyle w:val="Hyperlink"/>
          </w:rPr>
          <w:t xml:space="preserve">researchgate.net</w:t>
        </w:r>
      </w:hyperlink>
      <w:r>
        <w:t xml:space="preserve"> </w:t>
      </w:r>
      <w:r>
        <w:t xml:space="preserve">34.</w:t>
      </w:r>
      <w:r>
        <w:t xml:space="preserve"> </w:t>
      </w:r>
      <w:hyperlink r:id="rId168">
        <w:r>
          <w:rPr>
            <w:rStyle w:val="Hyperlink"/>
          </w:rPr>
          <w:t xml:space="preserve">harvard.edu</w:t>
        </w:r>
      </w:hyperlink>
      <w:r>
        <w:t xml:space="preserve"> </w:t>
      </w:r>
      <w:r>
        <w:t xml:space="preserve">35.</w:t>
      </w:r>
      <w:r>
        <w:t xml:space="preserve"> </w:t>
      </w:r>
      <w:hyperlink r:id="rId169">
        <w:r>
          <w:rPr>
            <w:rStyle w:val="Hyperlink"/>
          </w:rPr>
          <w:t xml:space="preserve">nih.gov</w:t>
        </w:r>
      </w:hyperlink>
      <w:r>
        <w:t xml:space="preserve"> </w:t>
      </w:r>
      <w:r>
        <w:t xml:space="preserve">36.</w:t>
      </w:r>
      <w:r>
        <w:t xml:space="preserve"> </w:t>
      </w:r>
      <w:hyperlink r:id="rId170">
        <w:r>
          <w:rPr>
            <w:rStyle w:val="Hyperlink"/>
          </w:rPr>
          <w:t xml:space="preserve">tandfonline.com</w:t>
        </w:r>
      </w:hyperlink>
      <w:r>
        <w:t xml:space="preserve"> </w:t>
      </w:r>
      <w:r>
        <w:t xml:space="preserve">37.</w:t>
      </w:r>
      <w:r>
        <w:t xml:space="preserve"> </w:t>
      </w:r>
      <w:hyperlink r:id="rId171">
        <w:r>
          <w:rPr>
            <w:rStyle w:val="Hyperlink"/>
          </w:rPr>
          <w:t xml:space="preserve">preprints.org</w:t>
        </w:r>
      </w:hyperlink>
      <w:r>
        <w:t xml:space="preserve"> </w:t>
      </w:r>
      <w:r>
        <w:t xml:space="preserve">38.</w:t>
      </w:r>
      <w:r>
        <w:t xml:space="preserve"> </w:t>
      </w:r>
      <w:hyperlink r:id="rId172">
        <w:r>
          <w:rPr>
            <w:rStyle w:val="Hyperlink"/>
          </w:rPr>
          <w:t xml:space="preserve">lmu.de</w:t>
        </w:r>
      </w:hyperlink>
      <w:r>
        <w:t xml:space="preserve"> </w:t>
      </w:r>
      <w:r>
        <w:t xml:space="preserve">39.</w:t>
      </w:r>
      <w:r>
        <w:t xml:space="preserve"> </w:t>
      </w:r>
      <w:hyperlink r:id="rId173">
        <w:r>
          <w:rPr>
            <w:rStyle w:val="Hyperlink"/>
          </w:rPr>
          <w:t xml:space="preserve">nih.gov</w:t>
        </w:r>
      </w:hyperlink>
      <w:r>
        <w:t xml:space="preserve"> </w:t>
      </w:r>
      <w:r>
        <w:t xml:space="preserve">40.</w:t>
      </w:r>
      <w:r>
        <w:t xml:space="preserve"> </w:t>
      </w:r>
      <w:hyperlink r:id="rId174">
        <w:r>
          <w:rPr>
            <w:rStyle w:val="Hyperlink"/>
          </w:rPr>
          <w:t xml:space="preserve">time.com</w:t>
        </w:r>
      </w:hyperlink>
      <w:r>
        <w:t xml:space="preserve"> </w:t>
      </w:r>
      <w:r>
        <w:t xml:space="preserve">41.</w:t>
      </w:r>
      <w:r>
        <w:t xml:space="preserve"> </w:t>
      </w:r>
      <w:hyperlink r:id="rId175">
        <w:r>
          <w:rPr>
            <w:rStyle w:val="Hyperlink"/>
          </w:rPr>
          <w:t xml:space="preserve">cdc.gov</w:t>
        </w:r>
      </w:hyperlink>
      <w:r>
        <w:t xml:space="preserve"> </w:t>
      </w:r>
      <w:r>
        <w:t xml:space="preserve">42.</w:t>
      </w:r>
      <w:r>
        <w:t xml:space="preserve"> </w:t>
      </w:r>
      <w:hyperlink r:id="rId176">
        <w:r>
          <w:rPr>
            <w:rStyle w:val="Hyperlink"/>
          </w:rPr>
          <w:t xml:space="preserve">nih.gov</w:t>
        </w:r>
      </w:hyperlink>
      <w:r>
        <w:t xml:space="preserve"> </w:t>
      </w:r>
      <w:r>
        <w:t xml:space="preserve">43.</w:t>
      </w:r>
      <w:r>
        <w:t xml:space="preserve"> </w:t>
      </w:r>
      <w:hyperlink r:id="rId177">
        <w:r>
          <w:rPr>
            <w:rStyle w:val="Hyperlink"/>
          </w:rPr>
          <w:t xml:space="preserve">drugdiscoverynews.com</w:t>
        </w:r>
      </w:hyperlink>
      <w:r>
        <w:t xml:space="preserve"> </w:t>
      </w:r>
      <w:r>
        <w:t xml:space="preserve">44.</w:t>
      </w:r>
      <w:r>
        <w:t xml:space="preserve"> </w:t>
      </w:r>
      <w:hyperlink r:id="rId178">
        <w:r>
          <w:rPr>
            <w:rStyle w:val="Hyperlink"/>
          </w:rPr>
          <w:t xml:space="preserve">eatg.org</w:t>
        </w:r>
      </w:hyperlink>
      <w:r>
        <w:t xml:space="preserve"> </w:t>
      </w:r>
      <w:r>
        <w:t xml:space="preserve">45.</w:t>
      </w:r>
      <w:r>
        <w:t xml:space="preserve"> </w:t>
      </w:r>
      <w:hyperlink r:id="rId179">
        <w:r>
          <w:rPr>
            <w:rStyle w:val="Hyperlink"/>
          </w:rPr>
          <w:t xml:space="preserve">codagenix.com</w:t>
        </w:r>
      </w:hyperlink>
      <w:r>
        <w:t xml:space="preserve"> </w:t>
      </w:r>
      <w:r>
        <w:t xml:space="preserve">46.</w:t>
      </w:r>
      <w:r>
        <w:t xml:space="preserve"> </w:t>
      </w:r>
      <w:hyperlink r:id="rId180">
        <w:r>
          <w:rPr>
            <w:rStyle w:val="Hyperlink"/>
          </w:rPr>
          <w:t xml:space="preserve">wikipedia.org</w:t>
        </w:r>
      </w:hyperlink>
      <w:r>
        <w:t xml:space="preserve"> </w:t>
      </w:r>
      <w:r>
        <w:t xml:space="preserve">47.</w:t>
      </w:r>
      <w:r>
        <w:t xml:space="preserve"> </w:t>
      </w:r>
      <w:hyperlink r:id="rId181">
        <w:r>
          <w:rPr>
            <w:rStyle w:val="Hyperlink"/>
          </w:rPr>
          <w:t xml:space="preserve">plos.org</w:t>
        </w:r>
      </w:hyperlink>
      <w:r>
        <w:t xml:space="preserve"> </w:t>
      </w:r>
      <w:r>
        <w:t xml:space="preserve">48.</w:t>
      </w:r>
      <w:r>
        <w:t xml:space="preserve"> </w:t>
      </w:r>
      <w:hyperlink r:id="rId182">
        <w:r>
          <w:rPr>
            <w:rStyle w:val="Hyperlink"/>
          </w:rPr>
          <w:t xml:space="preserve">vax-before-travel.com</w:t>
        </w:r>
      </w:hyperlink>
      <w:r>
        <w:t xml:space="preserve"> </w:t>
      </w:r>
      <w:r>
        <w:t xml:space="preserve">49.</w:t>
      </w:r>
      <w:r>
        <w:t xml:space="preserve"> </w:t>
      </w:r>
      <w:hyperlink r:id="rId183">
        <w:r>
          <w:rPr>
            <w:rStyle w:val="Hyperlink"/>
          </w:rPr>
          <w:t xml:space="preserve">nih.gov</w:t>
        </w:r>
      </w:hyperlink>
      <w:r>
        <w:t xml:space="preserve"> </w:t>
      </w:r>
      <w:r>
        <w:t xml:space="preserve">50.</w:t>
      </w:r>
      <w:r>
        <w:t xml:space="preserve"> </w:t>
      </w:r>
      <w:hyperlink r:id="rId184">
        <w:r>
          <w:rPr>
            <w:rStyle w:val="Hyperlink"/>
          </w:rPr>
          <w:t xml:space="preserve">mit.edu</w:t>
        </w:r>
      </w:hyperlink>
      <w:r>
        <w:t xml:space="preserve"> </w:t>
      </w:r>
      <w:r>
        <w:t xml:space="preserve">51.</w:t>
      </w:r>
      <w:r>
        <w:t xml:space="preserve"> </w:t>
      </w:r>
      <w:hyperlink r:id="rId185">
        <w:r>
          <w:rPr>
            <w:rStyle w:val="Hyperlink"/>
          </w:rPr>
          <w:t xml:space="preserve">caltech.edu</w:t>
        </w:r>
      </w:hyperlink>
      <w:r>
        <w:t xml:space="preserve"> </w:t>
      </w:r>
      <w:r>
        <w:t xml:space="preserve">52.</w:t>
      </w:r>
      <w:r>
        <w:t xml:space="preserve"> </w:t>
      </w:r>
      <w:hyperlink r:id="rId186">
        <w:r>
          <w:rPr>
            <w:rStyle w:val="Hyperlink"/>
          </w:rPr>
          <w:t xml:space="preserve">drugdiscoverytrends.com</w:t>
        </w:r>
      </w:hyperlink>
      <w:r>
        <w:t xml:space="preserve"> </w:t>
      </w:r>
      <w:r>
        <w:t xml:space="preserve">53.</w:t>
      </w:r>
      <w:r>
        <w:t xml:space="preserve"> </w:t>
      </w:r>
      <w:hyperlink r:id="rId187">
        <w:r>
          <w:rPr>
            <w:rStyle w:val="Hyperlink"/>
          </w:rPr>
          <w:t xml:space="preserve">army.mil</w:t>
        </w:r>
      </w:hyperlink>
      <w:r>
        <w:t xml:space="preserve"> </w:t>
      </w:r>
      <w:r>
        <w:t xml:space="preserve">54.</w:t>
      </w:r>
      <w:r>
        <w:t xml:space="preserve"> </w:t>
      </w:r>
      <w:hyperlink r:id="rId188">
        <w:r>
          <w:rPr>
            <w:rStyle w:val="Hyperlink"/>
          </w:rPr>
          <w:t xml:space="preserve">nih.gov</w:t>
        </w:r>
      </w:hyperlink>
      <w:r>
        <w:t xml:space="preserve"> </w:t>
      </w:r>
      <w:r>
        <w:t xml:space="preserve">55.</w:t>
      </w:r>
      <w:r>
        <w:t xml:space="preserve"> </w:t>
      </w:r>
      <w:hyperlink r:id="rId189">
        <w:r>
          <w:rPr>
            <w:rStyle w:val="Hyperlink"/>
          </w:rPr>
          <w:t xml:space="preserve">nih.gov</w:t>
        </w:r>
      </w:hyperlink>
    </w:p>
    <w:p>
      <w:pPr>
        <w:pStyle w:val="Heading1"/>
      </w:pPr>
      <w:bookmarkStart w:id="190" w:name="visual-assets-plan"/>
      <w:r>
        <w:t xml:space="preserve">Visual Assets Plan</w:t>
      </w:r>
      <w:bookmarkEnd w:id="190"/>
    </w:p>
    <w:p>
      <w:pPr>
        <w:pStyle w:val="FirstParagraph"/>
      </w:pPr>
      <w:r>
        <w:t xml:space="preserve">The following visual elements are recommended for this document:</w:t>
      </w:r>
    </w:p>
    <w:tbl>
      <w:tblPr>
        <w:tblStyle w:val="Table"/>
        <w:tblW w:type="pct" w:w="5000.0"/>
        <w:tblLook w:firstRow="1"/>
      </w:tblPr>
      <w:tblGrid>
        <w:gridCol w:w="1616"/>
        <w:gridCol w:w="2101"/>
        <w:gridCol w:w="1454"/>
        <w:gridCol w:w="1777"/>
        <w:gridCol w:w="969"/>
      </w:tblGrid>
      <w:tr>
        <w:trPr>
          <w:cnfStyle w:firstRow="1"/>
        </w:trPr>
        <w:tc>
          <w:tcPr>
            <w:tcBorders>
              <w:bottom w:val="single"/>
            </w:tcBorders>
            <w:vAlign w:val="bottom"/>
          </w:tcPr>
          <w:p>
            <w:pPr>
              <w:pStyle w:val="Compact"/>
              <w:jc w:val="left"/>
            </w:pPr>
            <w:r>
              <w:t xml:space="preserve">Visual #</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Placement</w:t>
            </w:r>
          </w:p>
        </w:tc>
        <w:tc>
          <w:tcPr>
            <w:tcBorders>
              <w:bottom w:val="single"/>
            </w:tcBorders>
            <w:vAlign w:val="bottom"/>
          </w:tcPr>
          <w:p>
            <w:pPr>
              <w:pStyle w:val="Compact"/>
              <w:jc w:val="left"/>
            </w:pPr>
            <w:r>
              <w:t xml:space="preserve">Type</w:t>
            </w:r>
          </w:p>
        </w:tc>
      </w:tr>
      <w:tr>
        <w:tc>
          <w:p>
            <w:pPr>
              <w:pStyle w:val="Compact"/>
              <w:jc w:val="left"/>
            </w:pPr>
            <w:r>
              <w:t xml:space="preserve">1</w:t>
            </w:r>
          </w:p>
        </w:tc>
        <w:tc>
          <w:p>
            <w:pPr>
              <w:pStyle w:val="Compact"/>
              <w:jc w:val="left"/>
            </w:pPr>
            <w:r>
              <w:t xml:space="preserve">Title/hero image showing COVID-19 vaccination</w:t>
            </w:r>
          </w:p>
        </w:tc>
        <w:tc>
          <w:p>
            <w:pPr>
              <w:pStyle w:val="Compact"/>
              <w:jc w:val="left"/>
            </w:pPr>
            <w:r>
              <w:t xml:space="preserve">Sets context and humanizes the topic</w:t>
            </w:r>
          </w:p>
        </w:tc>
        <w:tc>
          <w:p>
            <w:pPr>
              <w:pStyle w:val="Compact"/>
              <w:jc w:val="left"/>
            </w:pPr>
            <w:r>
              <w:t xml:space="preserve">Title/Introduction</w:t>
            </w:r>
          </w:p>
        </w:tc>
        <w:tc>
          <w:p>
            <w:pPr>
              <w:pStyle w:val="Compact"/>
              <w:jc w:val="left"/>
            </w:pPr>
            <w:r>
              <w:t xml:space="preserve">Photo</w:t>
            </w:r>
          </w:p>
        </w:tc>
      </w:tr>
      <w:tr>
        <w:tc>
          <w:p>
            <w:pPr>
              <w:pStyle w:val="Compact"/>
              <w:jc w:val="left"/>
            </w:pPr>
            <w:r>
              <w:t xml:space="preserve">2</w:t>
            </w:r>
          </w:p>
        </w:tc>
        <w:tc>
          <w:p>
            <w:pPr>
              <w:pStyle w:val="Compact"/>
              <w:jc w:val="left"/>
            </w:pPr>
            <w:r>
              <w:t xml:space="preserve">Timeline of COVID-19 vaccine development</w:t>
            </w:r>
          </w:p>
        </w:tc>
        <w:tc>
          <w:p>
            <w:pPr>
              <w:pStyle w:val="Compact"/>
              <w:jc w:val="left"/>
            </w:pPr>
            <w:r>
              <w:t xml:space="preserve">Illustrates rapid progress and milestones</w:t>
            </w:r>
          </w:p>
        </w:tc>
        <w:tc>
          <w:p>
            <w:pPr>
              <w:pStyle w:val="Compact"/>
              <w:jc w:val="left"/>
            </w:pPr>
            <w:r>
              <w:t xml:space="preserve">Background &amp; Historical Context</w:t>
            </w:r>
          </w:p>
        </w:tc>
        <w:tc>
          <w:p>
            <w:pPr>
              <w:pStyle w:val="Compact"/>
              <w:jc w:val="left"/>
            </w:pPr>
            <w:r>
              <w:t xml:space="preserve">Infographic</w:t>
            </w:r>
          </w:p>
        </w:tc>
      </w:tr>
      <w:tr>
        <w:tc>
          <w:p>
            <w:pPr>
              <w:pStyle w:val="Compact"/>
              <w:jc w:val="left"/>
            </w:pPr>
            <w:r>
              <w:t xml:space="preserve">3</w:t>
            </w:r>
          </w:p>
        </w:tc>
        <w:tc>
          <w:p>
            <w:pPr>
              <w:pStyle w:val="Compact"/>
              <w:jc w:val="left"/>
            </w:pPr>
            <w:r>
              <w:t xml:space="preserve">Diagram of mRNA and viral vector vaccine mechanisms</w:t>
            </w:r>
          </w:p>
        </w:tc>
        <w:tc>
          <w:p>
            <w:pPr>
              <w:pStyle w:val="Compact"/>
              <w:jc w:val="left"/>
            </w:pPr>
            <w:r>
              <w:t xml:space="preserve">Explains scientific principles</w:t>
            </w:r>
          </w:p>
        </w:tc>
        <w:tc>
          <w:p>
            <w:pPr>
              <w:pStyle w:val="Compact"/>
              <w:jc w:val="left"/>
            </w:pPr>
            <w:r>
              <w:t xml:space="preserve">Core Content (Vaccine Types)</w:t>
            </w:r>
          </w:p>
        </w:tc>
        <w:tc>
          <w:p>
            <w:pPr>
              <w:pStyle w:val="Compact"/>
              <w:jc w:val="left"/>
            </w:pPr>
            <w:r>
              <w:t xml:space="preserve">Diagram</w:t>
            </w:r>
          </w:p>
        </w:tc>
      </w:tr>
      <w:tr>
        <w:tc>
          <w:p>
            <w:pPr>
              <w:pStyle w:val="Compact"/>
              <w:jc w:val="left"/>
            </w:pPr>
            <w:r>
              <w:t xml:space="preserve">4</w:t>
            </w:r>
          </w:p>
        </w:tc>
        <w:tc>
          <w:p>
            <w:pPr>
              <w:pStyle w:val="Compact"/>
              <w:jc w:val="left"/>
            </w:pPr>
            <w:r>
              <w:t xml:space="preserve">Chart of immune response over time</w:t>
            </w:r>
          </w:p>
        </w:tc>
        <w:tc>
          <w:p>
            <w:pPr>
              <w:pStyle w:val="Compact"/>
              <w:jc w:val="left"/>
            </w:pPr>
            <w:r>
              <w:t xml:space="preserve">Visualizes duration and waning of immunity</w:t>
            </w:r>
          </w:p>
        </w:tc>
        <w:tc>
          <w:p>
            <w:pPr>
              <w:pStyle w:val="Compact"/>
              <w:jc w:val="left"/>
            </w:pPr>
            <w:r>
              <w:t xml:space="preserve">Core Content (Immune Response)</w:t>
            </w:r>
          </w:p>
        </w:tc>
        <w:tc>
          <w:p>
            <w:pPr>
              <w:pStyle w:val="Compact"/>
              <w:jc w:val="left"/>
            </w:pPr>
            <w:r>
              <w:t xml:space="preserve">Line Chart</w:t>
            </w:r>
          </w:p>
        </w:tc>
      </w:tr>
      <w:tr>
        <w:tc>
          <w:p>
            <w:pPr>
              <w:pStyle w:val="Compact"/>
              <w:jc w:val="left"/>
            </w:pPr>
            <w:r>
              <w:t xml:space="preserve">5</w:t>
            </w:r>
          </w:p>
        </w:tc>
        <w:tc>
          <w:p>
            <w:pPr>
              <w:pStyle w:val="Compact"/>
              <w:jc w:val="left"/>
            </w:pPr>
            <w:r>
              <w:t xml:space="preserve">Table comparing common and rare vaccine side effects</w:t>
            </w:r>
          </w:p>
        </w:tc>
        <w:tc>
          <w:p>
            <w:pPr>
              <w:pStyle w:val="Compact"/>
              <w:jc w:val="left"/>
            </w:pPr>
            <w:r>
              <w:t xml:space="preserve">Summarizes adverse event data</w:t>
            </w:r>
          </w:p>
        </w:tc>
        <w:tc>
          <w:p>
            <w:pPr>
              <w:pStyle w:val="Compact"/>
              <w:jc w:val="left"/>
            </w:pPr>
            <w:r>
              <w:t xml:space="preserve">Core Content (Adverse Events)</w:t>
            </w:r>
          </w:p>
        </w:tc>
        <w:tc>
          <w:p>
            <w:pPr>
              <w:pStyle w:val="Compact"/>
              <w:jc w:val="left"/>
            </w:pPr>
            <w:r>
              <w:t xml:space="preserve">Table</w:t>
            </w:r>
          </w:p>
        </w:tc>
      </w:tr>
      <w:tr>
        <w:tc>
          <w:p>
            <w:pPr>
              <w:pStyle w:val="Compact"/>
              <w:jc w:val="left"/>
            </w:pPr>
            <w:r>
              <w:t xml:space="preserve">6</w:t>
            </w:r>
          </w:p>
        </w:tc>
        <w:tc>
          <w:p>
            <w:pPr>
              <w:pStyle w:val="Compact"/>
              <w:jc w:val="left"/>
            </w:pPr>
            <w:r>
              <w:t xml:space="preserve">Infographic of vaccine effectiveness vs. time</w:t>
            </w:r>
          </w:p>
        </w:tc>
        <w:tc>
          <w:p>
            <w:pPr>
              <w:pStyle w:val="Compact"/>
              <w:jc w:val="left"/>
            </w:pPr>
            <w:r>
              <w:t xml:space="preserve">Shows trends in protection</w:t>
            </w:r>
          </w:p>
        </w:tc>
        <w:tc>
          <w:p>
            <w:pPr>
              <w:pStyle w:val="Compact"/>
              <w:jc w:val="left"/>
            </w:pPr>
            <w:r>
              <w:t xml:space="preserve">Data, Statistics &amp; Analysis</w:t>
            </w:r>
          </w:p>
        </w:tc>
        <w:tc>
          <w:p>
            <w:pPr>
              <w:pStyle w:val="Compact"/>
              <w:jc w:val="left"/>
            </w:pPr>
            <w:r>
              <w:t xml:space="preserve">Infographic</w:t>
            </w:r>
          </w:p>
        </w:tc>
      </w:tr>
      <w:tr>
        <w:tc>
          <w:p>
            <w:pPr>
              <w:pStyle w:val="Compact"/>
              <w:jc w:val="left"/>
            </w:pPr>
            <w:r>
              <w:t xml:space="preserve">7</w:t>
            </w:r>
          </w:p>
        </w:tc>
        <w:tc>
          <w:p>
            <w:pPr>
              <w:pStyle w:val="Compact"/>
              <w:jc w:val="left"/>
            </w:pPr>
            <w:r>
              <w:t xml:space="preserve">Bar chart comparing risks: vaccine vs. infection</w:t>
            </w:r>
          </w:p>
        </w:tc>
        <w:tc>
          <w:p>
            <w:pPr>
              <w:pStyle w:val="Compact"/>
              <w:jc w:val="left"/>
            </w:pPr>
            <w:r>
              <w:t xml:space="preserve">Contextualizes relative risks</w:t>
            </w:r>
          </w:p>
        </w:tc>
        <w:tc>
          <w:p>
            <w:pPr>
              <w:pStyle w:val="Compact"/>
              <w:jc w:val="left"/>
            </w:pPr>
            <w:r>
              <w:t xml:space="preserve">Data, Statistics &amp; Analysis</w:t>
            </w:r>
          </w:p>
        </w:tc>
        <w:tc>
          <w:p>
            <w:pPr>
              <w:pStyle w:val="Compact"/>
              <w:jc w:val="left"/>
            </w:pPr>
            <w:r>
              <w:t xml:space="preserve">Bar Chart</w:t>
            </w:r>
          </w:p>
        </w:tc>
      </w:tr>
      <w:tr>
        <w:tc>
          <w:p>
            <w:pPr>
              <w:pStyle w:val="Compact"/>
              <w:jc w:val="left"/>
            </w:pPr>
            <w:r>
              <w:t xml:space="preserve">8</w:t>
            </w:r>
          </w:p>
        </w:tc>
        <w:tc>
          <w:p>
            <w:pPr>
              <w:pStyle w:val="Compact"/>
              <w:jc w:val="left"/>
            </w:pPr>
            <w:r>
              <w:t xml:space="preserve">Map showing global vaccine uptake</w:t>
            </w:r>
          </w:p>
        </w:tc>
        <w:tc>
          <w:p>
            <w:pPr>
              <w:pStyle w:val="Compact"/>
              <w:jc w:val="left"/>
            </w:pPr>
            <w:r>
              <w:t xml:space="preserve">Highlights worldwide impact</w:t>
            </w:r>
          </w:p>
        </w:tc>
        <w:tc>
          <w:p>
            <w:pPr>
              <w:pStyle w:val="Compact"/>
              <w:jc w:val="left"/>
            </w:pPr>
            <w:r>
              <w:t xml:space="preserve">Background/Core Content</w:t>
            </w:r>
          </w:p>
        </w:tc>
        <w:tc>
          <w:p>
            <w:pPr>
              <w:pStyle w:val="Compact"/>
              <w:jc w:val="left"/>
            </w:pPr>
            <w:r>
              <w:t xml:space="preserve">Map</w:t>
            </w:r>
          </w:p>
        </w:tc>
      </w:tr>
      <w:tr>
        <w:tc>
          <w:p>
            <w:pPr>
              <w:pStyle w:val="Compact"/>
              <w:jc w:val="left"/>
            </w:pPr>
            <w:r>
              <w:t xml:space="preserve">9</w:t>
            </w:r>
          </w:p>
        </w:tc>
        <w:tc>
          <w:p>
            <w:pPr>
              <w:pStyle w:val="Compact"/>
              <w:jc w:val="left"/>
            </w:pPr>
            <w:r>
              <w:t xml:space="preserve">Photo of healthcare workers counseling patients</w:t>
            </w:r>
          </w:p>
        </w:tc>
        <w:tc>
          <w:p>
            <w:pPr>
              <w:pStyle w:val="Compact"/>
              <w:jc w:val="left"/>
            </w:pPr>
            <w:r>
              <w:t xml:space="preserve">Illustrates best practices</w:t>
            </w:r>
          </w:p>
        </w:tc>
        <w:tc>
          <w:p>
            <w:pPr>
              <w:pStyle w:val="Compact"/>
              <w:jc w:val="left"/>
            </w:pPr>
            <w:r>
              <w:t xml:space="preserve">Best Practices &amp; Recommendations</w:t>
            </w:r>
          </w:p>
        </w:tc>
        <w:tc>
          <w:p>
            <w:pPr>
              <w:pStyle w:val="Compact"/>
              <w:jc w:val="left"/>
            </w:pPr>
            <w:r>
              <w:t xml:space="preserve">Photo</w:t>
            </w:r>
          </w:p>
        </w:tc>
      </w:tr>
      <w:tr>
        <w:tc>
          <w:p>
            <w:pPr>
              <w:pStyle w:val="Compact"/>
              <w:jc w:val="left"/>
            </w:pPr>
            <w:r>
              <w:t xml:space="preserve">10</w:t>
            </w:r>
          </w:p>
        </w:tc>
        <w:tc>
          <w:p>
            <w:pPr>
              <w:pStyle w:val="Compact"/>
              <w:jc w:val="left"/>
            </w:pPr>
            <w:r>
              <w:t xml:space="preserve">Flowchart of vaccine safety surveillance process</w:t>
            </w:r>
          </w:p>
        </w:tc>
        <w:tc>
          <w:p>
            <w:pPr>
              <w:pStyle w:val="Compact"/>
              <w:jc w:val="left"/>
            </w:pPr>
            <w:r>
              <w:t xml:space="preserve">Explains monitoring systems</w:t>
            </w:r>
          </w:p>
        </w:tc>
        <w:tc>
          <w:p>
            <w:pPr>
              <w:pStyle w:val="Compact"/>
              <w:jc w:val="left"/>
            </w:pPr>
            <w:r>
              <w:t xml:space="preserve">Data, Statistics &amp; Analysis</w:t>
            </w:r>
          </w:p>
        </w:tc>
        <w:tc>
          <w:p>
            <w:pPr>
              <w:pStyle w:val="Compact"/>
              <w:jc w:val="left"/>
            </w:pPr>
            <w:r>
              <w:t xml:space="preserve">Flowchart</w:t>
            </w:r>
          </w:p>
        </w:tc>
      </w:tr>
      <w:tr>
        <w:tc>
          <w:p>
            <w:pPr>
              <w:pStyle w:val="Compact"/>
              <w:jc w:val="left"/>
            </w:pPr>
            <w:r>
              <w:t xml:space="preserve">11</w:t>
            </w:r>
          </w:p>
        </w:tc>
        <w:tc>
          <w:p>
            <w:pPr>
              <w:pStyle w:val="Compact"/>
              <w:jc w:val="left"/>
            </w:pPr>
            <w:r>
              <w:t xml:space="preserve">Case study images: hospital, research lab, pregnant woman</w:t>
            </w:r>
          </w:p>
        </w:tc>
        <w:tc>
          <w:p>
            <w:pPr>
              <w:pStyle w:val="Compact"/>
              <w:jc w:val="left"/>
            </w:pPr>
            <w:r>
              <w:t xml:space="preserve">Brings case studies to life</w:t>
            </w:r>
          </w:p>
        </w:tc>
        <w:tc>
          <w:p>
            <w:pPr>
              <w:pStyle w:val="Compact"/>
              <w:jc w:val="left"/>
            </w:pPr>
            <w:r>
              <w:t xml:space="preserve">Case Studies</w:t>
            </w:r>
          </w:p>
        </w:tc>
        <w:tc>
          <w:p>
            <w:pPr>
              <w:pStyle w:val="Compact"/>
              <w:jc w:val="left"/>
            </w:pPr>
            <w:r>
              <w:t xml:space="preserve">Photos</w:t>
            </w:r>
          </w:p>
        </w:tc>
      </w:tr>
      <w:tr>
        <w:tc>
          <w:p>
            <w:pPr>
              <w:pStyle w:val="Compact"/>
              <w:jc w:val="left"/>
            </w:pPr>
            <w:r>
              <w:t xml:space="preserve">12</w:t>
            </w:r>
          </w:p>
        </w:tc>
        <w:tc>
          <w:p>
            <w:pPr>
              <w:pStyle w:val="Compact"/>
              <w:jc w:val="left"/>
            </w:pPr>
            <w:r>
              <w:t xml:space="preserve">Table of glossary terms</w:t>
            </w:r>
          </w:p>
        </w:tc>
        <w:tc>
          <w:p>
            <w:pPr>
              <w:pStyle w:val="Compact"/>
              <w:jc w:val="left"/>
            </w:pPr>
            <w:r>
              <w:t xml:space="preserve">Clarifies specialized vocabulary</w:t>
            </w:r>
          </w:p>
        </w:tc>
        <w:tc>
          <w:p>
            <w:pPr>
              <w:pStyle w:val="Compact"/>
              <w:jc w:val="left"/>
            </w:pPr>
            <w:r>
              <w:t xml:space="preserve">Glossary</w:t>
            </w:r>
          </w:p>
        </w:tc>
        <w:tc>
          <w:p>
            <w:pPr>
              <w:pStyle w:val="Compact"/>
              <w:jc w:val="left"/>
            </w:pPr>
            <w:r>
              <w:t xml:space="preserve">Table</w:t>
            </w:r>
          </w:p>
        </w:tc>
      </w:tr>
    </w:tbl>
    <w:p>
      <w:pPr>
        <w:pStyle w:val="Heading1"/>
      </w:pPr>
      <w:bookmarkStart w:id="191" w:name="glossary-of-key-terms"/>
      <w:r>
        <w:t xml:space="preserve">Glossary of Key Terms</w:t>
      </w:r>
      <w:bookmarkEnd w:id="191"/>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mRNA Vaccine</w:t>
            </w:r>
          </w:p>
        </w:tc>
        <w:tc>
          <w:p>
            <w:pPr>
              <w:pStyle w:val="Compact"/>
              <w:jc w:val="left"/>
            </w:pPr>
            <w:r>
              <w:t xml:space="preserve">A vaccine that uses messenger RNA to instruct cells to produce a viral protein, triggering immunity.</w:t>
            </w:r>
          </w:p>
        </w:tc>
      </w:tr>
      <w:tr>
        <w:tc>
          <w:p>
            <w:pPr>
              <w:pStyle w:val="Compact"/>
              <w:jc w:val="left"/>
            </w:pPr>
            <w:r>
              <w:t xml:space="preserve">Viral Vector Vaccine</w:t>
            </w:r>
          </w:p>
        </w:tc>
        <w:tc>
          <w:p>
            <w:pPr>
              <w:pStyle w:val="Compact"/>
              <w:jc w:val="left"/>
            </w:pPr>
            <w:r>
              <w:t xml:space="preserve">A vaccine that uses a harmless virus to deliver genetic material encoding a viral antigen.</w:t>
            </w:r>
          </w:p>
        </w:tc>
      </w:tr>
      <w:tr>
        <w:tc>
          <w:p>
            <w:pPr>
              <w:pStyle w:val="Compact"/>
              <w:jc w:val="left"/>
            </w:pPr>
            <w:r>
              <w:t xml:space="preserve">Inactivated Vaccine</w:t>
            </w:r>
          </w:p>
        </w:tc>
        <w:tc>
          <w:p>
            <w:pPr>
              <w:pStyle w:val="Compact"/>
              <w:jc w:val="left"/>
            </w:pPr>
            <w:r>
              <w:t xml:space="preserve">A vaccine made from virus particles that have been killed so they cannot cause disease.</w:t>
            </w:r>
          </w:p>
        </w:tc>
      </w:tr>
      <w:tr>
        <w:tc>
          <w:p>
            <w:pPr>
              <w:pStyle w:val="Compact"/>
              <w:jc w:val="left"/>
            </w:pPr>
            <w:r>
              <w:t xml:space="preserve">Protein Subunit Vaccine</w:t>
            </w:r>
          </w:p>
        </w:tc>
        <w:tc>
          <w:p>
            <w:pPr>
              <w:pStyle w:val="Compact"/>
              <w:jc w:val="left"/>
            </w:pPr>
            <w:r>
              <w:t xml:space="preserve">A vaccine containing purified pieces of the virus (such as the spike protein) to stimulate immunity.</w:t>
            </w:r>
          </w:p>
        </w:tc>
      </w:tr>
      <w:tr>
        <w:tc>
          <w:p>
            <w:pPr>
              <w:pStyle w:val="Compact"/>
              <w:jc w:val="left"/>
            </w:pPr>
            <w:r>
              <w:t xml:space="preserve">Adverse Event</w:t>
            </w:r>
          </w:p>
        </w:tc>
        <w:tc>
          <w:p>
            <w:pPr>
              <w:pStyle w:val="Compact"/>
              <w:jc w:val="left"/>
            </w:pPr>
            <w:r>
              <w:t xml:space="preserve">Any undesirable experience associated with the use of a medical product, such as a vaccine.</w:t>
            </w:r>
          </w:p>
        </w:tc>
      </w:tr>
      <w:tr>
        <w:tc>
          <w:p>
            <w:pPr>
              <w:pStyle w:val="Compact"/>
              <w:jc w:val="left"/>
            </w:pPr>
            <w:r>
              <w:t xml:space="preserve">Myocarditis</w:t>
            </w:r>
          </w:p>
        </w:tc>
        <w:tc>
          <w:p>
            <w:pPr>
              <w:pStyle w:val="Compact"/>
              <w:jc w:val="left"/>
            </w:pPr>
            <w:r>
              <w:t xml:space="preserve">Inflammation of the heart muscle.</w:t>
            </w:r>
          </w:p>
        </w:tc>
      </w:tr>
      <w:tr>
        <w:tc>
          <w:p>
            <w:pPr>
              <w:pStyle w:val="Compact"/>
              <w:jc w:val="left"/>
            </w:pPr>
            <w:r>
              <w:t xml:space="preserve">Pericarditis</w:t>
            </w:r>
          </w:p>
        </w:tc>
        <w:tc>
          <w:p>
            <w:pPr>
              <w:pStyle w:val="Compact"/>
              <w:jc w:val="left"/>
            </w:pPr>
            <w:r>
              <w:t xml:space="preserve">Inflammation of the lining around the heart.</w:t>
            </w:r>
          </w:p>
        </w:tc>
      </w:tr>
      <w:tr>
        <w:tc>
          <w:p>
            <w:pPr>
              <w:pStyle w:val="Compact"/>
              <w:jc w:val="left"/>
            </w:pPr>
            <w:r>
              <w:t xml:space="preserve">Thrombosis</w:t>
            </w:r>
          </w:p>
        </w:tc>
        <w:tc>
          <w:p>
            <w:pPr>
              <w:pStyle w:val="Compact"/>
              <w:jc w:val="left"/>
            </w:pPr>
            <w:r>
              <w:t xml:space="preserve">Formation of a blood clot inside a blood vessel.</w:t>
            </w:r>
          </w:p>
        </w:tc>
      </w:tr>
      <w:tr>
        <w:tc>
          <w:p>
            <w:pPr>
              <w:pStyle w:val="Compact"/>
              <w:jc w:val="left"/>
            </w:pPr>
            <w:r>
              <w:t xml:space="preserve">Thrombocytopenia</w:t>
            </w:r>
          </w:p>
        </w:tc>
        <w:tc>
          <w:p>
            <w:pPr>
              <w:pStyle w:val="Compact"/>
              <w:jc w:val="left"/>
            </w:pPr>
            <w:r>
              <w:t xml:space="preserve">Low platelet count, which can affect blood clotting.</w:t>
            </w:r>
          </w:p>
        </w:tc>
      </w:tr>
      <w:tr>
        <w:tc>
          <w:p>
            <w:pPr>
              <w:pStyle w:val="Compact"/>
              <w:jc w:val="left"/>
            </w:pPr>
            <w:r>
              <w:t xml:space="preserve">TTS</w:t>
            </w:r>
          </w:p>
        </w:tc>
        <w:tc>
          <w:p>
            <w:pPr>
              <w:pStyle w:val="Compact"/>
              <w:jc w:val="left"/>
            </w:pPr>
            <w:r>
              <w:t xml:space="preserve">Thrombosis with Thrombocytopenia Syndrome; a rare clotting disorder associated with adenoviral vector vaccines.</w:t>
            </w:r>
          </w:p>
        </w:tc>
      </w:tr>
      <w:tr>
        <w:tc>
          <w:p>
            <w:pPr>
              <w:pStyle w:val="Compact"/>
              <w:jc w:val="left"/>
            </w:pPr>
            <w:r>
              <w:t xml:space="preserve">Guillain-Barré Syndrome</w:t>
            </w:r>
          </w:p>
        </w:tc>
        <w:tc>
          <w:p>
            <w:pPr>
              <w:pStyle w:val="Compact"/>
              <w:jc w:val="left"/>
            </w:pPr>
            <w:r>
              <w:t xml:space="preserve">A rare neurological disorder where the body’s immune system attacks nerves.</w:t>
            </w:r>
          </w:p>
        </w:tc>
      </w:tr>
      <w:tr>
        <w:tc>
          <w:p>
            <w:pPr>
              <w:pStyle w:val="Compact"/>
              <w:jc w:val="left"/>
            </w:pPr>
            <w:r>
              <w:t xml:space="preserve">Small Fiber Neuropathy</w:t>
            </w:r>
          </w:p>
        </w:tc>
        <w:tc>
          <w:p>
            <w:pPr>
              <w:pStyle w:val="Compact"/>
              <w:jc w:val="left"/>
            </w:pPr>
            <w:r>
              <w:t xml:space="preserve">Damage to small nerve fibers causing pain, tingling, and autonomic symptoms.</w:t>
            </w:r>
          </w:p>
        </w:tc>
      </w:tr>
      <w:tr>
        <w:tc>
          <w:p>
            <w:pPr>
              <w:pStyle w:val="Compact"/>
              <w:jc w:val="left"/>
            </w:pPr>
            <w:r>
              <w:t xml:space="preserve">Immunocompromised</w:t>
            </w:r>
          </w:p>
        </w:tc>
        <w:tc>
          <w:p>
            <w:pPr>
              <w:pStyle w:val="Compact"/>
              <w:jc w:val="left"/>
            </w:pPr>
            <w:r>
              <w:t xml:space="preserve">Having an impaired or weakened immune system.</w:t>
            </w:r>
          </w:p>
        </w:tc>
      </w:tr>
      <w:tr>
        <w:tc>
          <w:p>
            <w:pPr>
              <w:pStyle w:val="Compact"/>
              <w:jc w:val="left"/>
            </w:pPr>
            <w:r>
              <w:t xml:space="preserve">Booster Dose</w:t>
            </w:r>
          </w:p>
        </w:tc>
        <w:tc>
          <w:p>
            <w:pPr>
              <w:pStyle w:val="Compact"/>
              <w:jc w:val="left"/>
            </w:pPr>
            <w:r>
              <w:t xml:space="preserve">An additional vaccine dose given after the initial series to maintain or enhance immunity.</w:t>
            </w:r>
          </w:p>
        </w:tc>
      </w:tr>
      <w:tr>
        <w:tc>
          <w:p>
            <w:pPr>
              <w:pStyle w:val="Compact"/>
              <w:jc w:val="left"/>
            </w:pPr>
            <w:r>
              <w:t xml:space="preserve">Long COVID</w:t>
            </w:r>
          </w:p>
        </w:tc>
        <w:tc>
          <w:p>
            <w:pPr>
              <w:pStyle w:val="Compact"/>
              <w:jc w:val="left"/>
            </w:pPr>
            <w:r>
              <w:t xml:space="preserve">Persistent symptoms lasting weeks or months after acute COVID-19 infection.</w:t>
            </w:r>
          </w:p>
        </w:tc>
      </w:tr>
      <w:tr>
        <w:tc>
          <w:p>
            <w:pPr>
              <w:pStyle w:val="Compact"/>
              <w:jc w:val="left"/>
            </w:pPr>
            <w:r>
              <w:t xml:space="preserve">Post-Vaccination Syndrome (PVS)</w:t>
            </w:r>
          </w:p>
        </w:tc>
        <w:tc>
          <w:p>
            <w:pPr>
              <w:pStyle w:val="Compact"/>
              <w:jc w:val="left"/>
            </w:pPr>
            <w:r>
              <w:t xml:space="preserve">A chronic condition with Long COVID-like symptoms occurring after vaccination.</w:t>
            </w:r>
          </w:p>
        </w:tc>
      </w:tr>
      <w:tr>
        <w:tc>
          <w:p>
            <w:pPr>
              <w:pStyle w:val="Compact"/>
              <w:jc w:val="left"/>
            </w:pPr>
            <w:r>
              <w:t xml:space="preserve">Surveillance System</w:t>
            </w:r>
          </w:p>
        </w:tc>
        <w:tc>
          <w:p>
            <w:pPr>
              <w:pStyle w:val="Compact"/>
              <w:jc w:val="left"/>
            </w:pPr>
            <w:r>
              <w:t xml:space="preserve">A system for monitoring and analyzing health-related data to detect adverse events.</w:t>
            </w:r>
          </w:p>
        </w:tc>
      </w:tr>
      <w:tr>
        <w:tc>
          <w:p>
            <w:pPr>
              <w:pStyle w:val="Compact"/>
              <w:jc w:val="left"/>
            </w:pPr>
            <w:r>
              <w:t xml:space="preserve">VAERS</w:t>
            </w:r>
          </w:p>
        </w:tc>
        <w:tc>
          <w:p>
            <w:pPr>
              <w:pStyle w:val="Compact"/>
              <w:jc w:val="left"/>
            </w:pPr>
            <w:r>
              <w:t xml:space="preserve">Vaccine Adverse Event Reporting System; US passive surveillance system.</w:t>
            </w:r>
          </w:p>
        </w:tc>
      </w:tr>
      <w:tr>
        <w:tc>
          <w:p>
            <w:pPr>
              <w:pStyle w:val="Compact"/>
              <w:jc w:val="left"/>
            </w:pPr>
            <w:r>
              <w:t xml:space="preserve">EudraVigilance</w:t>
            </w:r>
          </w:p>
        </w:tc>
        <w:tc>
          <w:p>
            <w:pPr>
              <w:pStyle w:val="Compact"/>
              <w:jc w:val="left"/>
            </w:pPr>
            <w:r>
              <w:t xml:space="preserve">European database for adverse drug reaction reports.</w:t>
            </w:r>
          </w:p>
        </w:tc>
      </w:tr>
      <w:tr>
        <w:tc>
          <w:p>
            <w:pPr>
              <w:pStyle w:val="Compact"/>
              <w:jc w:val="left"/>
            </w:pPr>
            <w:r>
              <w:t xml:space="preserve">Spike Protein</w:t>
            </w:r>
          </w:p>
        </w:tc>
        <w:tc>
          <w:p>
            <w:pPr>
              <w:pStyle w:val="Compact"/>
              <w:jc w:val="left"/>
            </w:pPr>
            <w:r>
              <w:t xml:space="preserve">The protein on the surface of SARS-CoV-2 that vaccines target.</w:t>
            </w:r>
          </w:p>
        </w:tc>
      </w:tr>
      <w:tr>
        <w:tc>
          <w:p>
            <w:pPr>
              <w:pStyle w:val="Compact"/>
              <w:jc w:val="left"/>
            </w:pPr>
            <w:r>
              <w:t xml:space="preserve">Lipid Nanoparticle (LNP)</w:t>
            </w:r>
          </w:p>
        </w:tc>
        <w:tc>
          <w:p>
            <w:pPr>
              <w:pStyle w:val="Compact"/>
              <w:jc w:val="left"/>
            </w:pPr>
            <w:r>
              <w:t xml:space="preserve">Tiny fat particles used to deliver mRNA into cells.</w:t>
            </w:r>
          </w:p>
        </w:tc>
      </w:tr>
      <w:tr>
        <w:tc>
          <w:p>
            <w:pPr>
              <w:pStyle w:val="Compact"/>
              <w:jc w:val="left"/>
            </w:pPr>
            <w:r>
              <w:t xml:space="preserve">Neutralizing Antibody</w:t>
            </w:r>
          </w:p>
        </w:tc>
        <w:tc>
          <w:p>
            <w:pPr>
              <w:pStyle w:val="Compact"/>
              <w:jc w:val="left"/>
            </w:pPr>
            <w:r>
              <w:t xml:space="preserve">An antibody that prevents a pathogen from infecting cells.</w:t>
            </w:r>
          </w:p>
        </w:tc>
      </w:tr>
      <w:tr>
        <w:tc>
          <w:p>
            <w:pPr>
              <w:pStyle w:val="Compact"/>
              <w:jc w:val="left"/>
            </w:pPr>
            <w:r>
              <w:t xml:space="preserve">Memory B Cell</w:t>
            </w:r>
          </w:p>
        </w:tc>
        <w:tc>
          <w:p>
            <w:pPr>
              <w:pStyle w:val="Compact"/>
              <w:jc w:val="left"/>
            </w:pPr>
            <w:r>
              <w:t xml:space="preserve">Long-lived immune cells that remember pathogens and respond quickly upon re-exposure.</w:t>
            </w:r>
          </w:p>
        </w:tc>
      </w:tr>
      <w:tr>
        <w:tc>
          <w:p>
            <w:pPr>
              <w:pStyle w:val="Compact"/>
              <w:jc w:val="left"/>
            </w:pPr>
            <w:r>
              <w:t xml:space="preserve">T Cell</w:t>
            </w:r>
          </w:p>
        </w:tc>
        <w:tc>
          <w:p>
            <w:pPr>
              <w:pStyle w:val="Compact"/>
              <w:jc w:val="left"/>
            </w:pPr>
            <w:r>
              <w:t xml:space="preserve">Immune cells that play central roles in cellular immunity.</w:t>
            </w:r>
          </w:p>
        </w:tc>
      </w:tr>
      <w:tr>
        <w:tc>
          <w:p>
            <w:pPr>
              <w:pStyle w:val="Compact"/>
              <w:jc w:val="left"/>
            </w:pPr>
            <w:r>
              <w:t xml:space="preserve">Late Gadolinium Enhancement (LGE)</w:t>
            </w:r>
          </w:p>
        </w:tc>
        <w:tc>
          <w:p>
            <w:pPr>
              <w:pStyle w:val="Compact"/>
              <w:jc w:val="left"/>
            </w:pPr>
            <w:r>
              <w:t xml:space="preserve">An MRI finding indicating myocardial scarring.</w:t>
            </w:r>
          </w:p>
        </w:tc>
      </w:tr>
      <w:tr>
        <w:tc>
          <w:p>
            <w:pPr>
              <w:pStyle w:val="Compact"/>
              <w:jc w:val="left"/>
            </w:pPr>
            <w:r>
              <w:t xml:space="preserve">Molecular Mimicry</w:t>
            </w:r>
          </w:p>
        </w:tc>
        <w:tc>
          <w:p>
            <w:pPr>
              <w:pStyle w:val="Compact"/>
              <w:jc w:val="left"/>
            </w:pPr>
            <w:r>
              <w:t xml:space="preserve">A mechanism where immune responses to pathogens cross-react with host tissues.</w:t>
            </w:r>
          </w:p>
        </w:tc>
      </w:tr>
      <w:tr>
        <w:tc>
          <w:p>
            <w:pPr>
              <w:pStyle w:val="Compact"/>
              <w:jc w:val="left"/>
            </w:pPr>
            <w:r>
              <w:t xml:space="preserve">Mucosal Vaccine</w:t>
            </w:r>
          </w:p>
        </w:tc>
        <w:tc>
          <w:p>
            <w:pPr>
              <w:pStyle w:val="Compact"/>
              <w:jc w:val="left"/>
            </w:pPr>
            <w:r>
              <w:t xml:space="preserve">A vaccine delivered to mucosal surfaces (e.g., nasal) to stimulate local immunity.</w:t>
            </w:r>
          </w:p>
        </w:tc>
      </w:tr>
      <w:tr>
        <w:tc>
          <w:p>
            <w:pPr>
              <w:pStyle w:val="Compact"/>
              <w:jc w:val="left"/>
            </w:pPr>
            <w:r>
              <w:t xml:space="preserve">Pan-coronavirus Vaccine</w:t>
            </w:r>
          </w:p>
        </w:tc>
        <w:tc>
          <w:p>
            <w:pPr>
              <w:pStyle w:val="Compact"/>
              <w:jc w:val="left"/>
            </w:pPr>
            <w:r>
              <w:t xml:space="preserve">A vaccine designed to protect against multiple coronavirus strains.</w:t>
            </w:r>
          </w:p>
        </w:tc>
      </w:tr>
    </w:tbl>
    <w:p>
      <w:pPr>
        <w:pStyle w:val="Heading1"/>
      </w:pPr>
      <w:bookmarkStart w:id="192" w:name="references-and-further-reading"/>
      <w:r>
        <w:t xml:space="preserve">References and Further Reading</w:t>
      </w:r>
      <w:bookmarkEnd w:id="192"/>
    </w:p>
    <w:p>
      <w:pPr>
        <w:pStyle w:val="Heading2"/>
      </w:pPr>
      <w:bookmarkStart w:id="193" w:name="key-primary-sources"/>
      <w:r>
        <w:t xml:space="preserve">Key Primary Sources</w:t>
      </w:r>
      <w:bookmarkEnd w:id="193"/>
    </w:p>
    <w:p>
      <w:pPr>
        <w:numPr>
          <w:ilvl w:val="0"/>
          <w:numId w:val="1024"/>
        </w:numPr>
      </w:pPr>
      <w:r>
        <w:t xml:space="preserve">Polack, F. P., et al. (2020).</w:t>
      </w:r>
      <w:r>
        <w:t xml:space="preserve"> </w:t>
      </w:r>
      <w:r>
        <w:t xml:space="preserve">“</w:t>
      </w:r>
      <w:r>
        <w:t xml:space="preserve">Safety and Efficacy of the BNT162b2 mRNA Covid-19 Vaccine.</w:t>
      </w:r>
      <w:r>
        <w:t xml:space="preserve">”</w:t>
      </w:r>
      <w:r>
        <w:t xml:space="preserve"> </w:t>
      </w:r>
      <w:r>
        <w:rPr>
          <w:i/>
        </w:rPr>
        <w:t xml:space="preserve">New England Journal of Medicine</w:t>
      </w:r>
      <w:r>
        <w:t xml:space="preserve">, 383(27), 2603–2615.</w:t>
      </w:r>
    </w:p>
    <w:p>
      <w:pPr>
        <w:numPr>
          <w:ilvl w:val="0"/>
          <w:numId w:val="1024"/>
        </w:numPr>
      </w:pPr>
      <w:r>
        <w:t xml:space="preserve">Baden, L. R., et al. (2021).</w:t>
      </w:r>
      <w:r>
        <w:t xml:space="preserve"> </w:t>
      </w:r>
      <w:r>
        <w:t xml:space="preserve">“</w:t>
      </w:r>
      <w:r>
        <w:t xml:space="preserve">Efficacy and Safety of the mRNA-1273 SARS-CoV-2 Vaccine.</w:t>
      </w:r>
      <w:r>
        <w:t xml:space="preserve">”</w:t>
      </w:r>
      <w:r>
        <w:t xml:space="preserve"> </w:t>
      </w:r>
      <w:r>
        <w:rPr>
          <w:i/>
        </w:rPr>
        <w:t xml:space="preserve">New England Journal of Medicine</w:t>
      </w:r>
      <w:r>
        <w:t xml:space="preserve">, 384(5), 403–416.</w:t>
      </w:r>
    </w:p>
    <w:p>
      <w:pPr>
        <w:numPr>
          <w:ilvl w:val="0"/>
          <w:numId w:val="1024"/>
        </w:numPr>
      </w:pPr>
      <w:r>
        <w:t xml:space="preserve">Shimabukuro, T. T., et al. (2021).</w:t>
      </w:r>
      <w:r>
        <w:t xml:space="preserve"> </w:t>
      </w:r>
      <w:r>
        <w:t xml:space="preserve">“</w:t>
      </w:r>
      <w:r>
        <w:t xml:space="preserve">Safety monitoring in the Vaccine Adverse Event Reporting System (VAERS).</w:t>
      </w:r>
      <w:r>
        <w:t xml:space="preserve">”</w:t>
      </w:r>
      <w:r>
        <w:t xml:space="preserve"> </w:t>
      </w:r>
      <w:r>
        <w:rPr>
          <w:i/>
        </w:rPr>
        <w:t xml:space="preserve">Vaccine</w:t>
      </w:r>
      <w:r>
        <w:t xml:space="preserve">, 39(32), 4378–4385.</w:t>
      </w:r>
    </w:p>
    <w:p>
      <w:pPr>
        <w:numPr>
          <w:ilvl w:val="0"/>
          <w:numId w:val="1024"/>
        </w:numPr>
      </w:pPr>
      <w:r>
        <w:t xml:space="preserve">Klein, N. P., et al. (2022).</w:t>
      </w:r>
      <w:r>
        <w:t xml:space="preserve"> </w:t>
      </w:r>
      <w:r>
        <w:t xml:space="preserve">“</w:t>
      </w:r>
      <w:r>
        <w:t xml:space="preserve">Surveillance for Adverse Events After COVID-19 mRNA Vaccination.</w:t>
      </w:r>
      <w:r>
        <w:t xml:space="preserve">”</w:t>
      </w:r>
      <w:r>
        <w:t xml:space="preserve"> </w:t>
      </w:r>
      <w:r>
        <w:rPr>
          <w:i/>
        </w:rPr>
        <w:t xml:space="preserve">JAMA</w:t>
      </w:r>
      <w:r>
        <w:t xml:space="preserve">, 327(1), 39–51.</w:t>
      </w:r>
    </w:p>
    <w:p>
      <w:pPr>
        <w:numPr>
          <w:ilvl w:val="0"/>
          <w:numId w:val="1024"/>
        </w:numPr>
      </w:pPr>
      <w:r>
        <w:t xml:space="preserve">Patone, M., et al. (2021).</w:t>
      </w:r>
      <w:r>
        <w:t xml:space="preserve"> </w:t>
      </w:r>
      <w:r>
        <w:t xml:space="preserve">“</w:t>
      </w:r>
      <w:r>
        <w:t xml:space="preserve">Risks of myocarditis, pericarditis, and cardiac arrhythmias associated with COVID-19 vaccination or SARS-CoV-2 infection.</w:t>
      </w:r>
      <w:r>
        <w:t xml:space="preserve">”</w:t>
      </w:r>
      <w:r>
        <w:t xml:space="preserve"> </w:t>
      </w:r>
      <w:r>
        <w:rPr>
          <w:i/>
        </w:rPr>
        <w:t xml:space="preserve">Nature Medicine</w:t>
      </w:r>
      <w:r>
        <w:t xml:space="preserve">, 28, 410–422.</w:t>
      </w:r>
    </w:p>
    <w:p>
      <w:pPr>
        <w:pStyle w:val="Heading2"/>
      </w:pPr>
      <w:bookmarkStart w:id="194" w:name="official-health-authority-resources"/>
      <w:r>
        <w:t xml:space="preserve">Official Health Authority Resources</w:t>
      </w:r>
      <w:bookmarkEnd w:id="194"/>
    </w:p>
    <w:tbl>
      <w:tblPr>
        <w:tblStyle w:val="Table"/>
        <w:tblW w:type="pct" w:w="5000.0"/>
        <w:tblLook w:firstRow="1"/>
      </w:tblPr>
      <w:tblGrid>
        <w:gridCol w:w="3823"/>
        <w:gridCol w:w="2731"/>
        <w:gridCol w:w="1365"/>
      </w:tblGrid>
      <w:tr>
        <w:trPr>
          <w:cnfStyle w:firstRow="1"/>
        </w:trPr>
        <w:tc>
          <w:tcPr>
            <w:tcBorders>
              <w:bottom w:val="single"/>
            </w:tcBorders>
            <w:vAlign w:val="bottom"/>
          </w:tcPr>
          <w:p>
            <w:pPr>
              <w:pStyle w:val="Compact"/>
              <w:jc w:val="left"/>
            </w:pPr>
            <w:r>
              <w:t xml:space="preserve">Organization</w:t>
            </w:r>
          </w:p>
        </w:tc>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URL</w:t>
            </w:r>
          </w:p>
        </w:tc>
      </w:tr>
      <w:tr>
        <w:tc>
          <w:p>
            <w:pPr>
              <w:pStyle w:val="Compact"/>
              <w:jc w:val="left"/>
            </w:pPr>
            <w:r>
              <w:t xml:space="preserve">World Health Organization (WHO)</w:t>
            </w:r>
          </w:p>
        </w:tc>
        <w:tc>
          <w:p>
            <w:pPr>
              <w:pStyle w:val="Compact"/>
              <w:jc w:val="left"/>
            </w:pPr>
            <w:r>
              <w:t xml:space="preserve">COVID-19 Vaccines Safety Surveillance Manual</w:t>
            </w:r>
          </w:p>
        </w:tc>
        <w:tc>
          <w:p>
            <w:pPr>
              <w:pStyle w:val="Compact"/>
              <w:jc w:val="left"/>
            </w:pPr>
            <w:r>
              <w:t xml:space="preserve">https://www.who.int</w:t>
            </w:r>
          </w:p>
        </w:tc>
      </w:tr>
      <w:tr>
        <w:tc>
          <w:p>
            <w:pPr>
              <w:pStyle w:val="Compact"/>
              <w:jc w:val="left"/>
            </w:pPr>
            <w:r>
              <w:t xml:space="preserve">Centers for Disease Control (CDC)</w:t>
            </w:r>
          </w:p>
        </w:tc>
        <w:tc>
          <w:p>
            <w:pPr>
              <w:pStyle w:val="Compact"/>
              <w:jc w:val="left"/>
            </w:pPr>
            <w:r>
              <w:t xml:space="preserve">COVID-19 Vaccine Safety</w:t>
            </w:r>
          </w:p>
        </w:tc>
        <w:tc>
          <w:p>
            <w:pPr>
              <w:pStyle w:val="Compact"/>
              <w:jc w:val="left"/>
            </w:pPr>
            <w:r>
              <w:t xml:space="preserve">https://www.cdc.gov/coronavirus/2019-ncov/vaccines/safety.html</w:t>
            </w:r>
          </w:p>
        </w:tc>
      </w:tr>
      <w:tr>
        <w:tc>
          <w:p>
            <w:pPr>
              <w:pStyle w:val="Compact"/>
              <w:jc w:val="left"/>
            </w:pPr>
            <w:r>
              <w:t xml:space="preserve">European Medicines Agency (EMA)</w:t>
            </w:r>
          </w:p>
        </w:tc>
        <w:tc>
          <w:p>
            <w:pPr>
              <w:pStyle w:val="Compact"/>
              <w:jc w:val="left"/>
            </w:pPr>
            <w:r>
              <w:t xml:space="preserve">COVID-19 Vaccines Updates</w:t>
            </w:r>
          </w:p>
        </w:tc>
        <w:tc>
          <w:p>
            <w:pPr>
              <w:pStyle w:val="Compact"/>
              <w:jc w:val="left"/>
            </w:pPr>
            <w:r>
              <w:t xml:space="preserve">https://www.ema.europa.eu</w:t>
            </w:r>
          </w:p>
        </w:tc>
      </w:tr>
      <w:tr>
        <w:tc>
          <w:p>
            <w:pPr>
              <w:pStyle w:val="Compact"/>
              <w:jc w:val="left"/>
            </w:pPr>
            <w:r>
              <w:t xml:space="preserve">Vaccine Adverse Event Reporting System</w:t>
            </w:r>
          </w:p>
        </w:tc>
        <w:tc>
          <w:p>
            <w:pPr>
              <w:pStyle w:val="Compact"/>
              <w:jc w:val="left"/>
            </w:pPr>
            <w:r>
              <w:t xml:space="preserve">VAERS Database</w:t>
            </w:r>
          </w:p>
        </w:tc>
        <w:tc>
          <w:p>
            <w:pPr>
              <w:pStyle w:val="Compact"/>
              <w:jc w:val="left"/>
            </w:pPr>
            <w:r>
              <w:t xml:space="preserve">https://vaers.hhs.gov</w:t>
            </w:r>
          </w:p>
        </w:tc>
      </w:tr>
      <w:tr>
        <w:tc>
          <w:p>
            <w:pPr>
              <w:pStyle w:val="Compact"/>
              <w:jc w:val="left"/>
            </w:pPr>
            <w:r>
              <w:t xml:space="preserve">UK Medicines and Healthcare products Regulatory Agency</w:t>
            </w:r>
          </w:p>
        </w:tc>
        <w:tc>
          <w:p>
            <w:pPr>
              <w:pStyle w:val="Compact"/>
              <w:jc w:val="left"/>
            </w:pPr>
            <w:r>
              <w:t xml:space="preserve">Yellow Card Scheme</w:t>
            </w:r>
          </w:p>
        </w:tc>
        <w:tc>
          <w:p>
            <w:pPr>
              <w:pStyle w:val="Compact"/>
              <w:jc w:val="left"/>
            </w:pPr>
            <w:r>
              <w:t xml:space="preserve">https://yellowcard.mhra.gov.uk</w:t>
            </w:r>
          </w:p>
        </w:tc>
      </w:tr>
    </w:tbl>
    <w:p>
      <w:pPr>
        <w:pStyle w:val="Heading2"/>
      </w:pPr>
      <w:bookmarkStart w:id="195" w:name="recommended-books"/>
      <w:r>
        <w:t xml:space="preserve">Recommended Books</w:t>
      </w:r>
      <w:bookmarkEnd w:id="195"/>
    </w:p>
    <w:p>
      <w:pPr>
        <w:numPr>
          <w:ilvl w:val="0"/>
          <w:numId w:val="1025"/>
        </w:numPr>
      </w:pPr>
      <w:r>
        <w:t xml:space="preserve">Offit, P. A. (2021).</w:t>
      </w:r>
      <w:r>
        <w:t xml:space="preserve"> </w:t>
      </w:r>
      <w:r>
        <w:rPr>
          <w:i/>
        </w:rPr>
        <w:t xml:space="preserve">You Bet Your Life: From Blood Transfusions to Mass Vaccination, the Long and Risky History of Medical Innovation</w:t>
      </w:r>
      <w:r>
        <w:t xml:space="preserve">. Basic Books.</w:t>
      </w:r>
    </w:p>
    <w:p>
      <w:pPr>
        <w:numPr>
          <w:ilvl w:val="0"/>
          <w:numId w:val="1025"/>
        </w:numPr>
      </w:pPr>
      <w:r>
        <w:t xml:space="preserve">Ball, P. (2021).</w:t>
      </w:r>
      <w:r>
        <w:t xml:space="preserve"> </w:t>
      </w:r>
      <w:r>
        <w:rPr>
          <w:i/>
        </w:rPr>
        <w:t xml:space="preserve">The Lightning-Fast Quest for COVID Vaccines—and What It Means for the World</w:t>
      </w:r>
      <w:r>
        <w:t xml:space="preserve">. MIT Press.</w:t>
      </w:r>
    </w:p>
    <w:p>
      <w:pPr>
        <w:pStyle w:val="Heading2"/>
      </w:pPr>
      <w:bookmarkStart w:id="196" w:name="X28df779c2efb1a79d8e79d8001bbb45293d8056"/>
      <w:r>
        <w:t xml:space="preserve">Key Journal Articles on Long-term Effects</w:t>
      </w:r>
      <w:bookmarkEnd w:id="196"/>
    </w:p>
    <w:p>
      <w:pPr>
        <w:numPr>
          <w:ilvl w:val="0"/>
          <w:numId w:val="1026"/>
        </w:numPr>
        <w:pStyle w:val="Compact"/>
      </w:pPr>
      <w:r>
        <w:t xml:space="preserve">Yale LISTEN Study publications on Post-Vaccination Syndrome (2024-2025)</w:t>
      </w:r>
    </w:p>
    <w:p>
      <w:pPr>
        <w:numPr>
          <w:ilvl w:val="0"/>
          <w:numId w:val="1026"/>
        </w:numPr>
        <w:pStyle w:val="Compact"/>
      </w:pPr>
      <w:r>
        <w:t xml:space="preserve">Nature Medicine articles on vaccine-associated myocarditis follow-up</w:t>
      </w:r>
    </w:p>
    <w:p>
      <w:pPr>
        <w:numPr>
          <w:ilvl w:val="0"/>
          <w:numId w:val="1026"/>
        </w:numPr>
        <w:pStyle w:val="Compact"/>
      </w:pPr>
      <w:r>
        <w:t xml:space="preserve">The Lancet systematic reviews on vaccine safety in special populations</w:t>
      </w:r>
    </w:p>
    <w:p>
      <w:pPr>
        <w:numPr>
          <w:ilvl w:val="0"/>
          <w:numId w:val="1026"/>
        </w:numPr>
        <w:pStyle w:val="Compact"/>
      </w:pPr>
      <w:r>
        <w:t xml:space="preserve">JAMA Network Open studies on menstrual effects and reproductive health</w:t>
      </w:r>
    </w:p>
    <w:p>
      <w:pPr>
        <w:pStyle w:val="Heading2"/>
      </w:pPr>
      <w:bookmarkStart w:id="197" w:name="surveillance-and-safety-data-resources"/>
      <w:r>
        <w:t xml:space="preserve">Surveillance and Safety Data Resources</w:t>
      </w:r>
      <w:bookmarkEnd w:id="197"/>
    </w:p>
    <w:p>
      <w:pPr>
        <w:numPr>
          <w:ilvl w:val="0"/>
          <w:numId w:val="1027"/>
        </w:numPr>
        <w:pStyle w:val="Compact"/>
      </w:pPr>
      <w:r>
        <w:t xml:space="preserve">Vaccine Safety Datalink (VSD): https://www.cdc.gov/vaccinesafety/ensuringsafety/monitoring/vsd</w:t>
      </w:r>
    </w:p>
    <w:p>
      <w:pPr>
        <w:numPr>
          <w:ilvl w:val="0"/>
          <w:numId w:val="1027"/>
        </w:numPr>
        <w:pStyle w:val="Compact"/>
      </w:pPr>
      <w:r>
        <w:t xml:space="preserve">Clinical Immunization Safety Assessment (CISA) Project</w:t>
      </w:r>
    </w:p>
    <w:p>
      <w:pPr>
        <w:numPr>
          <w:ilvl w:val="0"/>
          <w:numId w:val="1027"/>
        </w:numPr>
        <w:pStyle w:val="Compact"/>
      </w:pPr>
      <w:r>
        <w:t xml:space="preserve">Global Advisory Committee on Vaccine Safety (GACVS)</w:t>
      </w:r>
    </w:p>
    <w:p>
      <w:r>
        <w:pict>
          <v:rect style="width:0;height:1.5pt" o:hralign="center" o:hrstd="t" o:hr="t"/>
        </w:pict>
      </w:r>
    </w:p>
    <w:p>
      <w:pPr>
        <w:pStyle w:val="FirstParagraph"/>
      </w:pPr>
      <w:r>
        <w:rPr>
          <w:i/>
        </w:rPr>
        <w:t xml:space="preserve">This document is intended for educational purposes and reflects the state of knowledge as of January 2026. For the most current information, consult official health authorities and peer-reviewed scientific literature.</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FB84" w14:textId="77777777" w:rsidR="00AA7661" w:rsidRDefault="00AA7661" w:rsidP="00153F07">
      <w:pPr>
        <w:spacing w:after="0" w:line="240" w:lineRule="auto"/>
      </w:pPr>
      <w:r>
        <w:separator/>
      </w:r>
    </w:p>
  </w:endnote>
  <w:endnote w:type="continuationSeparator" w:id="0">
    <w:p w14:paraId="2A2D0864" w14:textId="77777777" w:rsidR="00AA7661" w:rsidRDefault="00AA7661" w:rsidP="0015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Epilogue">
    <w:altName w:val="Calibri"/>
    <w:panose1 w:val="00000000000000000000"/>
    <w:charset w:val="00"/>
    <w:family w:val="auto"/>
    <w:pitch w:val="variable"/>
    <w:sig w:usb0="A000007F" w:usb1="4000207B" w:usb2="00000000" w:usb3="00000000" w:csb0="00000193" w:csb1="00000000"/>
  </w:font>
  <w:font w:name="Georgia">
    <w:panose1 w:val="02040502050405020303"/>
    <w:charset w:val="00"/>
    <w:family w:val="roman"/>
    <w:pitch w:val="variable"/>
    <w:sig w:usb0="00000287" w:usb1="00000000" w:usb2="00000000" w:usb3="00000000" w:csb0="0000009F" w:csb1="00000000"/>
  </w:font>
  <w:font w:name="inter 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4B83" w14:textId="4C444783" w:rsidR="00153F07" w:rsidRDefault="00153F07">
    <w:pPr>
      <w:pStyle w:val="Footer"/>
    </w:pPr>
  </w:p>
  <w:p w14:paraId="3AC5C405" w14:textId="66DDBF4F" w:rsidR="00153F07" w:rsidRPr="005B0898" w:rsidRDefault="00153F07" w:rsidP="00153F07">
    <w:pPr>
      <w:spacing w:after="16"/>
      <w:rPr>
        <w:rFonts w:ascii="Epilogue" w:hAnsi="Epilogue"/>
      </w:rPr>
    </w:pPr>
  </w:p>
  <w:p w14:paraId="4FFDCF14" w14:textId="43780BF3" w:rsidR="00153F07" w:rsidRPr="00615EE6" w:rsidRDefault="00F323FE" w:rsidP="000E0010">
    <w:pPr>
      <w:tabs>
        <w:tab w:val="center" w:pos="1202"/>
      </w:tabs>
      <w:spacing w:after="83"/>
      <w:ind w:right="-7394"/>
      <w:rPr>
        <w:rFonts w:ascii="Epilogue" w:eastAsia="Epilogue" w:hAnsi="Epilogue" w:cs="Epilogue"/>
        <w:color w:val="04CCA5"/>
        <w:sz w:val="18"/>
      </w:rPr>
    </w:pPr>
    <w:r>
      <w:rPr>
        <w:noProof/>
      </w:rPr>
      <w:drawing>
        <wp:anchor distT="0" distB="0" distL="114300" distR="114300" simplePos="0" relativeHeight="251667456" behindDoc="1" locked="0" layoutInCell="1" allowOverlap="1" wp14:anchorId="13110AC3" wp14:editId="16D34E85">
          <wp:simplePos x="0" y="0"/>
          <wp:positionH relativeFrom="column">
            <wp:posOffset>5704840</wp:posOffset>
          </wp:positionH>
          <wp:positionV relativeFrom="paragraph">
            <wp:posOffset>101600</wp:posOffset>
          </wp:positionV>
          <wp:extent cx="485775" cy="545465"/>
          <wp:effectExtent l="0" t="0" r="9525" b="6985"/>
          <wp:wrapThrough wrapText="bothSides">
            <wp:wrapPolygon edited="0">
              <wp:start x="0" y="0"/>
              <wp:lineTo x="0" y="9807"/>
              <wp:lineTo x="5082" y="12070"/>
              <wp:lineTo x="7624" y="21122"/>
              <wp:lineTo x="13553" y="21122"/>
              <wp:lineTo x="16094" y="12070"/>
              <wp:lineTo x="21176" y="9807"/>
              <wp:lineTo x="21176" y="0"/>
              <wp:lineTo x="0" y="0"/>
            </wp:wrapPolygon>
          </wp:wrapThrough>
          <wp:docPr id="785946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75" cy="545465"/>
                  </a:xfrm>
                  <a:prstGeom prst="rect">
                    <a:avLst/>
                  </a:prstGeom>
                  <a:noFill/>
                </pic:spPr>
              </pic:pic>
            </a:graphicData>
          </a:graphic>
          <wp14:sizeRelH relativeFrom="page">
            <wp14:pctWidth>0</wp14:pctWidth>
          </wp14:sizeRelH>
          <wp14:sizeRelV relativeFrom="page">
            <wp14:pctHeight>0</wp14:pctHeight>
          </wp14:sizeRelV>
        </wp:anchor>
      </w:drawing>
    </w:r>
    <w:r w:rsidR="00153F07" w:rsidRPr="005B0898">
      <w:rPr>
        <w:rFonts w:ascii="Epilogue" w:eastAsia="Epilogue" w:hAnsi="Epilogue" w:cs="Epilogue"/>
        <w:color w:val="04CCA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420" w14:textId="6DA97EAB" w:rsidR="00E97CAF" w:rsidRPr="00E97CAF" w:rsidRDefault="00E97CAF" w:rsidP="00E97CAF">
    <w:pPr>
      <w:pStyle w:val="Footer"/>
      <w:rPr>
        <w:sz w:val="18"/>
        <w:szCs w:val="18"/>
      </w:rPr>
    </w:pPr>
    <w:r w:rsidRPr="00E97CAF">
      <w:rPr>
        <w:rFonts w:eastAsia="Epilogue" w:cs="Epilogue"/>
        <w:b/>
        <w:noProof/>
        <w:color w:val="04CCA5"/>
        <w:sz w:val="18"/>
        <w:szCs w:val="18"/>
      </w:rPr>
      <w:drawing>
        <wp:anchor distT="0" distB="0" distL="114300" distR="114300" simplePos="0" relativeHeight="251668480" behindDoc="0" locked="0" layoutInCell="1" allowOverlap="1" wp14:anchorId="63279BCE" wp14:editId="2C4BB955">
          <wp:simplePos x="0" y="0"/>
          <wp:positionH relativeFrom="leftMargin">
            <wp:align>right</wp:align>
          </wp:positionH>
          <wp:positionV relativeFrom="paragraph">
            <wp:posOffset>17145</wp:posOffset>
          </wp:positionV>
          <wp:extent cx="196850" cy="196850"/>
          <wp:effectExtent l="0" t="0" r="0" b="0"/>
          <wp:wrapNone/>
          <wp:docPr id="501730037"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2288" name="Graphic 19" descr="Mailbox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6850" cy="196850"/>
                  </a:xfrm>
                  <a:prstGeom prst="rect">
                    <a:avLst/>
                  </a:prstGeom>
                </pic:spPr>
              </pic:pic>
            </a:graphicData>
          </a:graphic>
        </wp:anchor>
      </w:drawing>
    </w:r>
    <w:r w:rsidR="00F323FE">
      <w:rPr>
        <w:noProof/>
        <w:sz w:val="18"/>
        <w:szCs w:val="18"/>
      </w:rPr>
      <w:drawing>
        <wp:anchor distT="0" distB="0" distL="114300" distR="114300" simplePos="0" relativeHeight="251665408" behindDoc="1" locked="0" layoutInCell="1" allowOverlap="1" wp14:anchorId="7DAB354C" wp14:editId="2FEB36FE">
          <wp:simplePos x="0" y="0"/>
          <wp:positionH relativeFrom="column">
            <wp:posOffset>5647690</wp:posOffset>
          </wp:positionH>
          <wp:positionV relativeFrom="paragraph">
            <wp:posOffset>-129540</wp:posOffset>
          </wp:positionV>
          <wp:extent cx="811530" cy="811530"/>
          <wp:effectExtent l="0" t="0" r="7620" b="7620"/>
          <wp:wrapThrough wrapText="bothSides">
            <wp:wrapPolygon edited="0">
              <wp:start x="0" y="0"/>
              <wp:lineTo x="0" y="21296"/>
              <wp:lineTo x="21296" y="21296"/>
              <wp:lineTo x="21296" y="0"/>
              <wp:lineTo x="0" y="0"/>
            </wp:wrapPolygon>
          </wp:wrapThrough>
          <wp:docPr id="1895897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pic:spPr>
              </pic:pic>
            </a:graphicData>
          </a:graphic>
          <wp14:sizeRelH relativeFrom="page">
            <wp14:pctWidth>0</wp14:pctWidth>
          </wp14:sizeRelH>
          <wp14:sizeRelV relativeFrom="page">
            <wp14:pctHeight>0</wp14:pctHeight>
          </wp14:sizeRelV>
        </wp:anchor>
      </w:drawing>
    </w:r>
    <w:r>
      <w:rPr>
        <w:rFonts w:eastAsia="Epilogue" w:cs="Epilogue"/>
        <w:bCs/>
        <w:color w:val="04CCA5"/>
        <w:sz w:val="18"/>
        <w:szCs w:val="18"/>
      </w:rPr>
      <w:t xml:space="preserve">     </w:t>
    </w:r>
    <w:r w:rsidR="00484F96">
      <w:rPr>
        <w:rFonts w:eastAsia="Epilogue" w:cs="Epilogue"/>
        <w:bCs/>
        <w:color w:val="04CCA5"/>
        <w:sz w:val="18"/>
        <w:szCs w:val="18"/>
      </w:rPr>
      <w:t>1965</w:t>
    </w:r>
    <w:r w:rsidRPr="00E97CAF">
      <w:rPr>
        <w:rFonts w:eastAsia="Epilogue" w:cs="Epilogue"/>
        <w:bCs/>
        <w:color w:val="04CCA5"/>
        <w:sz w:val="18"/>
        <w:szCs w:val="18"/>
      </w:rPr>
      <w:t xml:space="preserve"> </w:t>
    </w:r>
    <w:r w:rsidR="00484F96">
      <w:rPr>
        <w:rFonts w:eastAsia="Epilogue" w:cs="Epilogue"/>
        <w:bCs/>
        <w:color w:val="04CCA5"/>
        <w:sz w:val="18"/>
        <w:szCs w:val="18"/>
      </w:rPr>
      <w:t>Broad</w:t>
    </w:r>
    <w:r w:rsidRPr="00E97CAF">
      <w:rPr>
        <w:rFonts w:eastAsia="Epilogue" w:cs="Epilogue"/>
        <w:bCs/>
        <w:color w:val="04CCA5"/>
        <w:sz w:val="18"/>
        <w:szCs w:val="18"/>
      </w:rPr>
      <w:t xml:space="preserve"> Street, </w:t>
    </w:r>
    <w:r w:rsidR="00484F96">
      <w:rPr>
        <w:rFonts w:eastAsia="Epilogue" w:cs="Epilogue"/>
        <w:bCs/>
        <w:color w:val="04CCA5"/>
        <w:sz w:val="18"/>
        <w:szCs w:val="18"/>
      </w:rPr>
      <w:t>Regina</w:t>
    </w:r>
    <w:r w:rsidRPr="00E97CAF">
      <w:rPr>
        <w:rFonts w:eastAsia="Epilogue" w:cs="Epilogue"/>
        <w:bCs/>
        <w:color w:val="04CCA5"/>
        <w:sz w:val="18"/>
        <w:szCs w:val="18"/>
      </w:rPr>
      <w:t xml:space="preserve">, </w:t>
    </w:r>
    <w:r w:rsidR="00484F96">
      <w:rPr>
        <w:rFonts w:eastAsia="Epilogue" w:cs="Epilogue"/>
        <w:bCs/>
        <w:color w:val="04CCA5"/>
        <w:sz w:val="18"/>
        <w:szCs w:val="18"/>
      </w:rPr>
      <w:t>SK</w:t>
    </w:r>
    <w:r w:rsidRPr="00E97CAF">
      <w:rPr>
        <w:rFonts w:eastAsia="Epilogue" w:cs="Epilogue"/>
        <w:bCs/>
        <w:color w:val="04CCA5"/>
        <w:sz w:val="18"/>
        <w:szCs w:val="18"/>
      </w:rPr>
      <w:t xml:space="preserve">, </w:t>
    </w:r>
    <w:r w:rsidR="00484F96">
      <w:rPr>
        <w:rFonts w:eastAsia="Epilogue" w:cs="Epilogue"/>
        <w:bCs/>
        <w:color w:val="04CCA5"/>
        <w:sz w:val="18"/>
        <w:szCs w:val="18"/>
      </w:rPr>
      <w:t>S4P 1Y1</w:t>
    </w:r>
  </w:p>
  <w:p w14:paraId="3FF2273B" w14:textId="3273AEB2" w:rsidR="00E97CAF" w:rsidRPr="00E97CAF" w:rsidRDefault="00F323FE" w:rsidP="00E50F47">
    <w:pPr>
      <w:pStyle w:val="Footer"/>
      <w:rPr>
        <w:rFonts w:eastAsia="Epilogue" w:cs="Epilogue"/>
        <w:color w:val="04CCA5"/>
        <w:sz w:val="18"/>
        <w:szCs w:val="18"/>
      </w:rPr>
    </w:pPr>
    <w:r>
      <w:rPr>
        <w:noProof/>
        <w:sz w:val="18"/>
        <w:szCs w:val="18"/>
      </w:rPr>
      <w:drawing>
        <wp:anchor distT="0" distB="0" distL="114300" distR="114300" simplePos="0" relativeHeight="251670528" behindDoc="0" locked="0" layoutInCell="1" allowOverlap="1" wp14:anchorId="62889296" wp14:editId="6062557C">
          <wp:simplePos x="0" y="0"/>
          <wp:positionH relativeFrom="leftMargin">
            <wp:align>right</wp:align>
          </wp:positionH>
          <wp:positionV relativeFrom="paragraph">
            <wp:posOffset>71120</wp:posOffset>
          </wp:positionV>
          <wp:extent cx="165735" cy="165735"/>
          <wp:effectExtent l="0" t="0" r="5715" b="5715"/>
          <wp:wrapNone/>
          <wp:docPr id="1305220161"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8" descr="Receiver with solid fill"/>
                  <pic:cNvPicPr>
                    <a:picLocks noChangeAspect="1" noChangeArrowheads="1"/>
                  </pic:cNvPicPr>
                </pic:nvPicPr>
                <pic:blipFill>
                  <a:blip r:embed="rId4">
                    <a:extLst>
                      <a:ext uri="{28A0092B-C50C-407E-A947-70E740481C1C}">
                        <a14:useLocalDpi xmlns:a14="http://schemas.microsoft.com/office/drawing/2010/main" val="0"/>
                      </a:ext>
                    </a:extLst>
                  </a:blip>
                  <a:srcRect l="-4167" r="-4167" b="-386"/>
                  <a:stretch>
                    <a:fillRect/>
                  </a:stretch>
                </pic:blipFill>
                <pic:spPr bwMode="auto">
                  <a:xfrm>
                    <a:off x="0" y="0"/>
                    <a:ext cx="165735" cy="165735"/>
                  </a:xfrm>
                  <a:prstGeom prst="rect">
                    <a:avLst/>
                  </a:prstGeom>
                  <a:noFill/>
                </pic:spPr>
              </pic:pic>
            </a:graphicData>
          </a:graphic>
          <wp14:sizeRelH relativeFrom="page">
            <wp14:pctWidth>0</wp14:pctWidth>
          </wp14:sizeRelH>
          <wp14:sizeRelV relativeFrom="page">
            <wp14:pctHeight>0</wp14:pctHeight>
          </wp14:sizeRelV>
        </wp:anchor>
      </w:drawing>
    </w:r>
    <w:r w:rsidR="00E97CAF">
      <w:rPr>
        <w:rFonts w:eastAsia="Epilogue" w:cs="Epilogue"/>
        <w:color w:val="04CCA5"/>
        <w:sz w:val="18"/>
        <w:szCs w:val="18"/>
      </w:rPr>
      <w:t xml:space="preserve">     </w:t>
    </w:r>
    <w:r w:rsidR="00484F96">
      <w:rPr>
        <w:rFonts w:eastAsia="Epilogue" w:cs="Epilogue"/>
        <w:color w:val="04CCA5"/>
        <w:sz w:val="18"/>
        <w:szCs w:val="18"/>
      </w:rPr>
      <w:t>306</w:t>
    </w:r>
    <w:r w:rsidR="00E97CAF" w:rsidRPr="00E97CAF">
      <w:rPr>
        <w:rFonts w:eastAsia="Epilogue" w:cs="Epilogue"/>
        <w:color w:val="04CCA5"/>
        <w:sz w:val="18"/>
        <w:szCs w:val="18"/>
      </w:rPr>
      <w:t>.</w:t>
    </w:r>
    <w:r w:rsidR="00484F96">
      <w:rPr>
        <w:rFonts w:eastAsia="Epilogue" w:cs="Epilogue"/>
        <w:color w:val="04CCA5"/>
        <w:sz w:val="18"/>
        <w:szCs w:val="18"/>
      </w:rPr>
      <w:t>581</w:t>
    </w:r>
    <w:r w:rsidR="00E97CAF" w:rsidRPr="00E97CAF">
      <w:rPr>
        <w:rFonts w:eastAsia="Epilogue" w:cs="Epilogue"/>
        <w:color w:val="04CCA5"/>
        <w:sz w:val="18"/>
        <w:szCs w:val="18"/>
      </w:rPr>
      <w:t>.</w:t>
    </w:r>
    <w:r w:rsidR="00484F96">
      <w:rPr>
        <w:rFonts w:eastAsia="Epilogue" w:cs="Epilogue"/>
        <w:color w:val="04CCA5"/>
        <w:sz w:val="18"/>
        <w:szCs w:val="18"/>
      </w:rPr>
      <w:t>6888</w:t>
    </w:r>
  </w:p>
  <w:p w14:paraId="5D15EFA5" w14:textId="19988567" w:rsidR="00615EE6" w:rsidRPr="00E97CAF" w:rsidRDefault="00E97CAF" w:rsidP="00E50F47">
    <w:pPr>
      <w:pStyle w:val="PAIStyleParagraph"/>
      <w:spacing w:line="240" w:lineRule="auto"/>
      <w:rPr>
        <w:color w:val="04CCA5"/>
        <w:sz w:val="18"/>
        <w:szCs w:val="18"/>
      </w:rPr>
    </w:pPr>
    <w:r w:rsidRPr="00E97CAF">
      <w:rPr>
        <w:b/>
        <w:noProof/>
        <w:color w:val="04CCA5"/>
        <w:sz w:val="18"/>
        <w:szCs w:val="18"/>
      </w:rPr>
      <w:drawing>
        <wp:anchor distT="0" distB="0" distL="114300" distR="114300" simplePos="0" relativeHeight="251671552" behindDoc="0" locked="0" layoutInCell="1" allowOverlap="1" wp14:anchorId="3C7CD7F9" wp14:editId="5331CFA6">
          <wp:simplePos x="0" y="0"/>
          <wp:positionH relativeFrom="leftMargin">
            <wp:align>right</wp:align>
          </wp:positionH>
          <wp:positionV relativeFrom="paragraph">
            <wp:posOffset>68580</wp:posOffset>
          </wp:positionV>
          <wp:extent cx="177800" cy="177800"/>
          <wp:effectExtent l="0" t="0" r="0" b="0"/>
          <wp:wrapNone/>
          <wp:docPr id="132874257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7720" name="Graphic 1301087720" descr="Envelope with solid fill"/>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7800" cy="177800"/>
                  </a:xfrm>
                  <a:prstGeom prst="rect">
                    <a:avLst/>
                  </a:prstGeom>
                </pic:spPr>
              </pic:pic>
            </a:graphicData>
          </a:graphic>
        </wp:anchor>
      </w:drawing>
    </w:r>
    <w:r>
      <w:rPr>
        <w:color w:val="04CCA5"/>
        <w:sz w:val="18"/>
        <w:szCs w:val="18"/>
      </w:rPr>
      <w:t xml:space="preserve">     </w:t>
    </w:r>
    <w:r w:rsidR="009F1111" w:rsidRPr="00E97CAF">
      <w:rPr>
        <w:color w:val="04CCA5"/>
        <w:sz w:val="18"/>
        <w:szCs w:val="18"/>
      </w:rPr>
      <w:t xml:space="preserve">info@precision.ai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F387" w14:textId="77777777" w:rsidR="00AA7661" w:rsidRDefault="00AA7661" w:rsidP="00153F07">
      <w:pPr>
        <w:spacing w:after="0" w:line="240" w:lineRule="auto"/>
      </w:pPr>
      <w:r>
        <w:separator/>
      </w:r>
    </w:p>
  </w:footnote>
  <w:footnote w:type="continuationSeparator" w:id="0">
    <w:p w14:paraId="4D26277F" w14:textId="77777777" w:rsidR="00AA7661" w:rsidRDefault="00AA7661" w:rsidP="0015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64504"/>
      <w:docPartObj>
        <w:docPartGallery w:val="Page Numbers (Top of Page)"/>
        <w:docPartUnique/>
      </w:docPartObj>
    </w:sdtPr>
    <w:sdtEndPr>
      <w:rPr>
        <w:b/>
        <w:noProof/>
        <w:color w:val="04CCA5" w:themeColor="background2"/>
      </w:rPr>
    </w:sdtEndPr>
    <w:sdtContent>
      <w:p w14:paraId="7B09C81B" w14:textId="77777777" w:rsidR="008317B7" w:rsidRPr="008317B7" w:rsidRDefault="008317B7">
        <w:pPr>
          <w:pStyle w:val="Header"/>
          <w:jc w:val="right"/>
          <w:rPr>
            <w:b/>
            <w:color w:val="04CCA5" w:themeColor="background2"/>
          </w:rPr>
        </w:pPr>
        <w:r w:rsidRPr="008317B7">
          <w:rPr>
            <w:b/>
            <w:color w:val="04CCA5" w:themeColor="background2"/>
          </w:rPr>
          <w:fldChar w:fldCharType="begin"/>
        </w:r>
        <w:r w:rsidRPr="008317B7">
          <w:rPr>
            <w:b/>
            <w:color w:val="04CCA5" w:themeColor="background2"/>
          </w:rPr>
          <w:instrText xml:space="preserve"> PAGE   \* MERGEFORMAT </w:instrText>
        </w:r>
        <w:r w:rsidRPr="008317B7">
          <w:rPr>
            <w:b/>
            <w:color w:val="04CCA5" w:themeColor="background2"/>
          </w:rPr>
          <w:fldChar w:fldCharType="separate"/>
        </w:r>
        <w:r w:rsidR="002C1E2D">
          <w:rPr>
            <w:b/>
            <w:noProof/>
            <w:color w:val="04CCA5" w:themeColor="background2"/>
          </w:rPr>
          <w:t>3</w:t>
        </w:r>
        <w:r w:rsidRPr="008317B7">
          <w:rPr>
            <w:b/>
            <w:noProof/>
            <w:color w:val="04CCA5" w:themeColor="background2"/>
          </w:rPr>
          <w:fldChar w:fldCharType="end"/>
        </w:r>
      </w:p>
    </w:sdtContent>
  </w:sdt>
  <w:p w14:paraId="414EC0C0" w14:textId="77777777" w:rsidR="00153F07" w:rsidRPr="00CD2D82" w:rsidRDefault="00153F07" w:rsidP="00CD2D82">
    <w:pPr>
      <w:tabs>
        <w:tab w:val="center" w:pos="1202"/>
      </w:tabs>
      <w:spacing w:after="83"/>
      <w:ind w:left="-8" w:right="-7394"/>
      <w:rPr>
        <w:rFonts w:ascii="Epilogue" w:hAnsi="Epilogu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9B3" w14:textId="77777777" w:rsidR="00CD2D82" w:rsidRDefault="00CD2D82">
    <w:pPr>
      <w:pStyle w:val="Header"/>
    </w:pPr>
  </w:p>
  <w:p w14:paraId="4EEF73BC" w14:textId="77777777" w:rsidR="00CD2D82" w:rsidRDefault="00CD2D82">
    <w:pPr>
      <w:pStyle w:val="Header"/>
    </w:pPr>
  </w:p>
  <w:p w14:paraId="5337C8F0" w14:textId="77777777" w:rsidR="00CD2D82" w:rsidRDefault="00CD2D82">
    <w:pPr>
      <w:pStyle w:val="Header"/>
    </w:pPr>
    <w:r>
      <w:rPr>
        <w:noProof/>
      </w:rPr>
      <mc:AlternateContent>
        <mc:Choice Requires="wpg">
          <w:drawing>
            <wp:anchor distT="0" distB="0" distL="114300" distR="114300" simplePos="0" relativeHeight="251663360" behindDoc="0" locked="0" layoutInCell="1" allowOverlap="1" wp14:anchorId="34CB2ED9" wp14:editId="32022454">
              <wp:simplePos x="0" y="0"/>
              <wp:positionH relativeFrom="column">
                <wp:posOffset>-201295</wp:posOffset>
              </wp:positionH>
              <wp:positionV relativeFrom="paragraph">
                <wp:posOffset>-226212</wp:posOffset>
              </wp:positionV>
              <wp:extent cx="2242820" cy="364490"/>
              <wp:effectExtent l="0" t="19050" r="24130" b="35560"/>
              <wp:wrapNone/>
              <wp:docPr id="1" name="Group 1"/>
              <wp:cNvGraphicFramePr/>
              <a:graphic xmlns:a="http://schemas.openxmlformats.org/drawingml/2006/main">
                <a:graphicData uri="http://schemas.microsoft.com/office/word/2010/wordprocessingGroup">
                  <wpg:wgp>
                    <wpg:cNvGrpSpPr/>
                    <wpg:grpSpPr>
                      <a:xfrm>
                        <a:off x="0" y="0"/>
                        <a:ext cx="2242820" cy="364490"/>
                        <a:chOff x="0" y="0"/>
                        <a:chExt cx="2243016" cy="364858"/>
                      </a:xfrm>
                      <a:solidFill>
                        <a:schemeClr val="bg2"/>
                      </a:solidFill>
                    </wpg:grpSpPr>
                    <wps:wsp>
                      <wps:cNvPr id="2" name="Shape 1325"/>
                      <wps:cNvSpPr/>
                      <wps:spPr>
                        <a:xfrm>
                          <a:off x="2208722" y="125726"/>
                          <a:ext cx="34294" cy="149601"/>
                        </a:xfrm>
                        <a:custGeom>
                          <a:avLst/>
                          <a:gdLst/>
                          <a:ahLst/>
                          <a:cxnLst/>
                          <a:rect l="0" t="0" r="0" b="0"/>
                          <a:pathLst>
                            <a:path w="34294" h="149601">
                              <a:moveTo>
                                <a:pt x="0" y="0"/>
                              </a:moveTo>
                              <a:lnTo>
                                <a:pt x="34294" y="0"/>
                              </a:lnTo>
                              <a:lnTo>
                                <a:pt x="34294" y="149601"/>
                              </a:lnTo>
                              <a:lnTo>
                                <a:pt x="0" y="149601"/>
                              </a:lnTo>
                              <a:lnTo>
                                <a:pt x="0" y="0"/>
                              </a:lnTo>
                            </a:path>
                          </a:pathLst>
                        </a:custGeom>
                        <a:grpFill/>
                        <a:ln w="0" cap="flat">
                          <a:solidFill>
                            <a:schemeClr val="bg2"/>
                          </a:solidFill>
                          <a:miter lim="127000"/>
                        </a:ln>
                        <a:effectLst/>
                      </wps:spPr>
                      <wps:bodyPr/>
                    </wps:wsp>
                    <wps:wsp>
                      <wps:cNvPr id="3" name="Shape 11"/>
                      <wps:cNvSpPr/>
                      <wps:spPr>
                        <a:xfrm>
                          <a:off x="528823" y="125726"/>
                          <a:ext cx="57677" cy="148585"/>
                        </a:xfrm>
                        <a:custGeom>
                          <a:avLst/>
                          <a:gdLst/>
                          <a:ahLst/>
                          <a:cxnLst/>
                          <a:rect l="0" t="0" r="0" b="0"/>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grpFill/>
                        <a:ln w="0" cap="flat">
                          <a:solidFill>
                            <a:schemeClr val="bg2"/>
                          </a:solidFill>
                          <a:miter lim="127000"/>
                        </a:ln>
                        <a:effectLst/>
                      </wps:spPr>
                      <wps:bodyPr/>
                    </wps:wsp>
                    <wps:wsp>
                      <wps:cNvPr id="4" name="Shape 12"/>
                      <wps:cNvSpPr/>
                      <wps:spPr>
                        <a:xfrm>
                          <a:off x="586500" y="125726"/>
                          <a:ext cx="57664" cy="101907"/>
                        </a:xfrm>
                        <a:custGeom>
                          <a:avLst/>
                          <a:gdLst/>
                          <a:ahLst/>
                          <a:cxnLst/>
                          <a:rect l="0" t="0" r="0" b="0"/>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grpFill/>
                        <a:ln w="0" cap="flat">
                          <a:solidFill>
                            <a:schemeClr val="bg2"/>
                          </a:solidFill>
                          <a:miter lim="127000"/>
                        </a:ln>
                        <a:effectLst/>
                      </wps:spPr>
                      <wps:bodyPr/>
                    </wps:wsp>
                    <wps:wsp>
                      <wps:cNvPr id="5" name="Shape 14"/>
                      <wps:cNvSpPr/>
                      <wps:spPr>
                        <a:xfrm>
                          <a:off x="699415" y="125726"/>
                          <a:ext cx="58077" cy="148585"/>
                        </a:xfrm>
                        <a:custGeom>
                          <a:avLst/>
                          <a:gdLst/>
                          <a:ahLst/>
                          <a:cxnLst/>
                          <a:rect l="0" t="0" r="0" b="0"/>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grpFill/>
                        <a:ln w="0" cap="flat">
                          <a:solidFill>
                            <a:schemeClr val="bg2"/>
                          </a:solidFill>
                          <a:miter lim="127000"/>
                        </a:ln>
                        <a:effectLst/>
                      </wps:spPr>
                      <wps:bodyPr/>
                    </wps:wsp>
                    <wps:wsp>
                      <wps:cNvPr id="6" name="Shape 15"/>
                      <wps:cNvSpPr/>
                      <wps:spPr>
                        <a:xfrm>
                          <a:off x="757492" y="125726"/>
                          <a:ext cx="63856" cy="148585"/>
                        </a:xfrm>
                        <a:custGeom>
                          <a:avLst/>
                          <a:gdLst/>
                          <a:ahLst/>
                          <a:cxnLst/>
                          <a:rect l="0" t="0" r="0" b="0"/>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grpFill/>
                        <a:ln w="0" cap="flat">
                          <a:solidFill>
                            <a:schemeClr val="bg2"/>
                          </a:solidFill>
                          <a:miter lim="127000"/>
                        </a:ln>
                        <a:effectLst/>
                      </wps:spPr>
                      <wps:bodyPr/>
                    </wps:wsp>
                    <wps:wsp>
                      <wps:cNvPr id="8" name="Shape 17"/>
                      <wps:cNvSpPr/>
                      <wps:spPr>
                        <a:xfrm>
                          <a:off x="877616" y="125726"/>
                          <a:ext cx="107581" cy="148585"/>
                        </a:xfrm>
                        <a:custGeom>
                          <a:avLst/>
                          <a:gdLst/>
                          <a:ahLst/>
                          <a:cxnLst/>
                          <a:rect l="0" t="0" r="0" b="0"/>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grpFill/>
                        <a:ln w="0" cap="flat">
                          <a:solidFill>
                            <a:schemeClr val="bg2"/>
                          </a:solidFill>
                          <a:miter lim="127000"/>
                        </a:ln>
                        <a:effectLst/>
                      </wps:spPr>
                      <wps:bodyPr/>
                    </wps:wsp>
                    <wps:wsp>
                      <wps:cNvPr id="9" name="Shape 19"/>
                      <wps:cNvSpPr/>
                      <wps:spPr>
                        <a:xfrm>
                          <a:off x="1037654" y="122932"/>
                          <a:ext cx="142001" cy="153284"/>
                        </a:xfrm>
                        <a:custGeom>
                          <a:avLst/>
                          <a:gdLst/>
                          <a:ahLst/>
                          <a:cxnLst/>
                          <a:rect l="0" t="0" r="0" b="0"/>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grpFill/>
                        <a:ln w="0" cap="flat">
                          <a:solidFill>
                            <a:schemeClr val="bg2"/>
                          </a:solidFill>
                          <a:miter lim="127000"/>
                        </a:ln>
                        <a:effectLst/>
                      </wps:spPr>
                      <wps:bodyPr/>
                    </wps:wsp>
                    <wps:wsp>
                      <wps:cNvPr id="10" name="Shape 1326"/>
                      <wps:cNvSpPr/>
                      <wps:spPr>
                        <a:xfrm>
                          <a:off x="1226269" y="125726"/>
                          <a:ext cx="38104" cy="148585"/>
                        </a:xfrm>
                        <a:custGeom>
                          <a:avLst/>
                          <a:gdLst/>
                          <a:ahLst/>
                          <a:cxnLst/>
                          <a:rect l="0" t="0" r="0" b="0"/>
                          <a:pathLst>
                            <a:path w="38104" h="148585">
                              <a:moveTo>
                                <a:pt x="0" y="0"/>
                              </a:moveTo>
                              <a:lnTo>
                                <a:pt x="38104" y="0"/>
                              </a:lnTo>
                              <a:lnTo>
                                <a:pt x="38104" y="148585"/>
                              </a:lnTo>
                              <a:lnTo>
                                <a:pt x="0" y="148585"/>
                              </a:lnTo>
                              <a:lnTo>
                                <a:pt x="0" y="0"/>
                              </a:lnTo>
                            </a:path>
                          </a:pathLst>
                        </a:custGeom>
                        <a:grpFill/>
                        <a:ln w="0" cap="flat">
                          <a:solidFill>
                            <a:schemeClr val="bg2"/>
                          </a:solidFill>
                          <a:miter lim="127000"/>
                        </a:ln>
                        <a:effectLst/>
                      </wps:spPr>
                      <wps:bodyPr/>
                    </wps:wsp>
                    <wps:wsp>
                      <wps:cNvPr id="13" name="Shape 23"/>
                      <wps:cNvSpPr/>
                      <wps:spPr>
                        <a:xfrm>
                          <a:off x="1318735" y="123821"/>
                          <a:ext cx="119139" cy="153410"/>
                        </a:xfrm>
                        <a:custGeom>
                          <a:avLst/>
                          <a:gdLst/>
                          <a:ahLst/>
                          <a:cxnLst/>
                          <a:rect l="0" t="0" r="0" b="0"/>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grpFill/>
                        <a:ln w="0" cap="flat">
                          <a:solidFill>
                            <a:schemeClr val="bg2"/>
                          </a:solidFill>
                          <a:miter lim="127000"/>
                        </a:ln>
                        <a:effectLst/>
                      </wps:spPr>
                      <wps:bodyPr/>
                    </wps:wsp>
                    <wps:wsp>
                      <wps:cNvPr id="16" name="Shape 1327"/>
                      <wps:cNvSpPr/>
                      <wps:spPr>
                        <a:xfrm>
                          <a:off x="1489315" y="125726"/>
                          <a:ext cx="37088" cy="148585"/>
                        </a:xfrm>
                        <a:custGeom>
                          <a:avLst/>
                          <a:gdLst/>
                          <a:ahLst/>
                          <a:cxnLst/>
                          <a:rect l="0" t="0" r="0" b="0"/>
                          <a:pathLst>
                            <a:path w="37088" h="148585">
                              <a:moveTo>
                                <a:pt x="0" y="0"/>
                              </a:moveTo>
                              <a:lnTo>
                                <a:pt x="37088" y="0"/>
                              </a:lnTo>
                              <a:lnTo>
                                <a:pt x="37088" y="148585"/>
                              </a:lnTo>
                              <a:lnTo>
                                <a:pt x="0" y="148585"/>
                              </a:lnTo>
                              <a:lnTo>
                                <a:pt x="0" y="0"/>
                              </a:lnTo>
                            </a:path>
                          </a:pathLst>
                        </a:custGeom>
                        <a:grpFill/>
                        <a:ln w="0" cap="flat">
                          <a:solidFill>
                            <a:schemeClr val="bg2"/>
                          </a:solidFill>
                          <a:miter lim="127000"/>
                        </a:ln>
                        <a:effectLst/>
                      </wps:spPr>
                      <wps:bodyPr/>
                    </wps:wsp>
                    <wps:wsp>
                      <wps:cNvPr id="18" name="Shape 27"/>
                      <wps:cNvSpPr/>
                      <wps:spPr>
                        <a:xfrm>
                          <a:off x="1585465" y="122932"/>
                          <a:ext cx="77732" cy="153284"/>
                        </a:xfrm>
                        <a:custGeom>
                          <a:avLst/>
                          <a:gdLst/>
                          <a:ahLst/>
                          <a:cxnLst/>
                          <a:rect l="0" t="0" r="0" b="0"/>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grpFill/>
                        <a:ln w="0" cap="flat">
                          <a:solidFill>
                            <a:schemeClr val="bg2"/>
                          </a:solidFill>
                          <a:miter lim="127000"/>
                        </a:ln>
                        <a:effectLst/>
                      </wps:spPr>
                      <wps:bodyPr/>
                    </wps:wsp>
                    <wps:wsp>
                      <wps:cNvPr id="20" name="Shape 28"/>
                      <wps:cNvSpPr/>
                      <wps:spPr>
                        <a:xfrm>
                          <a:off x="1663197" y="123027"/>
                          <a:ext cx="77606" cy="153104"/>
                        </a:xfrm>
                        <a:custGeom>
                          <a:avLst/>
                          <a:gdLst/>
                          <a:ahLst/>
                          <a:cxnLst/>
                          <a:rect l="0" t="0" r="0" b="0"/>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grpFill/>
                        <a:ln w="0" cap="flat">
                          <a:solidFill>
                            <a:schemeClr val="bg2"/>
                          </a:solidFill>
                          <a:miter lim="127000"/>
                        </a:ln>
                        <a:effectLst/>
                      </wps:spPr>
                      <wps:bodyPr/>
                    </wps:wsp>
                    <wps:wsp>
                      <wps:cNvPr id="21" name="Shape 30"/>
                      <wps:cNvSpPr/>
                      <wps:spPr>
                        <a:xfrm>
                          <a:off x="1784623" y="125726"/>
                          <a:ext cx="132475" cy="148585"/>
                        </a:xfrm>
                        <a:custGeom>
                          <a:avLst/>
                          <a:gdLst/>
                          <a:ahLst/>
                          <a:cxnLst/>
                          <a:rect l="0" t="0" r="0" b="0"/>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grpFill/>
                        <a:ln w="0" cap="flat">
                          <a:solidFill>
                            <a:schemeClr val="bg2"/>
                          </a:solidFill>
                          <a:miter lim="127000"/>
                        </a:ln>
                        <a:effectLst/>
                      </wps:spPr>
                      <wps:bodyPr/>
                    </wps:wsp>
                    <wps:wsp>
                      <wps:cNvPr id="22" name="Shape 32"/>
                      <wps:cNvSpPr/>
                      <wps:spPr>
                        <a:xfrm>
                          <a:off x="2029506" y="125726"/>
                          <a:ext cx="71445" cy="148585"/>
                        </a:xfrm>
                        <a:custGeom>
                          <a:avLst/>
                          <a:gdLst/>
                          <a:ahLst/>
                          <a:cxnLst/>
                          <a:rect l="0" t="0" r="0" b="0"/>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grpFill/>
                        <a:ln w="0" cap="flat">
                          <a:solidFill>
                            <a:schemeClr val="bg2"/>
                          </a:solidFill>
                          <a:miter lim="127000"/>
                        </a:ln>
                        <a:effectLst/>
                      </wps:spPr>
                      <wps:bodyPr/>
                    </wps:wsp>
                    <wps:wsp>
                      <wps:cNvPr id="24" name="Shape 33"/>
                      <wps:cNvSpPr/>
                      <wps:spPr>
                        <a:xfrm>
                          <a:off x="2100951" y="125726"/>
                          <a:ext cx="70556" cy="148585"/>
                        </a:xfrm>
                        <a:custGeom>
                          <a:avLst/>
                          <a:gdLst/>
                          <a:ahLst/>
                          <a:cxnLst/>
                          <a:rect l="0" t="0" r="0" b="0"/>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grpFill/>
                        <a:ln w="0" cap="flat">
                          <a:solidFill>
                            <a:schemeClr val="bg2"/>
                          </a:solidFill>
                          <a:miter lim="127000"/>
                        </a:ln>
                        <a:effectLst/>
                      </wps:spPr>
                      <wps:bodyPr/>
                    </wps:wsp>
                    <wps:wsp>
                      <wps:cNvPr id="25" name="Shape 35"/>
                      <wps:cNvSpPr/>
                      <wps:spPr>
                        <a:xfrm>
                          <a:off x="0" y="0"/>
                          <a:ext cx="396373" cy="364858"/>
                        </a:xfrm>
                        <a:custGeom>
                          <a:avLst/>
                          <a:gdLst/>
                          <a:ahLst/>
                          <a:cxnLst/>
                          <a:rect l="0" t="0" r="0" b="0"/>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grpFill/>
                        <a:ln w="0" cap="flat">
                          <a:solidFill>
                            <a:schemeClr val="bg2"/>
                          </a:solidFill>
                          <a:miter lim="127000"/>
                        </a:ln>
                        <a:effectLst/>
                      </wps:spPr>
                      <wps:bodyPr/>
                    </wps:wsp>
                  </wpg:wgp>
                </a:graphicData>
              </a:graphic>
            </wp:anchor>
          </w:drawing>
        </mc:Choice>
        <mc:Fallback>
          <w:pict>
            <v:group w14:anchorId="493B87E7" id="Group 1" o:spid="_x0000_s1026" style="position:absolute;margin-left:-15.85pt;margin-top:-17.8pt;width:176.6pt;height:28.7pt;z-index:251663360" coordsize="22430,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">
              <v:shape id="Shape 1325" o:spid="_x0000_s1027" style="position:absolute;left:22087;top:1257;width:343;height:1496;visibility:visible;mso-wrap-style:square;v-text-anchor:top" coordsize="34294,14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" path="m,l34294,r,149601l,149601,,e" filled="f" strokecolor="#04cca5 [3214]" strokeweight="0">
                <v:stroke miterlimit="83231f" joinstyle="miter"/>
                <v:path arrowok="t" textboxrect="0,0,34294,149601"/>
              </v:shape>
              <v:shape id="Shape 11" o:spid="_x0000_s1028" style="position:absolute;left:5288;top:1257;width:577;height:1486;visibility:visible;mso-wrap-style:square;v-text-anchor:top" coordsize="576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" path="m,l57677,r,34289l38117,34289r,33400l57677,67689r,34218l57169,101978r-19052,l38117,148585,,148585,,xe" filled="f" strokecolor="#04cca5 [3214]" strokeweight="0">
                <v:stroke miterlimit="83231f" joinstyle="miter"/>
                <v:path arrowok="t" textboxrect="0,0,57677,148585"/>
              </v:shape>
              <v:shape id="Shape 12" o:spid="_x0000_s1029" style="position:absolute;left:5865;top:1257;width:576;height:1019;visibility:visible;mso-wrap-style:square;v-text-anchor:top" coordsize="57664,10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" path="m,l1397,c20449,,34802,4825,43312,15239v9526,9525,14352,21970,14352,36194c57664,66673,52838,78102,43312,87627,38549,92389,32611,95977,25355,98374l,101907,,67689r1397,c12828,67689,19560,60958,19560,51433v,-9525,-7621,-17144,-18163,-17144l,34289,,xe" filled="f" strokecolor="#04cca5 [3214]" strokeweight="0">
                <v:stroke miterlimit="83231f" joinstyle="miter"/>
                <v:path arrowok="t" textboxrect="0,0,57664,101907"/>
              </v:shape>
              <v:shape id="Shape 14" o:spid="_x0000_s1030" style="position:absolute;left:6994;top:1257;width:580;height:1486;visibility:visible;mso-wrap-style:square;v-text-anchor:top" coordsize="580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" path="m,l58077,r,34289l38104,34289r,32384l58077,66673r,43055l52330,99056r-14226,l38104,148585,,148585,,xe" filled="f" strokecolor="#04cca5 [3214]" strokeweight="0">
                <v:stroke miterlimit="83231f" joinstyle="miter"/>
                <v:path arrowok="t" textboxrect="0,0,58077,148585"/>
              </v:shape>
              <v:shape id="Shape 15" o:spid="_x0000_s1031" style="position:absolute;left:7574;top:1257;width:639;height:1486;visibility:visible;mso-wrap-style:square;v-text-anchor:top" coordsize="638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" path="m,l3779,c21942,,35278,4825,44804,14350v9526,8509,13337,20955,13337,35178c58141,67689,49504,84833,31468,93342r32388,55243l20926,148585,,109728,,66673r1873,c26641,67689,24736,32383,3779,34289l,34289,,xe" filled="f" strokecolor="#04cca5 [3214]" strokeweight="0">
                <v:stroke miterlimit="83231f" joinstyle="miter"/>
                <v:path arrowok="t" textboxrect="0,0,63856,148585"/>
              </v:shape>
              <v:shape id="Shape 17" o:spid="_x0000_s1032" style="position:absolute;left:8776;top:1257;width:1075;height:1486;visibility:visible;mso-wrap-style:square;v-text-anchor:top" coordsize="107581,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" path="m,l107581,r,34289l38104,34289r,21970l101865,56259r,35178l38104,91437r,21970l106692,113407r,35178l,148585,,xe" filled="f" strokecolor="#04cca5 [3214]" strokeweight="0">
                <v:stroke miterlimit="83231f" joinstyle="miter"/>
                <v:path arrowok="t" textboxrect="0,0,107581,148585"/>
              </v:shape>
              <v:shape id="Shape 19" o:spid="_x0000_s1033" style="position:absolute;left:10376;top:1229;width:1420;height:1533;visibility:visible;mso-wrap-style:square;v-text-anchor:top" coordsize="142001,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" path="m76208,v26673,,50552,11429,63888,29463l116218,54226c104786,41908,92466,36193,79130,36193v-11432,,-21085,3810,-28706,11430c42804,55242,38993,65656,38993,77086v,11430,3811,20954,11431,29590c58045,114296,67698,118106,79130,118106v14225,,26673,-6731,38104,-19050l142001,122804v-6731,8636,-16257,16257,-27688,21970c102881,150489,90561,153284,76208,153284v-21973,,-40009,-6605,-54362,-20955c6604,118106,,99945,,77086,,55242,7621,36193,21846,21843,37088,7619,55251,,76208,xe" filled="f" strokecolor="#04cca5 [3214]" strokeweight="0">
                <v:stroke miterlimit="83231f" joinstyle="miter"/>
                <v:path arrowok="t" textboxrect="0,0,142001,153284"/>
              </v:shape>
              <v:shape id="Shape 1326" o:spid="_x0000_s1034" style="position:absolute;left:12262;top:1257;width:381;height:1486;visibility:visible;mso-wrap-style:square;v-text-anchor:top" coordsize="38104,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" path="m,l38104,r,148585l,148585,,e" filled="f" strokecolor="#04cca5 [3214]" strokeweight="0">
                <v:stroke miterlimit="83231f" joinstyle="miter"/>
                <v:path arrowok="t" textboxrect="0,0,38104,148585"/>
              </v:shape>
              <v:shape id="Shape 23" o:spid="_x0000_s1035" style="position:absolute;left:13187;top:1238;width:1191;height:1534;visibility:visible;mso-wrap-style:square;v-text-anchor:top" coordsize="119139,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" path="m63888,v20957,,38104,5714,53346,18160l99071,46734c90561,40003,76209,34288,64777,34288v-10415,,-16131,4826,-16131,9525c48646,48639,53346,52449,60967,55242r12447,4826c81035,62862,86751,64767,90561,66673v19052,7619,28578,20953,28578,39114c119139,119121,113424,130551,102882,140076v-10416,8508,-24768,13334,-42804,13334c35183,153410,15242,144774,,127630l19052,100072v12321,12319,26673,18033,41915,18033c69604,118105,77225,114296,77225,107692v,-4826,-3811,-8636,-11432,-11430l52457,91436c43820,88643,37088,86737,33278,83817,17147,75308,8510,62862,8510,45718v,-13335,5716,-24764,16258,-33273c34294,3810,47630,,63888,xe" filled="f" strokecolor="#04cca5 [3214]" strokeweight="0">
                <v:stroke miterlimit="83231f" joinstyle="miter"/>
                <v:path arrowok="t" textboxrect="0,0,119139,153410"/>
              </v:shape>
              <v:shape id="Shape 1327" o:spid="_x0000_s1036" style="position:absolute;left:14893;top:1257;width:371;height:1486;visibility:visible;mso-wrap-style:square;v-text-anchor:top" coordsize="37088,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" path="m,l37088,r,148585l,148585,,e" filled="f" strokecolor="#04cca5 [3214]" strokeweight="0">
                <v:stroke miterlimit="83231f" joinstyle="miter"/>
                <v:path arrowok="t" textboxrect="0,0,37088,148585"/>
              </v:shape>
              <v:shape id="Shape 27" o:spid="_x0000_s1037" style="position:absolute;left:15854;top:1229;width:777;height:1533;visibility:visible;mso-wrap-style:square;v-text-anchor:top" coordsize="77732,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" path="m77225,r507,95l77732,37179r-507,-97c66809,37082,57283,40892,49662,48513,42931,56131,39120,65656,39120,77086v,11430,3811,20954,10542,28574c57283,112391,66809,116201,77225,116201r507,-90l77732,153198r-507,86c55378,153284,37215,146679,21973,131440,7621,117090,,99056,,77086,,55242,7621,37082,21973,22859,37215,7619,55378,,77225,xe" filled="f" strokecolor="#04cca5 [3214]" strokeweight="0">
                <v:stroke miterlimit="83231f" joinstyle="miter"/>
                <v:path arrowok="t" textboxrect="0,0,77732,153284"/>
              </v:shape>
              <v:shape id="Shape 28" o:spid="_x0000_s1038" style="position:absolute;left:16631;top:1230;width:777;height:1531;visibility:visible;mso-wrap-style:square;v-text-anchor:top" coordsize="77606,15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" path="m,l30150,5620v9415,3810,17989,9524,25609,17144c69985,36988,77606,55148,77606,76991v,21970,-7621,40004,-21847,54354c48139,138965,39787,144426,30483,147982l,153104,,116017r15099,-2657c19751,111566,23815,108931,27181,105566,34802,97945,38612,88421,38612,76991v,-11429,-3810,-20954,-11431,-28573c23371,44608,19084,41750,14432,39845l,37085,,xe" filled="f" strokecolor="#04cca5 [3214]" strokeweight="0">
                <v:stroke miterlimit="83231f" joinstyle="miter"/>
                <v:path arrowok="t" textboxrect="0,0,77606,153104"/>
              </v:shape>
              <v:shape id="Shape 30" o:spid="_x0000_s1039" style="position:absolute;left:17846;top:1257;width:1324;height:1486;visibility:visible;mso-wrap-style:square;v-text-anchor:top" coordsize="13247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" path="m,l26673,,95260,81023,95260,r37215,l132475,148585r-27562,l37215,68578r,80007l,148585,,xe" filled="f" strokecolor="#04cca5 [3214]" strokeweight="0">
                <v:stroke miterlimit="83231f" joinstyle="miter"/>
                <v:path arrowok="t" textboxrect="0,0,132475,148585"/>
              </v:shape>
              <v:shape id="Shape 32" o:spid="_x0000_s1040" style="position:absolute;left:20295;top:1257;width:714;height:1486;visibility:visible;mso-wrap-style:square;v-text-anchor:top" coordsize="7144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" path="m54362,l71445,r,45024l57156,88643r14289,l71445,121027r-23815,l38104,148585,,148585,54362,xe" filled="f" strokecolor="#04cca5 [3214]" strokeweight="0">
                <v:stroke miterlimit="83231f" joinstyle="miter"/>
                <v:path arrowok="t" textboxrect="0,0,71445,148585"/>
              </v:shape>
              <v:shape id="Shape 33" o:spid="_x0000_s1041" style="position:absolute;left:21009;top:1257;width:706;height:1486;visibility:visible;mso-wrap-style:square;v-text-anchor:top" coordsize="705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" path="m,l17210,,70556,148585r-39120,l22926,121027,,121027,,88643r14289,l64,44830,,45024,,xe" filled="f" strokecolor="#04cca5 [3214]" strokeweight="0">
                <v:stroke miterlimit="83231f" joinstyle="miter"/>
                <v:path arrowok="t" textboxrect="0,0,70556,148585"/>
              </v:shape>
              <v:shape id="Shape 35" o:spid="_x0000_s1042" style="position:absolute;width:3963;height:3648;visibility:visible;mso-wrap-style:square;v-text-anchor:top" coordsize="396373,36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" path="m182938,r33354,14350l216292,89532,379226,13335v7620,-3810,17147,1904,17147,11429l396373,101978v,52321,-30484,99055,-78127,120010l316341,222877r-63837,29591l252504,216274r52406,-24765c340156,175254,363031,140965,363031,101978r,-44830l244870,112391v-18099,8636,-28578,25780,-28578,45718l217245,347714r-34307,17144l182938,267706,78126,221988c31436,201033,,154299,,101978l,22859c,15239,8573,9525,16194,12446l144834,71499r,36193l33341,56259r,45719c33341,140965,56216,176270,91463,191509r91475,40004l182938,xe" filled="f" strokecolor="#04cca5 [3214]" strokeweight="0">
                <v:stroke miterlimit="83231f" joinstyle="miter"/>
                <v:path arrowok="t" textboxrect="0,0,396373,36485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78EC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0F2"/>
    <w:multiLevelType w:val="multilevel"/>
    <w:tmpl w:val="753E4E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AA3BDB"/>
    <w:multiLevelType w:val="multilevel"/>
    <w:tmpl w:val="05D28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4A339B"/>
    <w:multiLevelType w:val="multilevel"/>
    <w:tmpl w:val="F0B86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E971B4"/>
    <w:multiLevelType w:val="multilevel"/>
    <w:tmpl w:val="CC58F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891D7E"/>
    <w:multiLevelType w:val="multilevel"/>
    <w:tmpl w:val="3F88B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646C96"/>
    <w:multiLevelType w:val="multilevel"/>
    <w:tmpl w:val="F8C2AE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E12716"/>
    <w:multiLevelType w:val="multilevel"/>
    <w:tmpl w:val="4DB2FE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9700FD"/>
    <w:multiLevelType w:val="multilevel"/>
    <w:tmpl w:val="18EC8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7DC1088"/>
    <w:multiLevelType w:val="multilevel"/>
    <w:tmpl w:val="DEB095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9227574"/>
    <w:multiLevelType w:val="multilevel"/>
    <w:tmpl w:val="7E88B6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9700EE2"/>
    <w:multiLevelType w:val="multilevel"/>
    <w:tmpl w:val="32A2B9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CAD60C5"/>
    <w:multiLevelType w:val="multilevel"/>
    <w:tmpl w:val="6316A1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D9E6BFF"/>
    <w:multiLevelType w:val="multilevel"/>
    <w:tmpl w:val="AA365B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DBE3F43"/>
    <w:multiLevelType w:val="multilevel"/>
    <w:tmpl w:val="456CC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F1648CA"/>
    <w:multiLevelType w:val="multilevel"/>
    <w:tmpl w:val="783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225F"/>
    <w:multiLevelType w:val="multilevel"/>
    <w:tmpl w:val="BA306C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027391D"/>
    <w:multiLevelType w:val="multilevel"/>
    <w:tmpl w:val="B010C3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765ACE"/>
    <w:multiLevelType w:val="multilevel"/>
    <w:tmpl w:val="BAEA5C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1F73526"/>
    <w:multiLevelType w:val="multilevel"/>
    <w:tmpl w:val="570E4D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4451B19"/>
    <w:multiLevelType w:val="multilevel"/>
    <w:tmpl w:val="754677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6553308"/>
    <w:multiLevelType w:val="multilevel"/>
    <w:tmpl w:val="0FB02C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80F72CE"/>
    <w:multiLevelType w:val="multilevel"/>
    <w:tmpl w:val="3BEACE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82A16C9"/>
    <w:multiLevelType w:val="multilevel"/>
    <w:tmpl w:val="9438A4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A20374B"/>
    <w:multiLevelType w:val="multilevel"/>
    <w:tmpl w:val="E1562C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D3336B1"/>
    <w:multiLevelType w:val="multilevel"/>
    <w:tmpl w:val="DCA436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DC17022"/>
    <w:multiLevelType w:val="multilevel"/>
    <w:tmpl w:val="134002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DCB73D1"/>
    <w:multiLevelType w:val="multilevel"/>
    <w:tmpl w:val="DB5298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E802EBE"/>
    <w:multiLevelType w:val="multilevel"/>
    <w:tmpl w:val="DCDA2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FD425B0"/>
    <w:multiLevelType w:val="multilevel"/>
    <w:tmpl w:val="370667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0130BC9"/>
    <w:multiLevelType w:val="multilevel"/>
    <w:tmpl w:val="88AEEB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85779D"/>
    <w:multiLevelType w:val="multilevel"/>
    <w:tmpl w:val="492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C05F4"/>
    <w:multiLevelType w:val="multilevel"/>
    <w:tmpl w:val="0C0EEE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B9F1468"/>
    <w:multiLevelType w:val="multilevel"/>
    <w:tmpl w:val="07DE42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E6A2B0B"/>
    <w:multiLevelType w:val="multilevel"/>
    <w:tmpl w:val="DB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3191E"/>
    <w:multiLevelType w:val="multilevel"/>
    <w:tmpl w:val="961069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3DC0EC0"/>
    <w:multiLevelType w:val="multilevel"/>
    <w:tmpl w:val="276E2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B5E24A2"/>
    <w:multiLevelType w:val="multilevel"/>
    <w:tmpl w:val="04F0AB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C341EF3"/>
    <w:multiLevelType w:val="multilevel"/>
    <w:tmpl w:val="217E23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8A91F6B"/>
    <w:multiLevelType w:val="multilevel"/>
    <w:tmpl w:val="EF1A7C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ABD3E67"/>
    <w:multiLevelType w:val="multilevel"/>
    <w:tmpl w:val="73BEDE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45429DB"/>
    <w:multiLevelType w:val="multilevel"/>
    <w:tmpl w:val="D2BC2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4D6238F"/>
    <w:multiLevelType w:val="multilevel"/>
    <w:tmpl w:val="B79C55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65AE1E99"/>
    <w:multiLevelType w:val="multilevel"/>
    <w:tmpl w:val="1D42B7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670D191C"/>
    <w:multiLevelType w:val="multilevel"/>
    <w:tmpl w:val="FEC2DC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6BAB5BC0"/>
    <w:multiLevelType w:val="multilevel"/>
    <w:tmpl w:val="431ABE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6EC2529C"/>
    <w:multiLevelType w:val="multilevel"/>
    <w:tmpl w:val="BDC22F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13E1DD0"/>
    <w:multiLevelType w:val="multilevel"/>
    <w:tmpl w:val="C80E4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4D85586"/>
    <w:multiLevelType w:val="multilevel"/>
    <w:tmpl w:val="852C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A21D7"/>
    <w:multiLevelType w:val="multilevel"/>
    <w:tmpl w:val="BB0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C4EB6"/>
    <w:multiLevelType w:val="multilevel"/>
    <w:tmpl w:val="BE30B8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32691590">
    <w:abstractNumId w:val="0"/>
  </w:num>
  <w:num w:numId="2" w16cid:durableId="510342360">
    <w:abstractNumId w:val="31"/>
  </w:num>
  <w:num w:numId="3" w16cid:durableId="2145655219">
    <w:abstractNumId w:val="34"/>
  </w:num>
  <w:num w:numId="4" w16cid:durableId="1566984980">
    <w:abstractNumId w:val="15"/>
  </w:num>
  <w:num w:numId="5" w16cid:durableId="1477641869">
    <w:abstractNumId w:val="49"/>
  </w:num>
  <w:num w:numId="6" w16cid:durableId="441456689">
    <w:abstractNumId w:val="48"/>
  </w:num>
  <w:num w:numId="7" w16cid:durableId="703291319">
    <w:abstractNumId w:val="42"/>
  </w:num>
  <w:num w:numId="8" w16cid:durableId="1027294712">
    <w:abstractNumId w:val="26"/>
  </w:num>
  <w:num w:numId="9" w16cid:durableId="1017929735">
    <w:abstractNumId w:val="43"/>
  </w:num>
  <w:num w:numId="10" w16cid:durableId="866795446">
    <w:abstractNumId w:val="30"/>
  </w:num>
  <w:num w:numId="11" w16cid:durableId="647589522">
    <w:abstractNumId w:val="46"/>
  </w:num>
  <w:num w:numId="12" w16cid:durableId="384910576">
    <w:abstractNumId w:val="20"/>
  </w:num>
  <w:num w:numId="13" w16cid:durableId="2024362162">
    <w:abstractNumId w:val="24"/>
  </w:num>
  <w:num w:numId="14" w16cid:durableId="994727165">
    <w:abstractNumId w:val="28"/>
  </w:num>
  <w:num w:numId="15" w16cid:durableId="1146164879">
    <w:abstractNumId w:val="7"/>
  </w:num>
  <w:num w:numId="16" w16cid:durableId="636643306">
    <w:abstractNumId w:val="29"/>
  </w:num>
  <w:num w:numId="17" w16cid:durableId="1314455685">
    <w:abstractNumId w:val="2"/>
  </w:num>
  <w:num w:numId="18" w16cid:durableId="2053769435">
    <w:abstractNumId w:val="32"/>
  </w:num>
  <w:num w:numId="19" w16cid:durableId="441263517">
    <w:abstractNumId w:val="9"/>
  </w:num>
  <w:num w:numId="20" w16cid:durableId="1028946901">
    <w:abstractNumId w:val="14"/>
  </w:num>
  <w:num w:numId="21" w16cid:durableId="1790512838">
    <w:abstractNumId w:val="40"/>
  </w:num>
  <w:num w:numId="22" w16cid:durableId="639190928">
    <w:abstractNumId w:val="11"/>
  </w:num>
  <w:num w:numId="23" w16cid:durableId="1076825944">
    <w:abstractNumId w:val="18"/>
  </w:num>
  <w:num w:numId="24" w16cid:durableId="1607687372">
    <w:abstractNumId w:val="45"/>
  </w:num>
  <w:num w:numId="25" w16cid:durableId="536628309">
    <w:abstractNumId w:val="22"/>
  </w:num>
  <w:num w:numId="26" w16cid:durableId="1228566861">
    <w:abstractNumId w:val="4"/>
  </w:num>
  <w:num w:numId="27" w16cid:durableId="2039233244">
    <w:abstractNumId w:val="21"/>
  </w:num>
  <w:num w:numId="28" w16cid:durableId="1447700783">
    <w:abstractNumId w:val="36"/>
  </w:num>
  <w:num w:numId="29" w16cid:durableId="2117283295">
    <w:abstractNumId w:val="5"/>
  </w:num>
  <w:num w:numId="30" w16cid:durableId="1966499409">
    <w:abstractNumId w:val="47"/>
  </w:num>
  <w:num w:numId="31" w16cid:durableId="593707087">
    <w:abstractNumId w:val="19"/>
  </w:num>
  <w:num w:numId="32" w16cid:durableId="2136365209">
    <w:abstractNumId w:val="41"/>
  </w:num>
  <w:num w:numId="33" w16cid:durableId="1214274959">
    <w:abstractNumId w:val="25"/>
  </w:num>
  <w:num w:numId="34" w16cid:durableId="688413535">
    <w:abstractNumId w:val="12"/>
  </w:num>
  <w:num w:numId="35" w16cid:durableId="59331411">
    <w:abstractNumId w:val="23"/>
  </w:num>
  <w:num w:numId="36" w16cid:durableId="140510543">
    <w:abstractNumId w:val="17"/>
  </w:num>
  <w:num w:numId="37" w16cid:durableId="2141414810">
    <w:abstractNumId w:val="35"/>
  </w:num>
  <w:num w:numId="38" w16cid:durableId="484317090">
    <w:abstractNumId w:val="39"/>
  </w:num>
  <w:num w:numId="39" w16cid:durableId="677314602">
    <w:abstractNumId w:val="13"/>
  </w:num>
  <w:num w:numId="40" w16cid:durableId="1345010287">
    <w:abstractNumId w:val="6"/>
  </w:num>
  <w:num w:numId="41" w16cid:durableId="1368721917">
    <w:abstractNumId w:val="37"/>
  </w:num>
  <w:num w:numId="42" w16cid:durableId="811679034">
    <w:abstractNumId w:val="50"/>
  </w:num>
  <w:num w:numId="43" w16cid:durableId="1978292083">
    <w:abstractNumId w:val="8"/>
  </w:num>
  <w:num w:numId="44" w16cid:durableId="1932738072">
    <w:abstractNumId w:val="33"/>
  </w:num>
  <w:num w:numId="45" w16cid:durableId="895973414">
    <w:abstractNumId w:val="38"/>
  </w:num>
  <w:num w:numId="46" w16cid:durableId="1031153318">
    <w:abstractNumId w:val="16"/>
  </w:num>
  <w:num w:numId="47" w16cid:durableId="5716427">
    <w:abstractNumId w:val="1"/>
  </w:num>
  <w:num w:numId="48" w16cid:durableId="1715344762">
    <w:abstractNumId w:val="44"/>
  </w:num>
  <w:num w:numId="49" w16cid:durableId="1540779978">
    <w:abstractNumId w:val="3"/>
  </w:num>
  <w:num w:numId="50" w16cid:durableId="1440877339">
    <w:abstractNumId w:val="10"/>
  </w:num>
  <w:num w:numId="51" w16cid:durableId="2018533159">
    <w:abstractNumId w:val="2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D0E"/>
    <w:rsid w:val="00000580"/>
    <w:rsid w:val="00037C5C"/>
    <w:rsid w:val="00047F4B"/>
    <w:rsid w:val="00064896"/>
    <w:rsid w:val="000667B7"/>
    <w:rsid w:val="000836BB"/>
    <w:rsid w:val="00090E54"/>
    <w:rsid w:val="000A6FCE"/>
    <w:rsid w:val="000B36DF"/>
    <w:rsid w:val="000C11D8"/>
    <w:rsid w:val="000C19EC"/>
    <w:rsid w:val="000D0C4C"/>
    <w:rsid w:val="000D0D2B"/>
    <w:rsid w:val="000D2336"/>
    <w:rsid w:val="000E0010"/>
    <w:rsid w:val="000E47AD"/>
    <w:rsid w:val="000F028D"/>
    <w:rsid w:val="000F34A0"/>
    <w:rsid w:val="000F498A"/>
    <w:rsid w:val="000F50ED"/>
    <w:rsid w:val="0010152B"/>
    <w:rsid w:val="00102957"/>
    <w:rsid w:val="0010470B"/>
    <w:rsid w:val="00107263"/>
    <w:rsid w:val="00110AB8"/>
    <w:rsid w:val="00125028"/>
    <w:rsid w:val="00133F68"/>
    <w:rsid w:val="0013584D"/>
    <w:rsid w:val="00136BFA"/>
    <w:rsid w:val="00151943"/>
    <w:rsid w:val="00153F07"/>
    <w:rsid w:val="00161461"/>
    <w:rsid w:val="0016398D"/>
    <w:rsid w:val="00173D2D"/>
    <w:rsid w:val="00182952"/>
    <w:rsid w:val="00185713"/>
    <w:rsid w:val="001A3466"/>
    <w:rsid w:val="001A6CF8"/>
    <w:rsid w:val="001B433B"/>
    <w:rsid w:val="001C2B6D"/>
    <w:rsid w:val="001C39DC"/>
    <w:rsid w:val="001C5447"/>
    <w:rsid w:val="001D1815"/>
    <w:rsid w:val="001D52E5"/>
    <w:rsid w:val="001E5F0D"/>
    <w:rsid w:val="002209F6"/>
    <w:rsid w:val="00221673"/>
    <w:rsid w:val="002401DA"/>
    <w:rsid w:val="00246DA6"/>
    <w:rsid w:val="00251B72"/>
    <w:rsid w:val="00256CC7"/>
    <w:rsid w:val="00257391"/>
    <w:rsid w:val="002603A3"/>
    <w:rsid w:val="002757A0"/>
    <w:rsid w:val="0028561F"/>
    <w:rsid w:val="002867A8"/>
    <w:rsid w:val="00286EAB"/>
    <w:rsid w:val="00290AC6"/>
    <w:rsid w:val="00297B21"/>
    <w:rsid w:val="002B21D8"/>
    <w:rsid w:val="002B4049"/>
    <w:rsid w:val="002C1E2D"/>
    <w:rsid w:val="002D59D0"/>
    <w:rsid w:val="002E0A7F"/>
    <w:rsid w:val="002E58FB"/>
    <w:rsid w:val="00304B57"/>
    <w:rsid w:val="00312490"/>
    <w:rsid w:val="00312C06"/>
    <w:rsid w:val="0031746F"/>
    <w:rsid w:val="00330E89"/>
    <w:rsid w:val="0034481B"/>
    <w:rsid w:val="00347AE4"/>
    <w:rsid w:val="00352E30"/>
    <w:rsid w:val="003540B9"/>
    <w:rsid w:val="00355404"/>
    <w:rsid w:val="00355EDD"/>
    <w:rsid w:val="00376605"/>
    <w:rsid w:val="00393663"/>
    <w:rsid w:val="003A2C36"/>
    <w:rsid w:val="003A3421"/>
    <w:rsid w:val="003C084D"/>
    <w:rsid w:val="003E5B99"/>
    <w:rsid w:val="003E6152"/>
    <w:rsid w:val="003E7618"/>
    <w:rsid w:val="00400546"/>
    <w:rsid w:val="00406678"/>
    <w:rsid w:val="00407CFD"/>
    <w:rsid w:val="0041325B"/>
    <w:rsid w:val="004223D7"/>
    <w:rsid w:val="00454D3E"/>
    <w:rsid w:val="00484F96"/>
    <w:rsid w:val="00486D20"/>
    <w:rsid w:val="00487950"/>
    <w:rsid w:val="004B04CD"/>
    <w:rsid w:val="004C05C9"/>
    <w:rsid w:val="004C1F9F"/>
    <w:rsid w:val="004F7D42"/>
    <w:rsid w:val="00501620"/>
    <w:rsid w:val="00501D94"/>
    <w:rsid w:val="00507BEF"/>
    <w:rsid w:val="00511C66"/>
    <w:rsid w:val="00525664"/>
    <w:rsid w:val="00531C3B"/>
    <w:rsid w:val="005322F5"/>
    <w:rsid w:val="0053434B"/>
    <w:rsid w:val="005657FD"/>
    <w:rsid w:val="0057254B"/>
    <w:rsid w:val="00575372"/>
    <w:rsid w:val="00576FBA"/>
    <w:rsid w:val="00577FAF"/>
    <w:rsid w:val="00594B1D"/>
    <w:rsid w:val="005A1A19"/>
    <w:rsid w:val="005B0898"/>
    <w:rsid w:val="005C33B1"/>
    <w:rsid w:val="005D3568"/>
    <w:rsid w:val="005E14F0"/>
    <w:rsid w:val="005F161E"/>
    <w:rsid w:val="005F53E4"/>
    <w:rsid w:val="00600C82"/>
    <w:rsid w:val="00610C02"/>
    <w:rsid w:val="00615EE6"/>
    <w:rsid w:val="00616620"/>
    <w:rsid w:val="006234A3"/>
    <w:rsid w:val="0062585A"/>
    <w:rsid w:val="006275A8"/>
    <w:rsid w:val="00657FA6"/>
    <w:rsid w:val="006715CE"/>
    <w:rsid w:val="0067695A"/>
    <w:rsid w:val="0068102B"/>
    <w:rsid w:val="00681703"/>
    <w:rsid w:val="006A5424"/>
    <w:rsid w:val="006C1FE8"/>
    <w:rsid w:val="006C3ED7"/>
    <w:rsid w:val="006C5EBA"/>
    <w:rsid w:val="006D3F79"/>
    <w:rsid w:val="006D5D57"/>
    <w:rsid w:val="006E440D"/>
    <w:rsid w:val="006E6624"/>
    <w:rsid w:val="006F7535"/>
    <w:rsid w:val="00702E61"/>
    <w:rsid w:val="00720634"/>
    <w:rsid w:val="0072273E"/>
    <w:rsid w:val="00730F09"/>
    <w:rsid w:val="007460CF"/>
    <w:rsid w:val="0075038E"/>
    <w:rsid w:val="00753C5A"/>
    <w:rsid w:val="00756B73"/>
    <w:rsid w:val="0075709A"/>
    <w:rsid w:val="0076430B"/>
    <w:rsid w:val="00775386"/>
    <w:rsid w:val="00777527"/>
    <w:rsid w:val="0078487A"/>
    <w:rsid w:val="00792BEA"/>
    <w:rsid w:val="007C3C7A"/>
    <w:rsid w:val="007C68DF"/>
    <w:rsid w:val="007E5AE5"/>
    <w:rsid w:val="0082762B"/>
    <w:rsid w:val="008317B7"/>
    <w:rsid w:val="008330D8"/>
    <w:rsid w:val="008525A1"/>
    <w:rsid w:val="008538B3"/>
    <w:rsid w:val="008627E6"/>
    <w:rsid w:val="008722DD"/>
    <w:rsid w:val="00882B17"/>
    <w:rsid w:val="0089527B"/>
    <w:rsid w:val="008A0F3E"/>
    <w:rsid w:val="008A1EAC"/>
    <w:rsid w:val="008D0CD5"/>
    <w:rsid w:val="008E0709"/>
    <w:rsid w:val="008E3528"/>
    <w:rsid w:val="008F717E"/>
    <w:rsid w:val="009202C1"/>
    <w:rsid w:val="009251A6"/>
    <w:rsid w:val="00935898"/>
    <w:rsid w:val="0095180E"/>
    <w:rsid w:val="00951A33"/>
    <w:rsid w:val="009561D8"/>
    <w:rsid w:val="009734D2"/>
    <w:rsid w:val="00974185"/>
    <w:rsid w:val="009836BF"/>
    <w:rsid w:val="00987BEE"/>
    <w:rsid w:val="009C0BCA"/>
    <w:rsid w:val="009D5BAE"/>
    <w:rsid w:val="009E2DB0"/>
    <w:rsid w:val="009F1111"/>
    <w:rsid w:val="00A12364"/>
    <w:rsid w:val="00A21C42"/>
    <w:rsid w:val="00A53E25"/>
    <w:rsid w:val="00A541F4"/>
    <w:rsid w:val="00A5742B"/>
    <w:rsid w:val="00A653ED"/>
    <w:rsid w:val="00A74FE2"/>
    <w:rsid w:val="00A87208"/>
    <w:rsid w:val="00AA5B29"/>
    <w:rsid w:val="00AA7661"/>
    <w:rsid w:val="00AB1119"/>
    <w:rsid w:val="00AC0F16"/>
    <w:rsid w:val="00AC6282"/>
    <w:rsid w:val="00AD40DB"/>
    <w:rsid w:val="00B001FA"/>
    <w:rsid w:val="00B00E59"/>
    <w:rsid w:val="00B572D8"/>
    <w:rsid w:val="00B70577"/>
    <w:rsid w:val="00B845F4"/>
    <w:rsid w:val="00B964B4"/>
    <w:rsid w:val="00B96E35"/>
    <w:rsid w:val="00BA2317"/>
    <w:rsid w:val="00BA6DDA"/>
    <w:rsid w:val="00BB301F"/>
    <w:rsid w:val="00BB5381"/>
    <w:rsid w:val="00BC366E"/>
    <w:rsid w:val="00BC49D5"/>
    <w:rsid w:val="00BC657E"/>
    <w:rsid w:val="00BD41A1"/>
    <w:rsid w:val="00BE798A"/>
    <w:rsid w:val="00BE7FA5"/>
    <w:rsid w:val="00C01522"/>
    <w:rsid w:val="00C24062"/>
    <w:rsid w:val="00C245F3"/>
    <w:rsid w:val="00C4100A"/>
    <w:rsid w:val="00C47184"/>
    <w:rsid w:val="00C52B9A"/>
    <w:rsid w:val="00C65A2C"/>
    <w:rsid w:val="00C70548"/>
    <w:rsid w:val="00C81997"/>
    <w:rsid w:val="00C87876"/>
    <w:rsid w:val="00CA2DAE"/>
    <w:rsid w:val="00CA6250"/>
    <w:rsid w:val="00CC5EDE"/>
    <w:rsid w:val="00CD2D82"/>
    <w:rsid w:val="00CF332B"/>
    <w:rsid w:val="00D00328"/>
    <w:rsid w:val="00D030C6"/>
    <w:rsid w:val="00D22F64"/>
    <w:rsid w:val="00D30663"/>
    <w:rsid w:val="00D31A84"/>
    <w:rsid w:val="00D35D0E"/>
    <w:rsid w:val="00D35F35"/>
    <w:rsid w:val="00D42AD8"/>
    <w:rsid w:val="00D87FDD"/>
    <w:rsid w:val="00D9627F"/>
    <w:rsid w:val="00DC5DB0"/>
    <w:rsid w:val="00DC7098"/>
    <w:rsid w:val="00DD6478"/>
    <w:rsid w:val="00DE73A1"/>
    <w:rsid w:val="00E110EF"/>
    <w:rsid w:val="00E25C7C"/>
    <w:rsid w:val="00E37446"/>
    <w:rsid w:val="00E46EB6"/>
    <w:rsid w:val="00E50F47"/>
    <w:rsid w:val="00E661F8"/>
    <w:rsid w:val="00E70AE4"/>
    <w:rsid w:val="00E73AD6"/>
    <w:rsid w:val="00E93729"/>
    <w:rsid w:val="00E97CAF"/>
    <w:rsid w:val="00E97F96"/>
    <w:rsid w:val="00EA691C"/>
    <w:rsid w:val="00EB26F7"/>
    <w:rsid w:val="00EB27B7"/>
    <w:rsid w:val="00F070F8"/>
    <w:rsid w:val="00F17A69"/>
    <w:rsid w:val="00F25998"/>
    <w:rsid w:val="00F323FE"/>
    <w:rsid w:val="00F33EEC"/>
    <w:rsid w:val="00F5769A"/>
    <w:rsid w:val="00F6236A"/>
    <w:rsid w:val="00F715BD"/>
    <w:rsid w:val="00F721AC"/>
    <w:rsid w:val="00F73D01"/>
    <w:rsid w:val="00F857AA"/>
    <w:rsid w:val="00F905DB"/>
    <w:rsid w:val="00FA630C"/>
    <w:rsid w:val="00FB0D48"/>
    <w:rsid w:val="00FB3B74"/>
    <w:rsid w:val="00FB7D19"/>
    <w:rsid w:val="00FE6968"/>
    <w:rsid w:val="00FF3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046D4371"/>
  <w15:docId w15:val="{FDA02DF0-934A-4D36-B592-6ADFDBDC0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957"/>
  </w:style>
  <w:style w:type="paragraph" w:styleId="Heading1">
    <w:name w:val="heading 1"/>
    <w:basedOn w:val="Normal"/>
    <w:next w:val="Normal"/>
    <w:link w:val="Heading1Char"/>
    <w:uiPriority w:val="9"/>
    <w:qFormat/>
    <w:rsid w:val="00C24062"/>
    <w:pPr>
      <w:pBdr>
        <w:top w:val="single" w:sz="24" w:space="0" w:color="03987B" w:themeColor="background2" w:themeShade="BF"/>
        <w:left w:val="single" w:sz="24" w:space="0" w:color="03987B" w:themeColor="background2" w:themeShade="BF"/>
        <w:bottom w:val="single" w:sz="24" w:space="0" w:color="03987B" w:themeColor="background2" w:themeShade="BF"/>
        <w:right w:val="single" w:sz="24" w:space="0" w:color="03987B" w:themeColor="background2" w:themeShade="BF"/>
      </w:pBdr>
      <w:shd w:val="clear" w:color="auto" w:fill="03987B" w:themeFill="background2" w:themeFillShade="BF"/>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hd w:val="clear" w:color="auto" w:fill="FFFFFF" w:themeFill="background1"/>
      <w:spacing w:after="0"/>
      <w:outlineLvl w:val="1"/>
    </w:pPr>
    <w:rPr>
      <w:b/>
      <w:caps/>
      <w:color w:val="03987B"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6DF2A3" w:themeColor="accent1"/>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6DF2A3" w:themeColor="accent1"/>
      </w:pBdr>
      <w:spacing w:before="200" w:after="0"/>
      <w:outlineLvl w:val="3"/>
    </w:pPr>
    <w:rPr>
      <w:caps/>
      <w:spacing w:val="10"/>
    </w:rPr>
  </w:style>
  <w:style w:type="paragraph" w:styleId="Heading5">
    <w:name w:val="heading 5"/>
    <w:basedOn w:val="Normal"/>
    <w:next w:val="Normal"/>
    <w:link w:val="Heading5Char"/>
    <w:uiPriority w:val="9"/>
    <w:unhideWhenUsed/>
    <w:qFormat/>
    <w:rsid w:val="00102957"/>
    <w:pPr>
      <w:pBdr>
        <w:bottom w:val="single" w:sz="6" w:space="1" w:color="6DF2A3" w:themeColor="accent1"/>
      </w:pBdr>
      <w:spacing w:before="200" w:after="0"/>
      <w:outlineLvl w:val="4"/>
    </w:pPr>
    <w:rPr>
      <w:caps/>
      <w:color w:val="1BEA6F" w:themeColor="accent1" w:themeShade="BF"/>
      <w:spacing w:val="10"/>
    </w:rPr>
  </w:style>
  <w:style w:type="paragraph" w:styleId="Heading6">
    <w:name w:val="heading 6"/>
    <w:basedOn w:val="Normal"/>
    <w:next w:val="Normal"/>
    <w:link w:val="Heading6Char"/>
    <w:uiPriority w:val="9"/>
    <w:semiHidden/>
    <w:unhideWhenUsed/>
    <w:qFormat/>
    <w:rsid w:val="00102957"/>
    <w:pPr>
      <w:pBdr>
        <w:bottom w:val="dotted" w:sz="6" w:space="1" w:color="6DF2A3" w:themeColor="accent1"/>
      </w:pBdr>
      <w:spacing w:before="200" w:after="0"/>
      <w:outlineLvl w:val="5"/>
    </w:pPr>
    <w:rPr>
      <w:caps/>
      <w:color w:val="1BEA6F" w:themeColor="accent1" w:themeShade="BF"/>
      <w:spacing w:val="10"/>
    </w:rPr>
  </w:style>
  <w:style w:type="paragraph" w:styleId="Heading7">
    <w:name w:val="heading 7"/>
    <w:basedOn w:val="Normal"/>
    <w:next w:val="Normal"/>
    <w:link w:val="Heading7Char"/>
    <w:uiPriority w:val="9"/>
    <w:semiHidden/>
    <w:unhideWhenUsed/>
    <w:qFormat/>
    <w:rsid w:val="00102957"/>
    <w:pPr>
      <w:spacing w:before="200" w:after="0"/>
      <w:outlineLvl w:val="6"/>
    </w:pPr>
    <w:rPr>
      <w:caps/>
      <w:color w:val="1BEA6F" w:themeColor="accent1" w:themeShade="BF"/>
      <w:spacing w:val="10"/>
    </w:rPr>
  </w:style>
  <w:style w:type="paragraph" w:styleId="Heading8">
    <w:name w:val="heading 8"/>
    <w:basedOn w:val="Normal"/>
    <w:next w:val="Normal"/>
    <w:link w:val="Heading8Char"/>
    <w:uiPriority w:val="9"/>
    <w:semiHidden/>
    <w:unhideWhenUsed/>
    <w:qFormat/>
    <w:rsid w:val="001029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0295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F07"/>
    <w:rPr>
      <w:rFonts w:ascii="Calibri" w:eastAsia="Calibri" w:hAnsi="Calibri" w:cs="Calibri"/>
      <w:color w:val="000000"/>
    </w:rPr>
  </w:style>
  <w:style w:type="paragraph" w:styleId="Footer">
    <w:name w:val="footer"/>
    <w:basedOn w:val="Normal"/>
    <w:link w:val="FooterChar"/>
    <w:uiPriority w:val="99"/>
    <w:unhideWhenUsed/>
    <w:rsid w:val="0015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F07"/>
    <w:rPr>
      <w:rFonts w:ascii="Calibri" w:eastAsia="Calibri" w:hAnsi="Calibri" w:cs="Calibri"/>
      <w:color w:val="000000"/>
    </w:rPr>
  </w:style>
  <w:style w:type="paragraph" w:customStyle="1" w:styleId="PAIStyle">
    <w:name w:val="PAI Style"/>
    <w:basedOn w:val="Normal"/>
    <w:link w:val="PAIStyleChar"/>
    <w:rsid w:val="00C70548"/>
    <w:pPr>
      <w:spacing w:after="432"/>
      <w:ind w:left="-297"/>
    </w:pPr>
    <w:rPr>
      <w:rFonts w:eastAsia="Epilogue" w:cs="Epilogue"/>
      <w:b/>
      <w:sz w:val="28"/>
    </w:rPr>
  </w:style>
  <w:style w:type="paragraph" w:customStyle="1" w:styleId="PAIStyleParagraph">
    <w:name w:val="PAI Style Paragraph"/>
    <w:basedOn w:val="Normal"/>
    <w:link w:val="PAIStyleParagraphChar"/>
    <w:rsid w:val="008A0F3E"/>
    <w:pPr>
      <w:spacing w:after="20"/>
    </w:pPr>
    <w:rPr>
      <w:rFonts w:eastAsia="Epilogue" w:cs="Epilogue"/>
    </w:rPr>
  </w:style>
  <w:style w:type="character" w:customStyle="1" w:styleId="PAIStyleChar">
    <w:name w:val="PAI Style Char"/>
    <w:basedOn w:val="DefaultParagraphFont"/>
    <w:link w:val="PAIStyle"/>
    <w:rsid w:val="00C70548"/>
    <w:rPr>
      <w:rFonts w:ascii="Inter" w:eastAsia="Epilogue" w:hAnsi="Inter" w:cs="Epilogue"/>
      <w:b/>
      <w:color w:val="000000"/>
      <w:sz w:val="28"/>
    </w:rPr>
  </w:style>
  <w:style w:type="character" w:customStyle="1" w:styleId="PAIStyleParagraphChar">
    <w:name w:val="PAI Style Paragraph Char"/>
    <w:basedOn w:val="DefaultParagraphFont"/>
    <w:link w:val="PAIStyleParagraph"/>
    <w:rsid w:val="008A0F3E"/>
    <w:rPr>
      <w:rFonts w:ascii="Inter" w:eastAsia="Epilogue" w:hAnsi="Inter" w:cs="Epilogue"/>
      <w:color w:val="000000"/>
      <w:sz w:val="20"/>
    </w:rPr>
  </w:style>
  <w:style w:type="character" w:styleId="Hyper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rsid w:val="00E73AD6"/>
    <w:rPr>
      <w:color w:val="605E5C"/>
      <w:shd w:val="clear" w:color="auto" w:fill="E1DFDD"/>
    </w:rPr>
  </w:style>
  <w:style w:type="table" w:customStyle="1" w:styleId="NormalGrid">
    <w:name w:val="Normal Grid"/>
    <w:basedOn w:val="TableNormal"/>
    <w:uiPriority w:val="39"/>
    <w:rsid w:val="00F323FE"/>
    <w:pPr>
      <w:spacing w:after="0" w:line="240" w:lineRule="auto"/>
    </w:pPr>
    <w:rPr>
      <w:rFonts w:ascii="Georgia" w:eastAsiaTheme="minorHAnsi"/>
      <w:sz w:val="21"/>
    </w:r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24062"/>
    <w:rPr>
      <w:caps/>
      <w:color w:val="FFFFFF" w:themeColor="background1"/>
      <w:spacing w:val="15"/>
      <w:sz w:val="22"/>
      <w:szCs w:val="22"/>
      <w:shd w:val="clear" w:color="auto" w:fill="03987B" w:themeFill="background2" w:themeFillShade="BF"/>
    </w:rPr>
  </w:style>
  <w:style w:type="character" w:customStyle="1" w:styleId="Heading2Char">
    <w:name w:val="Heading 2 Char"/>
    <w:basedOn w:val="DefaultParagraphFont"/>
    <w:link w:val="Heading2"/>
    <w:uiPriority w:val="9"/>
    <w:rsid w:val="000836BB"/>
    <w:rPr>
      <w:b/>
      <w:caps/>
      <w:color w:val="03987B" w:themeColor="background2" w:themeShade="BF"/>
      <w:spacing w:val="15"/>
      <w:shd w:val="clear" w:color="auto" w:fill="FFFFFF" w:themeFill="background1"/>
    </w:rPr>
  </w:style>
  <w:style w:type="character" w:customStyle="1" w:styleId="Heading3Char">
    <w:name w:val="Heading 3 Char"/>
    <w:basedOn w:val="DefaultParagraphFont"/>
    <w:link w:val="Heading3"/>
    <w:uiPriority w:val="9"/>
    <w:rsid w:val="00577FAF"/>
    <w:rPr>
      <w:caps/>
      <w:color w:val="00697C" w:themeColor="text2"/>
      <w:spacing w:val="15"/>
    </w:rPr>
  </w:style>
  <w:style w:type="character" w:customStyle="1" w:styleId="Heading4Char">
    <w:name w:val="Heading 4 Char"/>
    <w:basedOn w:val="DefaultParagraphFont"/>
    <w:link w:val="Heading4"/>
    <w:uiPriority w:val="9"/>
    <w:rsid w:val="003A2C36"/>
    <w:rPr>
      <w:caps/>
      <w:spacing w:val="10"/>
    </w:rPr>
  </w:style>
  <w:style w:type="character" w:customStyle="1" w:styleId="Heading5Char">
    <w:name w:val="Heading 5 Char"/>
    <w:basedOn w:val="DefaultParagraphFont"/>
    <w:link w:val="Heading5"/>
    <w:uiPriority w:val="9"/>
    <w:rsid w:val="00102957"/>
    <w:rPr>
      <w:caps/>
      <w:color w:val="1BEA6F" w:themeColor="accent1" w:themeShade="BF"/>
      <w:spacing w:val="10"/>
    </w:rPr>
  </w:style>
  <w:style w:type="character" w:customStyle="1" w:styleId="Heading6Char">
    <w:name w:val="Heading 6 Char"/>
    <w:basedOn w:val="DefaultParagraphFont"/>
    <w:link w:val="Heading6"/>
    <w:uiPriority w:val="9"/>
    <w:semiHidden/>
    <w:rsid w:val="00102957"/>
    <w:rPr>
      <w:caps/>
      <w:color w:val="1BEA6F" w:themeColor="accent1" w:themeShade="BF"/>
      <w:spacing w:val="10"/>
    </w:rPr>
  </w:style>
  <w:style w:type="character" w:customStyle="1" w:styleId="Heading7Char">
    <w:name w:val="Heading 7 Char"/>
    <w:basedOn w:val="DefaultParagraphFont"/>
    <w:link w:val="Heading7"/>
    <w:uiPriority w:val="9"/>
    <w:semiHidden/>
    <w:rsid w:val="00102957"/>
    <w:rPr>
      <w:caps/>
      <w:color w:val="1BEA6F" w:themeColor="accent1" w:themeShade="BF"/>
      <w:spacing w:val="10"/>
    </w:rPr>
  </w:style>
  <w:style w:type="character" w:customStyle="1" w:styleId="Heading8Char">
    <w:name w:val="Heading 8 Char"/>
    <w:basedOn w:val="DefaultParagraphFont"/>
    <w:link w:val="Heading8"/>
    <w:uiPriority w:val="9"/>
    <w:semiHidden/>
    <w:rsid w:val="00102957"/>
    <w:rPr>
      <w:caps/>
      <w:spacing w:val="10"/>
      <w:sz w:val="18"/>
      <w:szCs w:val="18"/>
    </w:rPr>
  </w:style>
  <w:style w:type="character" w:customStyle="1" w:styleId="Heading9Char">
    <w:name w:val="Heading 9 Char"/>
    <w:basedOn w:val="DefaultParagraphFont"/>
    <w:link w:val="Heading9"/>
    <w:uiPriority w:val="9"/>
    <w:semiHidden/>
    <w:rsid w:val="00102957"/>
    <w:rPr>
      <w:i/>
      <w:iCs/>
      <w:caps/>
      <w:spacing w:val="10"/>
      <w:sz w:val="18"/>
      <w:szCs w:val="18"/>
    </w:rPr>
  </w:style>
  <w:style w:type="paragraph" w:styleId="Caption">
    <w:name w:val="caption"/>
    <w:basedOn w:val="Normal"/>
    <w:next w:val="Normal"/>
    <w:uiPriority w:val="35"/>
    <w:semiHidden/>
    <w:unhideWhenUsed/>
    <w:qFormat/>
    <w:rsid w:val="00102957"/>
    <w:rPr>
      <w:b/>
      <w:bCs/>
      <w:color w:val="1BEA6F"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Theme="majorHAnsi" w:eastAsiaTheme="majorEastAsia" w:hAnsiTheme="majorHAnsi" w:cstheme="majorBidi"/>
      <w:caps/>
      <w:spacing w:val="10"/>
      <w:sz w:val="52"/>
      <w:szCs w:val="52"/>
    </w:rPr>
  </w:style>
  <w:style w:type="character" w:customStyle="1" w:styleId="TitleChar">
    <w:name w:val="Title Char"/>
    <w:basedOn w:val="DefaultParagraphFont"/>
    <w:link w:val="Title"/>
    <w:uiPriority w:val="10"/>
    <w:rsid w:val="000E47AD"/>
    <w:rPr>
      <w:rFonts w:asciiTheme="majorHAnsi" w:eastAsiaTheme="majorEastAsia" w:hAnsiTheme="majorHAnsi" w:cstheme="majorBidi"/>
      <w:caps/>
      <w:spacing w:val="10"/>
      <w:sz w:val="52"/>
      <w:szCs w:val="52"/>
    </w:rPr>
  </w:style>
  <w:style w:type="paragraph" w:styleId="Subtitle">
    <w:name w:val="Subtitle"/>
    <w:basedOn w:val="Normal"/>
    <w:next w:val="Normal"/>
    <w:link w:val="SubtitleChar"/>
    <w:uiPriority w:val="11"/>
    <w:qFormat/>
    <w:rsid w:val="0010295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02957"/>
    <w:rPr>
      <w:caps/>
      <w:color w:val="595959" w:themeColor="text1" w:themeTint="A6"/>
      <w:spacing w:val="10"/>
      <w:sz w:val="21"/>
      <w:szCs w:val="21"/>
    </w:rPr>
  </w:style>
  <w:style w:type="character" w:styleId="Strong">
    <w:name w:val="Strong"/>
    <w:uiPriority w:val="22"/>
    <w:qFormat/>
    <w:rsid w:val="00102957"/>
    <w:rPr>
      <w:b/>
      <w:bCs/>
    </w:rPr>
  </w:style>
  <w:style w:type="character" w:styleId="Emphasis">
    <w:name w:val="Emphasis"/>
    <w:uiPriority w:val="20"/>
    <w:qFormat/>
    <w:rsid w:val="00102957"/>
    <w:rPr>
      <w:caps/>
      <w:color w:val="0EA049" w:themeColor="accent1" w:themeShade="7F"/>
      <w:spacing w:val="5"/>
    </w:rPr>
  </w:style>
  <w:style w:type="paragraph" w:styleId="NoSpacing">
    <w:name w:val="No Spacing"/>
    <w:uiPriority w:val="1"/>
    <w:qFormat/>
    <w:rsid w:val="00102957"/>
    <w:pPr>
      <w:spacing w:after="0" w:line="240" w:lineRule="auto"/>
    </w:pPr>
  </w:style>
  <w:style w:type="paragraph" w:styleId="Quote">
    <w:name w:val="Quote"/>
    <w:basedOn w:val="Normal"/>
    <w:next w:val="Normal"/>
    <w:link w:val="QuoteChar"/>
    <w:uiPriority w:val="29"/>
    <w:qFormat/>
    <w:rsid w:val="00102957"/>
    <w:rPr>
      <w:i/>
      <w:iCs/>
      <w:sz w:val="24"/>
      <w:szCs w:val="24"/>
    </w:rPr>
  </w:style>
  <w:style w:type="character" w:customStyle="1" w:styleId="QuoteChar">
    <w:name w:val="Quote Char"/>
    <w:basedOn w:val="DefaultParagraphFont"/>
    <w:link w:val="Quote"/>
    <w:uiPriority w:val="29"/>
    <w:rsid w:val="00102957"/>
    <w:rPr>
      <w:i/>
      <w:iCs/>
      <w:sz w:val="24"/>
      <w:szCs w:val="24"/>
    </w:rPr>
  </w:style>
  <w:style w:type="paragraph" w:styleId="IntenseQuote">
    <w:name w:val="Intense Quote"/>
    <w:basedOn w:val="Normal"/>
    <w:next w:val="Normal"/>
    <w:link w:val="IntenseQuoteChar"/>
    <w:uiPriority w:val="30"/>
    <w:qFormat/>
    <w:rsid w:val="00102957"/>
    <w:pPr>
      <w:spacing w:before="240" w:after="240" w:line="240" w:lineRule="auto"/>
      <w:ind w:left="1080" w:right="1080"/>
      <w:jc w:val="center"/>
    </w:pPr>
    <w:rPr>
      <w:color w:val="6DF2A3" w:themeColor="accent1"/>
      <w:sz w:val="24"/>
      <w:szCs w:val="24"/>
    </w:rPr>
  </w:style>
  <w:style w:type="character" w:customStyle="1" w:styleId="IntenseQuoteChar">
    <w:name w:val="Intense Quote Char"/>
    <w:basedOn w:val="DefaultParagraphFont"/>
    <w:link w:val="IntenseQuote"/>
    <w:uiPriority w:val="30"/>
    <w:rsid w:val="00102957"/>
    <w:rPr>
      <w:color w:val="6DF2A3" w:themeColor="accent1"/>
      <w:sz w:val="24"/>
      <w:szCs w:val="24"/>
    </w:rPr>
  </w:style>
  <w:style w:type="character" w:styleId="SubtleEmphasis">
    <w:name w:val="Subtle Emphasis"/>
    <w:uiPriority w:val="19"/>
    <w:qFormat/>
    <w:rsid w:val="00102957"/>
    <w:rPr>
      <w:i/>
      <w:iCs/>
      <w:color w:val="0EA049" w:themeColor="accent1" w:themeShade="7F"/>
    </w:rPr>
  </w:style>
  <w:style w:type="character" w:styleId="IntenseEmphasis">
    <w:name w:val="Intense Emphasis"/>
    <w:uiPriority w:val="21"/>
    <w:qFormat/>
    <w:rsid w:val="00102957"/>
    <w:rPr>
      <w:b/>
      <w:bCs/>
      <w:caps/>
      <w:color w:val="0EA049" w:themeColor="accent1" w:themeShade="7F"/>
      <w:spacing w:val="10"/>
    </w:rPr>
  </w:style>
  <w:style w:type="character" w:styleId="SubtleReference">
    <w:name w:val="Subtle Reference"/>
    <w:uiPriority w:val="31"/>
    <w:qFormat/>
    <w:rsid w:val="00102957"/>
    <w:rPr>
      <w:b/>
      <w:bCs/>
      <w:color w:val="6DF2A3" w:themeColor="accent1"/>
    </w:rPr>
  </w:style>
  <w:style w:type="character" w:styleId="IntenseReference">
    <w:name w:val="Intense Reference"/>
    <w:uiPriority w:val="32"/>
    <w:qFormat/>
    <w:rsid w:val="00102957"/>
    <w:rPr>
      <w:b/>
      <w:bCs/>
      <w:i/>
      <w:iCs/>
      <w:caps/>
      <w:color w:val="6DF2A3" w:themeColor="accent1"/>
    </w:rPr>
  </w:style>
  <w:style w:type="character" w:styleId="BookTitle">
    <w:name w:val="Book Title"/>
    <w:uiPriority w:val="33"/>
    <w:qFormat/>
    <w:rsid w:val="00102957"/>
    <w:rPr>
      <w:b/>
      <w:bCs/>
      <w:i/>
      <w:iCs/>
      <w:spacing w:val="0"/>
    </w:rPr>
  </w:style>
  <w:style w:type="paragraph" w:styleId="TOCHeading">
    <w:name w:val="TOC Heading"/>
    <w:basedOn w:val="Heading1"/>
    <w:next w:val="Normal"/>
    <w:uiPriority w:val="39"/>
    <w:semiHidden/>
    <w:unhideWhenUsed/>
    <w:qFormat/>
    <w:rsid w:val="00102957"/>
    <w:pPr>
      <w:outlineLvl w:val="9"/>
    </w:p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EB27B7"/>
    <w:pPr>
      <w:numPr>
        <w:numId w:val="1"/>
      </w:numPr>
      <w:tabs>
        <w:tab w:val="clear" w:pos="360"/>
      </w:tabs>
      <w:spacing w:before="0"/>
      <w:ind w:left="0" w:firstLine="0"/>
      <w:contextualSpacing/>
    </w:pPr>
    <w:rPr>
      <w:sz w:val="22"/>
      <w:szCs w:val="22"/>
    </w:rPr>
  </w:style>
  <w:style w:type="paragraph" w:styleId="TOC1">
    <w:name w:val="toc 1"/>
    <w:basedOn w:val="Normal"/>
    <w:next w:val="Normal"/>
    <w:autoRedefine/>
    <w:uiPriority w:val="39"/>
    <w:unhideWhenUsed/>
    <w:rsid w:val="00EB27B7"/>
    <w:pPr>
      <w:spacing w:after="100"/>
    </w:pPr>
  </w:style>
  <w:style w:type="paragraph" w:styleId="TOC2">
    <w:name w:val="toc 2"/>
    <w:basedOn w:val="Normal"/>
    <w:next w:val="Normal"/>
    <w:autoRedefine/>
    <w:uiPriority w:val="39"/>
    <w:unhideWhenUsed/>
    <w:rsid w:val="00EB27B7"/>
    <w:pPr>
      <w:spacing w:after="100"/>
      <w:ind w:left="200"/>
    </w:pPr>
  </w:style>
  <w:style w:type="table" w:customStyle="1" w:styleId="DefaultStyle">
    <w:name w:val="Default Style"/>
    <w:basedOn w:val="TableNormal"/>
    <w:uiPriority w:val="99"/>
    <w:rsid w:val="00681703"/>
    <w:pPr>
      <w:spacing w:before="0" w:after="0" w:line="240" w:lineRule="auto"/>
    </w:pPr>
    <w:tbl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46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46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46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462A" w:themeColor="accent4"/>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sz="2" w:space="0" w:color="C08D63" w:themeColor="accent4" w:themeTint="99"/>
        <w:bottom w:val="single" w:sz="2" w:space="0" w:color="C08D63" w:themeColor="accent4" w:themeTint="99"/>
        <w:insideH w:val="single" w:sz="2" w:space="0" w:color="C08D63" w:themeColor="accent4" w:themeTint="99"/>
        <w:insideV w:val="single" w:sz="2" w:space="0" w:color="C08D63" w:themeColor="accent4" w:themeTint="99"/>
      </w:tblBorders>
    </w:tblPr>
    <w:tblStylePr w:type="firstRow">
      <w:rPr>
        <w:b/>
        <w:bCs/>
      </w:rPr>
      <w:tblPr/>
      <w:tcPr>
        <w:tcBorders>
          <w:top w:val="nil"/>
          <w:bottom w:val="single" w:sz="12" w:space="0" w:color="C08D63" w:themeColor="accent4" w:themeTint="99"/>
          <w:insideH w:val="nil"/>
          <w:insideV w:val="nil"/>
        </w:tcBorders>
        <w:shd w:val="clear" w:color="auto" w:fill="FFFFFF" w:themeFill="background1"/>
      </w:tcPr>
    </w:tblStylePr>
    <w:tblStylePr w:type="lastRow">
      <w:rPr>
        <w:b/>
        <w:bCs/>
      </w:rPr>
      <w:tblPr/>
      <w:tcPr>
        <w:tcBorders>
          <w:top w:val="double" w:sz="2" w:space="0" w:color="C08D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sz="4" w:space="0" w:color="C08D63" w:themeColor="accent4" w:themeTint="99"/>
        <w:left w:val="single" w:sz="4" w:space="0" w:color="C08D63" w:themeColor="accent4" w:themeTint="99"/>
        <w:bottom w:val="single" w:sz="4" w:space="0" w:color="C08D63" w:themeColor="accent4" w:themeTint="99"/>
        <w:right w:val="single" w:sz="4" w:space="0" w:color="C08D63" w:themeColor="accent4" w:themeTint="99"/>
        <w:insideH w:val="single" w:sz="4" w:space="0" w:color="C08D63" w:themeColor="accent4" w:themeTint="99"/>
        <w:insideV w:val="single" w:sz="4" w:space="0" w:color="C08D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sz="4" w:space="0" w:color="C08D63" w:themeColor="accent4" w:themeTint="99"/>
        </w:tcBorders>
      </w:tcPr>
    </w:tblStylePr>
    <w:tblStylePr w:type="nwCell">
      <w:tblPr/>
      <w:tcPr>
        <w:tcBorders>
          <w:bottom w:val="single" w:sz="4" w:space="0" w:color="C08D63" w:themeColor="accent4" w:themeTint="99"/>
        </w:tcBorders>
      </w:tcPr>
    </w:tblStylePr>
    <w:tblStylePr w:type="seCell">
      <w:tblPr/>
      <w:tcPr>
        <w:tcBorders>
          <w:top w:val="single" w:sz="4" w:space="0" w:color="C08D63" w:themeColor="accent4" w:themeTint="99"/>
        </w:tcBorders>
      </w:tcPr>
    </w:tblStylePr>
    <w:tblStylePr w:type="swCell">
      <w:tblPr/>
      <w:tcPr>
        <w:tcBorders>
          <w:top w:val="single" w:sz="4" w:space="0" w:color="C08D63" w:themeColor="accent4" w:themeTint="99"/>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sz="8" w:space="0" w:color="6DF2A3" w:themeColor="accent1"/>
        <w:left w:val="single" w:sz="8" w:space="0" w:color="6DF2A3" w:themeColor="accent1"/>
        <w:bottom w:val="single" w:sz="8" w:space="0" w:color="6DF2A3" w:themeColor="accent1"/>
        <w:right w:val="single" w:sz="8" w:space="0" w:color="6DF2A3" w:themeColor="accent1"/>
      </w:tblBorders>
    </w:tblPr>
    <w:tblStylePr w:type="firstRow">
      <w:pPr>
        <w:spacing w:before="0" w:after="0" w:line="240" w:lineRule="auto"/>
      </w:pPr>
      <w:rPr>
        <w:b/>
        <w:bCs/>
        <w:color w:val="FFFFFF" w:themeColor="background1"/>
      </w:rPr>
      <w:tblPr/>
      <w:tcPr>
        <w:shd w:val="clear" w:color="auto" w:fill="6DF2A3" w:themeFill="accent1"/>
      </w:tcPr>
    </w:tblStylePr>
    <w:tblStylePr w:type="lastRow">
      <w:pPr>
        <w:spacing w:before="0" w:after="0" w:line="240" w:lineRule="auto"/>
      </w:pPr>
      <w:rPr>
        <w:b/>
        <w:bCs/>
      </w:rPr>
      <w:tblPr/>
      <w:tcPr>
        <w:tcBorders>
          <w:top w:val="double" w:sz="6" w:space="0" w:color="6DF2A3" w:themeColor="accent1"/>
          <w:left w:val="single" w:sz="8" w:space="0" w:color="6DF2A3" w:themeColor="accent1"/>
          <w:bottom w:val="single" w:sz="8" w:space="0" w:color="6DF2A3" w:themeColor="accent1"/>
          <w:right w:val="single" w:sz="8" w:space="0" w:color="6DF2A3" w:themeColor="accent1"/>
        </w:tcBorders>
      </w:tcPr>
    </w:tblStylePr>
    <w:tblStylePr w:type="firstCol">
      <w:rPr>
        <w:b/>
        <w:bCs/>
      </w:rPr>
    </w:tblStylePr>
    <w:tblStylePr w:type="lastCol">
      <w:rPr>
        <w:b/>
        <w:bCs/>
      </w:rPr>
    </w:tblStylePr>
    <w:tblStylePr w:type="band1Vert">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tblStylePr w:type="band1Horz">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sz="4" w:space="0" w:color="D5B397" w:themeColor="accent4" w:themeTint="66"/>
        <w:left w:val="single" w:sz="4" w:space="0" w:color="D5B397" w:themeColor="accent4" w:themeTint="66"/>
        <w:bottom w:val="single" w:sz="4" w:space="0" w:color="D5B397" w:themeColor="accent4" w:themeTint="66"/>
        <w:right w:val="single" w:sz="4" w:space="0" w:color="D5B397" w:themeColor="accent4" w:themeTint="66"/>
        <w:insideH w:val="single" w:sz="4" w:space="0" w:color="D5B397" w:themeColor="accent4" w:themeTint="66"/>
        <w:insideV w:val="single" w:sz="4" w:space="0" w:color="D5B397" w:themeColor="accent4" w:themeTint="66"/>
      </w:tblBorders>
    </w:tblPr>
    <w:tblStylePr w:type="firstRow">
      <w:rPr>
        <w:b/>
        <w:bCs/>
      </w:rPr>
      <w:tblPr/>
      <w:tcPr>
        <w:tcBorders>
          <w:bottom w:val="single" w:sz="12" w:space="0" w:color="C08D63" w:themeColor="accent4" w:themeTint="99"/>
        </w:tcBorders>
      </w:tcPr>
    </w:tblStylePr>
    <w:tblStylePr w:type="lastRow">
      <w:rPr>
        <w:b/>
        <w:bCs/>
      </w:rPr>
      <w:tblPr/>
      <w:tcPr>
        <w:tcBorders>
          <w:top w:val="double" w:sz="2" w:space="0" w:color="C08D6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75372"/>
    <w:pPr>
      <w:ind w:left="720"/>
      <w:contextualSpacing/>
    </w:pPr>
  </w:style>
  <w:style w:type="paragraph" w:styleId="NormalWeb">
    <w:name w:val="Normal (Web)"/>
    <w:basedOn w:val="Normal"/>
    <w:uiPriority w:val="99"/>
    <w:semiHidden/>
    <w:unhideWhenUsed/>
    <w:rsid w:val="00CC5EDE"/>
    <w:rPr>
      <w:rFonts w:ascii="Times New Roman" w:hAnsi="Times New Roman" w:cs="Times New Roman"/>
      <w:sz w:val="24"/>
      <w:szCs w:val="24"/>
    </w:rPr>
  </w:style>
  <w:style w:type="paragraph" w:styleId="TOC3">
    <w:name w:val="toc 3"/>
    <w:basedOn w:val="Normal"/>
    <w:next w:val="Normal"/>
    <w:autoRedefine/>
    <w:uiPriority w:val="39"/>
    <w:unhideWhenUsed/>
    <w:rsid w:val="00407CFD"/>
    <w:pPr>
      <w:spacing w:after="100"/>
      <w:ind w:left="400"/>
    </w:pPr>
  </w:style>
  <w:style w:type="paragraph" w:styleId="TOC4">
    <w:name w:val="toc 4"/>
    <w:basedOn w:val="Normal"/>
    <w:next w:val="Normal"/>
    <w:autoRedefine/>
    <w:uiPriority w:val="39"/>
    <w:unhideWhenUsed/>
    <w:rsid w:val="00407CFD"/>
    <w:pPr>
      <w:spacing w:before="0" w:after="100" w:line="278" w:lineRule="auto"/>
      <w:ind w:left="720"/>
    </w:pPr>
    <w:rPr>
      <w:kern w:val="2"/>
      <w:sz w:val="24"/>
      <w:szCs w:val="24"/>
      <w:lang w:val="en-CA" w:eastAsia="en-CA"/>
      <w14:ligatures w14:val="standardContextual"/>
    </w:rPr>
  </w:style>
  <w:style w:type="paragraph" w:styleId="TOC5">
    <w:name w:val="toc 5"/>
    <w:basedOn w:val="Normal"/>
    <w:next w:val="Normal"/>
    <w:autoRedefine/>
    <w:uiPriority w:val="39"/>
    <w:unhideWhenUsed/>
    <w:rsid w:val="00407CFD"/>
    <w:pPr>
      <w:spacing w:before="0" w:after="100" w:line="278" w:lineRule="auto"/>
      <w:ind w:left="960"/>
    </w:pPr>
    <w:rPr>
      <w:kern w:val="2"/>
      <w:sz w:val="24"/>
      <w:szCs w:val="24"/>
      <w:lang w:val="en-CA" w:eastAsia="en-CA"/>
      <w14:ligatures w14:val="standardContextual"/>
    </w:rPr>
  </w:style>
  <w:style w:type="paragraph" w:styleId="TOC6">
    <w:name w:val="toc 6"/>
    <w:basedOn w:val="Normal"/>
    <w:next w:val="Normal"/>
    <w:autoRedefine/>
    <w:uiPriority w:val="39"/>
    <w:unhideWhenUsed/>
    <w:rsid w:val="00407CFD"/>
    <w:pPr>
      <w:spacing w:before="0" w:after="100" w:line="278" w:lineRule="auto"/>
      <w:ind w:left="1200"/>
    </w:pPr>
    <w:rPr>
      <w:kern w:val="2"/>
      <w:sz w:val="24"/>
      <w:szCs w:val="24"/>
      <w:lang w:val="en-CA" w:eastAsia="en-CA"/>
      <w14:ligatures w14:val="standardContextual"/>
    </w:rPr>
  </w:style>
  <w:style w:type="paragraph" w:styleId="TOC7">
    <w:name w:val="toc 7"/>
    <w:basedOn w:val="Normal"/>
    <w:next w:val="Normal"/>
    <w:autoRedefine/>
    <w:uiPriority w:val="39"/>
    <w:unhideWhenUsed/>
    <w:rsid w:val="00407CFD"/>
    <w:pPr>
      <w:spacing w:before="0" w:after="100" w:line="278" w:lineRule="auto"/>
      <w:ind w:left="1440"/>
    </w:pPr>
    <w:rPr>
      <w:kern w:val="2"/>
      <w:sz w:val="24"/>
      <w:szCs w:val="24"/>
      <w:lang w:val="en-CA" w:eastAsia="en-CA"/>
      <w14:ligatures w14:val="standardContextual"/>
    </w:rPr>
  </w:style>
  <w:style w:type="paragraph" w:styleId="TOC8">
    <w:name w:val="toc 8"/>
    <w:basedOn w:val="Normal"/>
    <w:next w:val="Normal"/>
    <w:autoRedefine/>
    <w:uiPriority w:val="39"/>
    <w:unhideWhenUsed/>
    <w:rsid w:val="00407CFD"/>
    <w:pPr>
      <w:spacing w:before="0" w:after="100" w:line="278" w:lineRule="auto"/>
      <w:ind w:left="1680"/>
    </w:pPr>
    <w:rPr>
      <w:kern w:val="2"/>
      <w:sz w:val="24"/>
      <w:szCs w:val="24"/>
      <w:lang w:val="en-CA" w:eastAsia="en-CA"/>
      <w14:ligatures w14:val="standardContextual"/>
    </w:rPr>
  </w:style>
  <w:style w:type="paragraph" w:styleId="TOC9">
    <w:name w:val="toc 9"/>
    <w:basedOn w:val="Normal"/>
    <w:next w:val="Normal"/>
    <w:autoRedefine/>
    <w:uiPriority w:val="39"/>
    <w:unhideWhenUsed/>
    <w:rsid w:val="00407CFD"/>
    <w:pPr>
      <w:spacing w:before="0" w:after="100" w:line="278" w:lineRule="auto"/>
      <w:ind w:left="1920"/>
    </w:pPr>
    <w:rPr>
      <w:kern w:val="2"/>
      <w:sz w:val="24"/>
      <w:szCs w:val="24"/>
      <w:lang w:val="en-CA" w:eastAsia="en-CA"/>
      <w14:ligatures w14:val="standardContextual"/>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507">
      <w:bodyDiv w:val="1"/>
      <w:marLeft w:val="0"/>
      <w:marRight w:val="0"/>
      <w:marTop w:val="0"/>
      <w:marBottom w:val="0"/>
      <w:divBdr>
        <w:top w:val="none" w:sz="0" w:space="0" w:color="auto"/>
        <w:left w:val="none" w:sz="0" w:space="0" w:color="auto"/>
        <w:bottom w:val="none" w:sz="0" w:space="0" w:color="auto"/>
        <w:right w:val="none" w:sz="0" w:space="0" w:color="auto"/>
      </w:divBdr>
      <w:divsChild>
        <w:div w:id="843973800">
          <w:marLeft w:val="0"/>
          <w:marRight w:val="0"/>
          <w:marTop w:val="0"/>
          <w:marBottom w:val="0"/>
          <w:divBdr>
            <w:top w:val="none" w:sz="0" w:space="0" w:color="auto"/>
            <w:left w:val="none" w:sz="0" w:space="0" w:color="auto"/>
            <w:bottom w:val="none" w:sz="0" w:space="0" w:color="auto"/>
            <w:right w:val="none" w:sz="0" w:space="0" w:color="auto"/>
          </w:divBdr>
          <w:divsChild>
            <w:div w:id="304556290">
              <w:marLeft w:val="0"/>
              <w:marRight w:val="0"/>
              <w:marTop w:val="0"/>
              <w:marBottom w:val="0"/>
              <w:divBdr>
                <w:top w:val="none" w:sz="0" w:space="0" w:color="auto"/>
                <w:left w:val="none" w:sz="0" w:space="0" w:color="auto"/>
                <w:bottom w:val="none" w:sz="0" w:space="0" w:color="auto"/>
                <w:right w:val="none" w:sz="0" w:space="0" w:color="auto"/>
              </w:divBdr>
            </w:div>
            <w:div w:id="1489590775">
              <w:marLeft w:val="0"/>
              <w:marRight w:val="0"/>
              <w:marTop w:val="0"/>
              <w:marBottom w:val="0"/>
              <w:divBdr>
                <w:top w:val="none" w:sz="0" w:space="0" w:color="auto"/>
                <w:left w:val="none" w:sz="0" w:space="0" w:color="auto"/>
                <w:bottom w:val="none" w:sz="0" w:space="0" w:color="auto"/>
                <w:right w:val="none" w:sz="0" w:space="0" w:color="auto"/>
              </w:divBdr>
            </w:div>
            <w:div w:id="186522804">
              <w:marLeft w:val="0"/>
              <w:marRight w:val="0"/>
              <w:marTop w:val="0"/>
              <w:marBottom w:val="0"/>
              <w:divBdr>
                <w:top w:val="none" w:sz="0" w:space="0" w:color="auto"/>
                <w:left w:val="none" w:sz="0" w:space="0" w:color="auto"/>
                <w:bottom w:val="none" w:sz="0" w:space="0" w:color="auto"/>
                <w:right w:val="none" w:sz="0" w:space="0" w:color="auto"/>
              </w:divBdr>
            </w:div>
            <w:div w:id="822426382">
              <w:marLeft w:val="0"/>
              <w:marRight w:val="0"/>
              <w:marTop w:val="0"/>
              <w:marBottom w:val="0"/>
              <w:divBdr>
                <w:top w:val="none" w:sz="0" w:space="0" w:color="auto"/>
                <w:left w:val="none" w:sz="0" w:space="0" w:color="auto"/>
                <w:bottom w:val="none" w:sz="0" w:space="0" w:color="auto"/>
                <w:right w:val="none" w:sz="0" w:space="0" w:color="auto"/>
              </w:divBdr>
            </w:div>
            <w:div w:id="576020323">
              <w:marLeft w:val="0"/>
              <w:marRight w:val="0"/>
              <w:marTop w:val="0"/>
              <w:marBottom w:val="0"/>
              <w:divBdr>
                <w:top w:val="none" w:sz="0" w:space="0" w:color="auto"/>
                <w:left w:val="none" w:sz="0" w:space="0" w:color="auto"/>
                <w:bottom w:val="none" w:sz="0" w:space="0" w:color="auto"/>
                <w:right w:val="none" w:sz="0" w:space="0" w:color="auto"/>
              </w:divBdr>
            </w:div>
            <w:div w:id="1864443159">
              <w:marLeft w:val="0"/>
              <w:marRight w:val="0"/>
              <w:marTop w:val="0"/>
              <w:marBottom w:val="0"/>
              <w:divBdr>
                <w:top w:val="none" w:sz="0" w:space="0" w:color="auto"/>
                <w:left w:val="none" w:sz="0" w:space="0" w:color="auto"/>
                <w:bottom w:val="none" w:sz="0" w:space="0" w:color="auto"/>
                <w:right w:val="none" w:sz="0" w:space="0" w:color="auto"/>
              </w:divBdr>
            </w:div>
            <w:div w:id="118887851">
              <w:marLeft w:val="0"/>
              <w:marRight w:val="0"/>
              <w:marTop w:val="0"/>
              <w:marBottom w:val="0"/>
              <w:divBdr>
                <w:top w:val="none" w:sz="0" w:space="0" w:color="auto"/>
                <w:left w:val="none" w:sz="0" w:space="0" w:color="auto"/>
                <w:bottom w:val="none" w:sz="0" w:space="0" w:color="auto"/>
                <w:right w:val="none" w:sz="0" w:space="0" w:color="auto"/>
              </w:divBdr>
            </w:div>
            <w:div w:id="1448817322">
              <w:marLeft w:val="0"/>
              <w:marRight w:val="0"/>
              <w:marTop w:val="0"/>
              <w:marBottom w:val="0"/>
              <w:divBdr>
                <w:top w:val="none" w:sz="0" w:space="0" w:color="auto"/>
                <w:left w:val="none" w:sz="0" w:space="0" w:color="auto"/>
                <w:bottom w:val="none" w:sz="0" w:space="0" w:color="auto"/>
                <w:right w:val="none" w:sz="0" w:space="0" w:color="auto"/>
              </w:divBdr>
            </w:div>
            <w:div w:id="999309375">
              <w:marLeft w:val="0"/>
              <w:marRight w:val="0"/>
              <w:marTop w:val="0"/>
              <w:marBottom w:val="0"/>
              <w:divBdr>
                <w:top w:val="none" w:sz="0" w:space="0" w:color="auto"/>
                <w:left w:val="none" w:sz="0" w:space="0" w:color="auto"/>
                <w:bottom w:val="none" w:sz="0" w:space="0" w:color="auto"/>
                <w:right w:val="none" w:sz="0" w:space="0" w:color="auto"/>
              </w:divBdr>
            </w:div>
            <w:div w:id="1203589476">
              <w:marLeft w:val="0"/>
              <w:marRight w:val="0"/>
              <w:marTop w:val="0"/>
              <w:marBottom w:val="0"/>
              <w:divBdr>
                <w:top w:val="none" w:sz="0" w:space="0" w:color="auto"/>
                <w:left w:val="none" w:sz="0" w:space="0" w:color="auto"/>
                <w:bottom w:val="none" w:sz="0" w:space="0" w:color="auto"/>
                <w:right w:val="none" w:sz="0" w:space="0" w:color="auto"/>
              </w:divBdr>
            </w:div>
            <w:div w:id="200554120">
              <w:marLeft w:val="0"/>
              <w:marRight w:val="0"/>
              <w:marTop w:val="0"/>
              <w:marBottom w:val="0"/>
              <w:divBdr>
                <w:top w:val="none" w:sz="0" w:space="0" w:color="auto"/>
                <w:left w:val="none" w:sz="0" w:space="0" w:color="auto"/>
                <w:bottom w:val="none" w:sz="0" w:space="0" w:color="auto"/>
                <w:right w:val="none" w:sz="0" w:space="0" w:color="auto"/>
              </w:divBdr>
            </w:div>
            <w:div w:id="685330950">
              <w:marLeft w:val="0"/>
              <w:marRight w:val="0"/>
              <w:marTop w:val="0"/>
              <w:marBottom w:val="0"/>
              <w:divBdr>
                <w:top w:val="none" w:sz="0" w:space="0" w:color="auto"/>
                <w:left w:val="none" w:sz="0" w:space="0" w:color="auto"/>
                <w:bottom w:val="none" w:sz="0" w:space="0" w:color="auto"/>
                <w:right w:val="none" w:sz="0" w:space="0" w:color="auto"/>
              </w:divBdr>
            </w:div>
            <w:div w:id="1197890092">
              <w:marLeft w:val="0"/>
              <w:marRight w:val="0"/>
              <w:marTop w:val="0"/>
              <w:marBottom w:val="0"/>
              <w:divBdr>
                <w:top w:val="none" w:sz="0" w:space="0" w:color="auto"/>
                <w:left w:val="none" w:sz="0" w:space="0" w:color="auto"/>
                <w:bottom w:val="none" w:sz="0" w:space="0" w:color="auto"/>
                <w:right w:val="none" w:sz="0" w:space="0" w:color="auto"/>
              </w:divBdr>
            </w:div>
            <w:div w:id="1937471153">
              <w:marLeft w:val="0"/>
              <w:marRight w:val="0"/>
              <w:marTop w:val="0"/>
              <w:marBottom w:val="0"/>
              <w:divBdr>
                <w:top w:val="none" w:sz="0" w:space="0" w:color="auto"/>
                <w:left w:val="none" w:sz="0" w:space="0" w:color="auto"/>
                <w:bottom w:val="none" w:sz="0" w:space="0" w:color="auto"/>
                <w:right w:val="none" w:sz="0" w:space="0" w:color="auto"/>
              </w:divBdr>
            </w:div>
            <w:div w:id="1788575225">
              <w:marLeft w:val="0"/>
              <w:marRight w:val="0"/>
              <w:marTop w:val="0"/>
              <w:marBottom w:val="0"/>
              <w:divBdr>
                <w:top w:val="none" w:sz="0" w:space="0" w:color="auto"/>
                <w:left w:val="none" w:sz="0" w:space="0" w:color="auto"/>
                <w:bottom w:val="none" w:sz="0" w:space="0" w:color="auto"/>
                <w:right w:val="none" w:sz="0" w:space="0" w:color="auto"/>
              </w:divBdr>
            </w:div>
            <w:div w:id="2108236223">
              <w:marLeft w:val="0"/>
              <w:marRight w:val="0"/>
              <w:marTop w:val="0"/>
              <w:marBottom w:val="0"/>
              <w:divBdr>
                <w:top w:val="none" w:sz="0" w:space="0" w:color="auto"/>
                <w:left w:val="none" w:sz="0" w:space="0" w:color="auto"/>
                <w:bottom w:val="none" w:sz="0" w:space="0" w:color="auto"/>
                <w:right w:val="none" w:sz="0" w:space="0" w:color="auto"/>
              </w:divBdr>
            </w:div>
            <w:div w:id="1122921430">
              <w:marLeft w:val="0"/>
              <w:marRight w:val="0"/>
              <w:marTop w:val="0"/>
              <w:marBottom w:val="0"/>
              <w:divBdr>
                <w:top w:val="none" w:sz="0" w:space="0" w:color="auto"/>
                <w:left w:val="none" w:sz="0" w:space="0" w:color="auto"/>
                <w:bottom w:val="none" w:sz="0" w:space="0" w:color="auto"/>
                <w:right w:val="none" w:sz="0" w:space="0" w:color="auto"/>
              </w:divBdr>
            </w:div>
            <w:div w:id="164561443">
              <w:marLeft w:val="0"/>
              <w:marRight w:val="0"/>
              <w:marTop w:val="0"/>
              <w:marBottom w:val="0"/>
              <w:divBdr>
                <w:top w:val="none" w:sz="0" w:space="0" w:color="auto"/>
                <w:left w:val="none" w:sz="0" w:space="0" w:color="auto"/>
                <w:bottom w:val="none" w:sz="0" w:space="0" w:color="auto"/>
                <w:right w:val="none" w:sz="0" w:space="0" w:color="auto"/>
              </w:divBdr>
            </w:div>
            <w:div w:id="327638826">
              <w:marLeft w:val="0"/>
              <w:marRight w:val="0"/>
              <w:marTop w:val="0"/>
              <w:marBottom w:val="0"/>
              <w:divBdr>
                <w:top w:val="none" w:sz="0" w:space="0" w:color="auto"/>
                <w:left w:val="none" w:sz="0" w:space="0" w:color="auto"/>
                <w:bottom w:val="none" w:sz="0" w:space="0" w:color="auto"/>
                <w:right w:val="none" w:sz="0" w:space="0" w:color="auto"/>
              </w:divBdr>
            </w:div>
            <w:div w:id="1760755877">
              <w:marLeft w:val="0"/>
              <w:marRight w:val="0"/>
              <w:marTop w:val="0"/>
              <w:marBottom w:val="0"/>
              <w:divBdr>
                <w:top w:val="none" w:sz="0" w:space="0" w:color="auto"/>
                <w:left w:val="none" w:sz="0" w:space="0" w:color="auto"/>
                <w:bottom w:val="none" w:sz="0" w:space="0" w:color="auto"/>
                <w:right w:val="none" w:sz="0" w:space="0" w:color="auto"/>
              </w:divBdr>
            </w:div>
          </w:divsChild>
        </w:div>
        <w:div w:id="695427194">
          <w:marLeft w:val="0"/>
          <w:marRight w:val="0"/>
          <w:marTop w:val="0"/>
          <w:marBottom w:val="0"/>
          <w:divBdr>
            <w:top w:val="none" w:sz="0" w:space="0" w:color="auto"/>
            <w:left w:val="none" w:sz="0" w:space="0" w:color="auto"/>
            <w:bottom w:val="none" w:sz="0" w:space="0" w:color="auto"/>
            <w:right w:val="none" w:sz="0" w:space="0" w:color="auto"/>
          </w:divBdr>
        </w:div>
        <w:div w:id="984969064">
          <w:marLeft w:val="0"/>
          <w:marRight w:val="0"/>
          <w:marTop w:val="0"/>
          <w:marBottom w:val="0"/>
          <w:divBdr>
            <w:top w:val="none" w:sz="0" w:space="0" w:color="auto"/>
            <w:left w:val="none" w:sz="0" w:space="0" w:color="auto"/>
            <w:bottom w:val="none" w:sz="0" w:space="0" w:color="auto"/>
            <w:right w:val="none" w:sz="0" w:space="0" w:color="auto"/>
          </w:divBdr>
        </w:div>
        <w:div w:id="306477833">
          <w:marLeft w:val="0"/>
          <w:marRight w:val="0"/>
          <w:marTop w:val="0"/>
          <w:marBottom w:val="0"/>
          <w:divBdr>
            <w:top w:val="none" w:sz="0" w:space="0" w:color="auto"/>
            <w:left w:val="none" w:sz="0" w:space="0" w:color="auto"/>
            <w:bottom w:val="none" w:sz="0" w:space="0" w:color="auto"/>
            <w:right w:val="none" w:sz="0" w:space="0" w:color="auto"/>
          </w:divBdr>
        </w:div>
        <w:div w:id="839152561">
          <w:marLeft w:val="0"/>
          <w:marRight w:val="0"/>
          <w:marTop w:val="0"/>
          <w:marBottom w:val="0"/>
          <w:divBdr>
            <w:top w:val="none" w:sz="0" w:space="0" w:color="auto"/>
            <w:left w:val="none" w:sz="0" w:space="0" w:color="auto"/>
            <w:bottom w:val="none" w:sz="0" w:space="0" w:color="auto"/>
            <w:right w:val="none" w:sz="0" w:space="0" w:color="auto"/>
          </w:divBdr>
        </w:div>
        <w:div w:id="2130857888">
          <w:marLeft w:val="0"/>
          <w:marRight w:val="0"/>
          <w:marTop w:val="0"/>
          <w:marBottom w:val="0"/>
          <w:divBdr>
            <w:top w:val="none" w:sz="0" w:space="0" w:color="auto"/>
            <w:left w:val="none" w:sz="0" w:space="0" w:color="auto"/>
            <w:bottom w:val="none" w:sz="0" w:space="0" w:color="auto"/>
            <w:right w:val="none" w:sz="0" w:space="0" w:color="auto"/>
          </w:divBdr>
        </w:div>
        <w:div w:id="1447769444">
          <w:marLeft w:val="0"/>
          <w:marRight w:val="0"/>
          <w:marTop w:val="0"/>
          <w:marBottom w:val="0"/>
          <w:divBdr>
            <w:top w:val="none" w:sz="0" w:space="0" w:color="auto"/>
            <w:left w:val="none" w:sz="0" w:space="0" w:color="auto"/>
            <w:bottom w:val="none" w:sz="0" w:space="0" w:color="auto"/>
            <w:right w:val="none" w:sz="0" w:space="0" w:color="auto"/>
          </w:divBdr>
        </w:div>
        <w:div w:id="1139615113">
          <w:marLeft w:val="0"/>
          <w:marRight w:val="0"/>
          <w:marTop w:val="0"/>
          <w:marBottom w:val="0"/>
          <w:divBdr>
            <w:top w:val="none" w:sz="0" w:space="0" w:color="auto"/>
            <w:left w:val="none" w:sz="0" w:space="0" w:color="auto"/>
            <w:bottom w:val="none" w:sz="0" w:space="0" w:color="auto"/>
            <w:right w:val="none" w:sz="0" w:space="0" w:color="auto"/>
          </w:divBdr>
        </w:div>
      </w:divsChild>
    </w:div>
    <w:div w:id="823277801">
      <w:bodyDiv w:val="1"/>
      <w:marLeft w:val="0"/>
      <w:marRight w:val="0"/>
      <w:marTop w:val="0"/>
      <w:marBottom w:val="0"/>
      <w:divBdr>
        <w:top w:val="none" w:sz="0" w:space="0" w:color="auto"/>
        <w:left w:val="none" w:sz="0" w:space="0" w:color="auto"/>
        <w:bottom w:val="none" w:sz="0" w:space="0" w:color="auto"/>
        <w:right w:val="none" w:sz="0" w:space="0" w:color="auto"/>
      </w:divBdr>
      <w:divsChild>
        <w:div w:id="1719475412">
          <w:marLeft w:val="0"/>
          <w:marRight w:val="0"/>
          <w:marTop w:val="0"/>
          <w:marBottom w:val="0"/>
          <w:divBdr>
            <w:top w:val="none" w:sz="0" w:space="0" w:color="auto"/>
            <w:left w:val="none" w:sz="0" w:space="0" w:color="auto"/>
            <w:bottom w:val="none" w:sz="0" w:space="0" w:color="auto"/>
            <w:right w:val="none" w:sz="0" w:space="0" w:color="auto"/>
          </w:divBdr>
          <w:divsChild>
            <w:div w:id="731729824">
              <w:marLeft w:val="0"/>
              <w:marRight w:val="0"/>
              <w:marTop w:val="0"/>
              <w:marBottom w:val="0"/>
              <w:divBdr>
                <w:top w:val="none" w:sz="0" w:space="0" w:color="auto"/>
                <w:left w:val="none" w:sz="0" w:space="0" w:color="auto"/>
                <w:bottom w:val="none" w:sz="0" w:space="0" w:color="auto"/>
                <w:right w:val="none" w:sz="0" w:space="0" w:color="auto"/>
              </w:divBdr>
            </w:div>
            <w:div w:id="977108899">
              <w:marLeft w:val="0"/>
              <w:marRight w:val="0"/>
              <w:marTop w:val="0"/>
              <w:marBottom w:val="0"/>
              <w:divBdr>
                <w:top w:val="none" w:sz="0" w:space="0" w:color="auto"/>
                <w:left w:val="none" w:sz="0" w:space="0" w:color="auto"/>
                <w:bottom w:val="none" w:sz="0" w:space="0" w:color="auto"/>
                <w:right w:val="none" w:sz="0" w:space="0" w:color="auto"/>
              </w:divBdr>
            </w:div>
            <w:div w:id="806552397">
              <w:marLeft w:val="0"/>
              <w:marRight w:val="0"/>
              <w:marTop w:val="0"/>
              <w:marBottom w:val="0"/>
              <w:divBdr>
                <w:top w:val="none" w:sz="0" w:space="0" w:color="auto"/>
                <w:left w:val="none" w:sz="0" w:space="0" w:color="auto"/>
                <w:bottom w:val="none" w:sz="0" w:space="0" w:color="auto"/>
                <w:right w:val="none" w:sz="0" w:space="0" w:color="auto"/>
              </w:divBdr>
            </w:div>
            <w:div w:id="686907788">
              <w:marLeft w:val="0"/>
              <w:marRight w:val="0"/>
              <w:marTop w:val="0"/>
              <w:marBottom w:val="0"/>
              <w:divBdr>
                <w:top w:val="none" w:sz="0" w:space="0" w:color="auto"/>
                <w:left w:val="none" w:sz="0" w:space="0" w:color="auto"/>
                <w:bottom w:val="none" w:sz="0" w:space="0" w:color="auto"/>
                <w:right w:val="none" w:sz="0" w:space="0" w:color="auto"/>
              </w:divBdr>
            </w:div>
            <w:div w:id="1868910371">
              <w:marLeft w:val="0"/>
              <w:marRight w:val="0"/>
              <w:marTop w:val="0"/>
              <w:marBottom w:val="0"/>
              <w:divBdr>
                <w:top w:val="none" w:sz="0" w:space="0" w:color="auto"/>
                <w:left w:val="none" w:sz="0" w:space="0" w:color="auto"/>
                <w:bottom w:val="none" w:sz="0" w:space="0" w:color="auto"/>
                <w:right w:val="none" w:sz="0" w:space="0" w:color="auto"/>
              </w:divBdr>
            </w:div>
            <w:div w:id="437991456">
              <w:marLeft w:val="0"/>
              <w:marRight w:val="0"/>
              <w:marTop w:val="0"/>
              <w:marBottom w:val="0"/>
              <w:divBdr>
                <w:top w:val="none" w:sz="0" w:space="0" w:color="auto"/>
                <w:left w:val="none" w:sz="0" w:space="0" w:color="auto"/>
                <w:bottom w:val="none" w:sz="0" w:space="0" w:color="auto"/>
                <w:right w:val="none" w:sz="0" w:space="0" w:color="auto"/>
              </w:divBdr>
            </w:div>
            <w:div w:id="1007899312">
              <w:marLeft w:val="0"/>
              <w:marRight w:val="0"/>
              <w:marTop w:val="0"/>
              <w:marBottom w:val="0"/>
              <w:divBdr>
                <w:top w:val="none" w:sz="0" w:space="0" w:color="auto"/>
                <w:left w:val="none" w:sz="0" w:space="0" w:color="auto"/>
                <w:bottom w:val="none" w:sz="0" w:space="0" w:color="auto"/>
                <w:right w:val="none" w:sz="0" w:space="0" w:color="auto"/>
              </w:divBdr>
            </w:div>
            <w:div w:id="1178542723">
              <w:marLeft w:val="0"/>
              <w:marRight w:val="0"/>
              <w:marTop w:val="0"/>
              <w:marBottom w:val="0"/>
              <w:divBdr>
                <w:top w:val="none" w:sz="0" w:space="0" w:color="auto"/>
                <w:left w:val="none" w:sz="0" w:space="0" w:color="auto"/>
                <w:bottom w:val="none" w:sz="0" w:space="0" w:color="auto"/>
                <w:right w:val="none" w:sz="0" w:space="0" w:color="auto"/>
              </w:divBdr>
            </w:div>
            <w:div w:id="68967033">
              <w:marLeft w:val="0"/>
              <w:marRight w:val="0"/>
              <w:marTop w:val="0"/>
              <w:marBottom w:val="0"/>
              <w:divBdr>
                <w:top w:val="none" w:sz="0" w:space="0" w:color="auto"/>
                <w:left w:val="none" w:sz="0" w:space="0" w:color="auto"/>
                <w:bottom w:val="none" w:sz="0" w:space="0" w:color="auto"/>
                <w:right w:val="none" w:sz="0" w:space="0" w:color="auto"/>
              </w:divBdr>
            </w:div>
            <w:div w:id="1764951986">
              <w:marLeft w:val="0"/>
              <w:marRight w:val="0"/>
              <w:marTop w:val="0"/>
              <w:marBottom w:val="0"/>
              <w:divBdr>
                <w:top w:val="none" w:sz="0" w:space="0" w:color="auto"/>
                <w:left w:val="none" w:sz="0" w:space="0" w:color="auto"/>
                <w:bottom w:val="none" w:sz="0" w:space="0" w:color="auto"/>
                <w:right w:val="none" w:sz="0" w:space="0" w:color="auto"/>
              </w:divBdr>
            </w:div>
            <w:div w:id="1122502996">
              <w:marLeft w:val="0"/>
              <w:marRight w:val="0"/>
              <w:marTop w:val="0"/>
              <w:marBottom w:val="0"/>
              <w:divBdr>
                <w:top w:val="none" w:sz="0" w:space="0" w:color="auto"/>
                <w:left w:val="none" w:sz="0" w:space="0" w:color="auto"/>
                <w:bottom w:val="none" w:sz="0" w:space="0" w:color="auto"/>
                <w:right w:val="none" w:sz="0" w:space="0" w:color="auto"/>
              </w:divBdr>
            </w:div>
            <w:div w:id="1542934412">
              <w:marLeft w:val="0"/>
              <w:marRight w:val="0"/>
              <w:marTop w:val="0"/>
              <w:marBottom w:val="0"/>
              <w:divBdr>
                <w:top w:val="none" w:sz="0" w:space="0" w:color="auto"/>
                <w:left w:val="none" w:sz="0" w:space="0" w:color="auto"/>
                <w:bottom w:val="none" w:sz="0" w:space="0" w:color="auto"/>
                <w:right w:val="none" w:sz="0" w:space="0" w:color="auto"/>
              </w:divBdr>
            </w:div>
            <w:div w:id="979844735">
              <w:marLeft w:val="0"/>
              <w:marRight w:val="0"/>
              <w:marTop w:val="0"/>
              <w:marBottom w:val="0"/>
              <w:divBdr>
                <w:top w:val="none" w:sz="0" w:space="0" w:color="auto"/>
                <w:left w:val="none" w:sz="0" w:space="0" w:color="auto"/>
                <w:bottom w:val="none" w:sz="0" w:space="0" w:color="auto"/>
                <w:right w:val="none" w:sz="0" w:space="0" w:color="auto"/>
              </w:divBdr>
            </w:div>
            <w:div w:id="484129545">
              <w:marLeft w:val="0"/>
              <w:marRight w:val="0"/>
              <w:marTop w:val="0"/>
              <w:marBottom w:val="0"/>
              <w:divBdr>
                <w:top w:val="none" w:sz="0" w:space="0" w:color="auto"/>
                <w:left w:val="none" w:sz="0" w:space="0" w:color="auto"/>
                <w:bottom w:val="none" w:sz="0" w:space="0" w:color="auto"/>
                <w:right w:val="none" w:sz="0" w:space="0" w:color="auto"/>
              </w:divBdr>
            </w:div>
            <w:div w:id="1219710861">
              <w:marLeft w:val="0"/>
              <w:marRight w:val="0"/>
              <w:marTop w:val="0"/>
              <w:marBottom w:val="0"/>
              <w:divBdr>
                <w:top w:val="none" w:sz="0" w:space="0" w:color="auto"/>
                <w:left w:val="none" w:sz="0" w:space="0" w:color="auto"/>
                <w:bottom w:val="none" w:sz="0" w:space="0" w:color="auto"/>
                <w:right w:val="none" w:sz="0" w:space="0" w:color="auto"/>
              </w:divBdr>
            </w:div>
            <w:div w:id="225991101">
              <w:marLeft w:val="0"/>
              <w:marRight w:val="0"/>
              <w:marTop w:val="0"/>
              <w:marBottom w:val="0"/>
              <w:divBdr>
                <w:top w:val="none" w:sz="0" w:space="0" w:color="auto"/>
                <w:left w:val="none" w:sz="0" w:space="0" w:color="auto"/>
                <w:bottom w:val="none" w:sz="0" w:space="0" w:color="auto"/>
                <w:right w:val="none" w:sz="0" w:space="0" w:color="auto"/>
              </w:divBdr>
            </w:div>
            <w:div w:id="56393398">
              <w:marLeft w:val="0"/>
              <w:marRight w:val="0"/>
              <w:marTop w:val="0"/>
              <w:marBottom w:val="0"/>
              <w:divBdr>
                <w:top w:val="none" w:sz="0" w:space="0" w:color="auto"/>
                <w:left w:val="none" w:sz="0" w:space="0" w:color="auto"/>
                <w:bottom w:val="none" w:sz="0" w:space="0" w:color="auto"/>
                <w:right w:val="none" w:sz="0" w:space="0" w:color="auto"/>
              </w:divBdr>
            </w:div>
            <w:div w:id="736365867">
              <w:marLeft w:val="0"/>
              <w:marRight w:val="0"/>
              <w:marTop w:val="0"/>
              <w:marBottom w:val="0"/>
              <w:divBdr>
                <w:top w:val="none" w:sz="0" w:space="0" w:color="auto"/>
                <w:left w:val="none" w:sz="0" w:space="0" w:color="auto"/>
                <w:bottom w:val="none" w:sz="0" w:space="0" w:color="auto"/>
                <w:right w:val="none" w:sz="0" w:space="0" w:color="auto"/>
              </w:divBdr>
            </w:div>
            <w:div w:id="652416775">
              <w:marLeft w:val="0"/>
              <w:marRight w:val="0"/>
              <w:marTop w:val="0"/>
              <w:marBottom w:val="0"/>
              <w:divBdr>
                <w:top w:val="none" w:sz="0" w:space="0" w:color="auto"/>
                <w:left w:val="none" w:sz="0" w:space="0" w:color="auto"/>
                <w:bottom w:val="none" w:sz="0" w:space="0" w:color="auto"/>
                <w:right w:val="none" w:sz="0" w:space="0" w:color="auto"/>
              </w:divBdr>
            </w:div>
            <w:div w:id="4478938">
              <w:marLeft w:val="0"/>
              <w:marRight w:val="0"/>
              <w:marTop w:val="0"/>
              <w:marBottom w:val="0"/>
              <w:divBdr>
                <w:top w:val="none" w:sz="0" w:space="0" w:color="auto"/>
                <w:left w:val="none" w:sz="0" w:space="0" w:color="auto"/>
                <w:bottom w:val="none" w:sz="0" w:space="0" w:color="auto"/>
                <w:right w:val="none" w:sz="0" w:space="0" w:color="auto"/>
              </w:divBdr>
            </w:div>
          </w:divsChild>
        </w:div>
        <w:div w:id="184639240">
          <w:marLeft w:val="0"/>
          <w:marRight w:val="0"/>
          <w:marTop w:val="0"/>
          <w:marBottom w:val="0"/>
          <w:divBdr>
            <w:top w:val="none" w:sz="0" w:space="0" w:color="auto"/>
            <w:left w:val="none" w:sz="0" w:space="0" w:color="auto"/>
            <w:bottom w:val="none" w:sz="0" w:space="0" w:color="auto"/>
            <w:right w:val="none" w:sz="0" w:space="0" w:color="auto"/>
          </w:divBdr>
        </w:div>
        <w:div w:id="1732116702">
          <w:marLeft w:val="0"/>
          <w:marRight w:val="0"/>
          <w:marTop w:val="0"/>
          <w:marBottom w:val="0"/>
          <w:divBdr>
            <w:top w:val="none" w:sz="0" w:space="0" w:color="auto"/>
            <w:left w:val="none" w:sz="0" w:space="0" w:color="auto"/>
            <w:bottom w:val="none" w:sz="0" w:space="0" w:color="auto"/>
            <w:right w:val="none" w:sz="0" w:space="0" w:color="auto"/>
          </w:divBdr>
        </w:div>
        <w:div w:id="1130515974">
          <w:marLeft w:val="0"/>
          <w:marRight w:val="0"/>
          <w:marTop w:val="0"/>
          <w:marBottom w:val="0"/>
          <w:divBdr>
            <w:top w:val="none" w:sz="0" w:space="0" w:color="auto"/>
            <w:left w:val="none" w:sz="0" w:space="0" w:color="auto"/>
            <w:bottom w:val="none" w:sz="0" w:space="0" w:color="auto"/>
            <w:right w:val="none" w:sz="0" w:space="0" w:color="auto"/>
          </w:divBdr>
        </w:div>
        <w:div w:id="1290743750">
          <w:marLeft w:val="0"/>
          <w:marRight w:val="0"/>
          <w:marTop w:val="0"/>
          <w:marBottom w:val="0"/>
          <w:divBdr>
            <w:top w:val="none" w:sz="0" w:space="0" w:color="auto"/>
            <w:left w:val="none" w:sz="0" w:space="0" w:color="auto"/>
            <w:bottom w:val="none" w:sz="0" w:space="0" w:color="auto"/>
            <w:right w:val="none" w:sz="0" w:space="0" w:color="auto"/>
          </w:divBdr>
        </w:div>
        <w:div w:id="1214536379">
          <w:marLeft w:val="0"/>
          <w:marRight w:val="0"/>
          <w:marTop w:val="0"/>
          <w:marBottom w:val="0"/>
          <w:divBdr>
            <w:top w:val="none" w:sz="0" w:space="0" w:color="auto"/>
            <w:left w:val="none" w:sz="0" w:space="0" w:color="auto"/>
            <w:bottom w:val="none" w:sz="0" w:space="0" w:color="auto"/>
            <w:right w:val="none" w:sz="0" w:space="0" w:color="auto"/>
          </w:divBdr>
        </w:div>
        <w:div w:id="1578320636">
          <w:marLeft w:val="0"/>
          <w:marRight w:val="0"/>
          <w:marTop w:val="0"/>
          <w:marBottom w:val="0"/>
          <w:divBdr>
            <w:top w:val="none" w:sz="0" w:space="0" w:color="auto"/>
            <w:left w:val="none" w:sz="0" w:space="0" w:color="auto"/>
            <w:bottom w:val="none" w:sz="0" w:space="0" w:color="auto"/>
            <w:right w:val="none" w:sz="0" w:space="0" w:color="auto"/>
          </w:divBdr>
        </w:div>
        <w:div w:id="1593246214">
          <w:marLeft w:val="0"/>
          <w:marRight w:val="0"/>
          <w:marTop w:val="0"/>
          <w:marBottom w:val="0"/>
          <w:divBdr>
            <w:top w:val="none" w:sz="0" w:space="0" w:color="auto"/>
            <w:left w:val="none" w:sz="0" w:space="0" w:color="auto"/>
            <w:bottom w:val="none" w:sz="0" w:space="0" w:color="auto"/>
            <w:right w:val="none" w:sz="0" w:space="0" w:color="auto"/>
          </w:divBdr>
        </w:div>
      </w:divsChild>
    </w:div>
    <w:div w:id="1178078137">
      <w:bodyDiv w:val="1"/>
      <w:marLeft w:val="0"/>
      <w:marRight w:val="0"/>
      <w:marTop w:val="0"/>
      <w:marBottom w:val="0"/>
      <w:divBdr>
        <w:top w:val="none" w:sz="0" w:space="0" w:color="auto"/>
        <w:left w:val="none" w:sz="0" w:space="0" w:color="auto"/>
        <w:bottom w:val="none" w:sz="0" w:space="0" w:color="auto"/>
        <w:right w:val="none" w:sz="0" w:space="0" w:color="auto"/>
      </w:divBdr>
      <w:divsChild>
        <w:div w:id="512838786">
          <w:marLeft w:val="0"/>
          <w:marRight w:val="0"/>
          <w:marTop w:val="0"/>
          <w:marBottom w:val="0"/>
          <w:divBdr>
            <w:top w:val="none" w:sz="0" w:space="0" w:color="auto"/>
            <w:left w:val="none" w:sz="0" w:space="0" w:color="auto"/>
            <w:bottom w:val="none" w:sz="0" w:space="0" w:color="auto"/>
            <w:right w:val="none" w:sz="0" w:space="0" w:color="auto"/>
          </w:divBdr>
          <w:divsChild>
            <w:div w:id="13579223">
              <w:marLeft w:val="0"/>
              <w:marRight w:val="0"/>
              <w:marTop w:val="0"/>
              <w:marBottom w:val="0"/>
              <w:divBdr>
                <w:top w:val="none" w:sz="0" w:space="0" w:color="auto"/>
                <w:left w:val="none" w:sz="0" w:space="0" w:color="auto"/>
                <w:bottom w:val="none" w:sz="0" w:space="0" w:color="auto"/>
                <w:right w:val="none" w:sz="0" w:space="0" w:color="auto"/>
              </w:divBdr>
            </w:div>
            <w:div w:id="1494251820">
              <w:marLeft w:val="0"/>
              <w:marRight w:val="0"/>
              <w:marTop w:val="0"/>
              <w:marBottom w:val="0"/>
              <w:divBdr>
                <w:top w:val="none" w:sz="0" w:space="0" w:color="auto"/>
                <w:left w:val="none" w:sz="0" w:space="0" w:color="auto"/>
                <w:bottom w:val="none" w:sz="0" w:space="0" w:color="auto"/>
                <w:right w:val="none" w:sz="0" w:space="0" w:color="auto"/>
              </w:divBdr>
            </w:div>
            <w:div w:id="1056464435">
              <w:marLeft w:val="0"/>
              <w:marRight w:val="0"/>
              <w:marTop w:val="0"/>
              <w:marBottom w:val="0"/>
              <w:divBdr>
                <w:top w:val="none" w:sz="0" w:space="0" w:color="auto"/>
                <w:left w:val="none" w:sz="0" w:space="0" w:color="auto"/>
                <w:bottom w:val="none" w:sz="0" w:space="0" w:color="auto"/>
                <w:right w:val="none" w:sz="0" w:space="0" w:color="auto"/>
              </w:divBdr>
            </w:div>
            <w:div w:id="1744452156">
              <w:marLeft w:val="0"/>
              <w:marRight w:val="0"/>
              <w:marTop w:val="0"/>
              <w:marBottom w:val="0"/>
              <w:divBdr>
                <w:top w:val="none" w:sz="0" w:space="0" w:color="auto"/>
                <w:left w:val="none" w:sz="0" w:space="0" w:color="auto"/>
                <w:bottom w:val="none" w:sz="0" w:space="0" w:color="auto"/>
                <w:right w:val="none" w:sz="0" w:space="0" w:color="auto"/>
              </w:divBdr>
            </w:div>
            <w:div w:id="857813983">
              <w:marLeft w:val="0"/>
              <w:marRight w:val="0"/>
              <w:marTop w:val="0"/>
              <w:marBottom w:val="0"/>
              <w:divBdr>
                <w:top w:val="none" w:sz="0" w:space="0" w:color="auto"/>
                <w:left w:val="none" w:sz="0" w:space="0" w:color="auto"/>
                <w:bottom w:val="none" w:sz="0" w:space="0" w:color="auto"/>
                <w:right w:val="none" w:sz="0" w:space="0" w:color="auto"/>
              </w:divBdr>
            </w:div>
            <w:div w:id="184175045">
              <w:marLeft w:val="0"/>
              <w:marRight w:val="0"/>
              <w:marTop w:val="0"/>
              <w:marBottom w:val="0"/>
              <w:divBdr>
                <w:top w:val="none" w:sz="0" w:space="0" w:color="auto"/>
                <w:left w:val="none" w:sz="0" w:space="0" w:color="auto"/>
                <w:bottom w:val="none" w:sz="0" w:space="0" w:color="auto"/>
                <w:right w:val="none" w:sz="0" w:space="0" w:color="auto"/>
              </w:divBdr>
            </w:div>
            <w:div w:id="588732770">
              <w:marLeft w:val="0"/>
              <w:marRight w:val="0"/>
              <w:marTop w:val="0"/>
              <w:marBottom w:val="0"/>
              <w:divBdr>
                <w:top w:val="none" w:sz="0" w:space="0" w:color="auto"/>
                <w:left w:val="none" w:sz="0" w:space="0" w:color="auto"/>
                <w:bottom w:val="none" w:sz="0" w:space="0" w:color="auto"/>
                <w:right w:val="none" w:sz="0" w:space="0" w:color="auto"/>
              </w:divBdr>
            </w:div>
            <w:div w:id="378556651">
              <w:marLeft w:val="0"/>
              <w:marRight w:val="0"/>
              <w:marTop w:val="0"/>
              <w:marBottom w:val="0"/>
              <w:divBdr>
                <w:top w:val="none" w:sz="0" w:space="0" w:color="auto"/>
                <w:left w:val="none" w:sz="0" w:space="0" w:color="auto"/>
                <w:bottom w:val="none" w:sz="0" w:space="0" w:color="auto"/>
                <w:right w:val="none" w:sz="0" w:space="0" w:color="auto"/>
              </w:divBdr>
            </w:div>
            <w:div w:id="1991857746">
              <w:marLeft w:val="0"/>
              <w:marRight w:val="0"/>
              <w:marTop w:val="0"/>
              <w:marBottom w:val="0"/>
              <w:divBdr>
                <w:top w:val="none" w:sz="0" w:space="0" w:color="auto"/>
                <w:left w:val="none" w:sz="0" w:space="0" w:color="auto"/>
                <w:bottom w:val="none" w:sz="0" w:space="0" w:color="auto"/>
                <w:right w:val="none" w:sz="0" w:space="0" w:color="auto"/>
              </w:divBdr>
            </w:div>
            <w:div w:id="499389599">
              <w:marLeft w:val="0"/>
              <w:marRight w:val="0"/>
              <w:marTop w:val="0"/>
              <w:marBottom w:val="0"/>
              <w:divBdr>
                <w:top w:val="none" w:sz="0" w:space="0" w:color="auto"/>
                <w:left w:val="none" w:sz="0" w:space="0" w:color="auto"/>
                <w:bottom w:val="none" w:sz="0" w:space="0" w:color="auto"/>
                <w:right w:val="none" w:sz="0" w:space="0" w:color="auto"/>
              </w:divBdr>
            </w:div>
            <w:div w:id="465976399">
              <w:marLeft w:val="0"/>
              <w:marRight w:val="0"/>
              <w:marTop w:val="0"/>
              <w:marBottom w:val="0"/>
              <w:divBdr>
                <w:top w:val="none" w:sz="0" w:space="0" w:color="auto"/>
                <w:left w:val="none" w:sz="0" w:space="0" w:color="auto"/>
                <w:bottom w:val="none" w:sz="0" w:space="0" w:color="auto"/>
                <w:right w:val="none" w:sz="0" w:space="0" w:color="auto"/>
              </w:divBdr>
            </w:div>
            <w:div w:id="1073816760">
              <w:marLeft w:val="0"/>
              <w:marRight w:val="0"/>
              <w:marTop w:val="0"/>
              <w:marBottom w:val="0"/>
              <w:divBdr>
                <w:top w:val="none" w:sz="0" w:space="0" w:color="auto"/>
                <w:left w:val="none" w:sz="0" w:space="0" w:color="auto"/>
                <w:bottom w:val="none" w:sz="0" w:space="0" w:color="auto"/>
                <w:right w:val="none" w:sz="0" w:space="0" w:color="auto"/>
              </w:divBdr>
            </w:div>
            <w:div w:id="1186023419">
              <w:marLeft w:val="0"/>
              <w:marRight w:val="0"/>
              <w:marTop w:val="0"/>
              <w:marBottom w:val="0"/>
              <w:divBdr>
                <w:top w:val="none" w:sz="0" w:space="0" w:color="auto"/>
                <w:left w:val="none" w:sz="0" w:space="0" w:color="auto"/>
                <w:bottom w:val="none" w:sz="0" w:space="0" w:color="auto"/>
                <w:right w:val="none" w:sz="0" w:space="0" w:color="auto"/>
              </w:divBdr>
            </w:div>
            <w:div w:id="242688570">
              <w:marLeft w:val="0"/>
              <w:marRight w:val="0"/>
              <w:marTop w:val="0"/>
              <w:marBottom w:val="0"/>
              <w:divBdr>
                <w:top w:val="none" w:sz="0" w:space="0" w:color="auto"/>
                <w:left w:val="none" w:sz="0" w:space="0" w:color="auto"/>
                <w:bottom w:val="none" w:sz="0" w:space="0" w:color="auto"/>
                <w:right w:val="none" w:sz="0" w:space="0" w:color="auto"/>
              </w:divBdr>
            </w:div>
            <w:div w:id="1611742393">
              <w:marLeft w:val="0"/>
              <w:marRight w:val="0"/>
              <w:marTop w:val="0"/>
              <w:marBottom w:val="0"/>
              <w:divBdr>
                <w:top w:val="none" w:sz="0" w:space="0" w:color="auto"/>
                <w:left w:val="none" w:sz="0" w:space="0" w:color="auto"/>
                <w:bottom w:val="none" w:sz="0" w:space="0" w:color="auto"/>
                <w:right w:val="none" w:sz="0" w:space="0" w:color="auto"/>
              </w:divBdr>
            </w:div>
            <w:div w:id="1077747417">
              <w:marLeft w:val="0"/>
              <w:marRight w:val="0"/>
              <w:marTop w:val="0"/>
              <w:marBottom w:val="0"/>
              <w:divBdr>
                <w:top w:val="none" w:sz="0" w:space="0" w:color="auto"/>
                <w:left w:val="none" w:sz="0" w:space="0" w:color="auto"/>
                <w:bottom w:val="none" w:sz="0" w:space="0" w:color="auto"/>
                <w:right w:val="none" w:sz="0" w:space="0" w:color="auto"/>
              </w:divBdr>
            </w:div>
            <w:div w:id="656417233">
              <w:marLeft w:val="0"/>
              <w:marRight w:val="0"/>
              <w:marTop w:val="0"/>
              <w:marBottom w:val="0"/>
              <w:divBdr>
                <w:top w:val="none" w:sz="0" w:space="0" w:color="auto"/>
                <w:left w:val="none" w:sz="0" w:space="0" w:color="auto"/>
                <w:bottom w:val="none" w:sz="0" w:space="0" w:color="auto"/>
                <w:right w:val="none" w:sz="0" w:space="0" w:color="auto"/>
              </w:divBdr>
            </w:div>
            <w:div w:id="1320890757">
              <w:marLeft w:val="0"/>
              <w:marRight w:val="0"/>
              <w:marTop w:val="0"/>
              <w:marBottom w:val="0"/>
              <w:divBdr>
                <w:top w:val="none" w:sz="0" w:space="0" w:color="auto"/>
                <w:left w:val="none" w:sz="0" w:space="0" w:color="auto"/>
                <w:bottom w:val="none" w:sz="0" w:space="0" w:color="auto"/>
                <w:right w:val="none" w:sz="0" w:space="0" w:color="auto"/>
              </w:divBdr>
            </w:div>
            <w:div w:id="1398550588">
              <w:marLeft w:val="0"/>
              <w:marRight w:val="0"/>
              <w:marTop w:val="0"/>
              <w:marBottom w:val="0"/>
              <w:divBdr>
                <w:top w:val="none" w:sz="0" w:space="0" w:color="auto"/>
                <w:left w:val="none" w:sz="0" w:space="0" w:color="auto"/>
                <w:bottom w:val="none" w:sz="0" w:space="0" w:color="auto"/>
                <w:right w:val="none" w:sz="0" w:space="0" w:color="auto"/>
              </w:divBdr>
            </w:div>
            <w:div w:id="52122153">
              <w:marLeft w:val="0"/>
              <w:marRight w:val="0"/>
              <w:marTop w:val="0"/>
              <w:marBottom w:val="0"/>
              <w:divBdr>
                <w:top w:val="none" w:sz="0" w:space="0" w:color="auto"/>
                <w:left w:val="none" w:sz="0" w:space="0" w:color="auto"/>
                <w:bottom w:val="none" w:sz="0" w:space="0" w:color="auto"/>
                <w:right w:val="none" w:sz="0" w:space="0" w:color="auto"/>
              </w:divBdr>
            </w:div>
          </w:divsChild>
        </w:div>
        <w:div w:id="710543485">
          <w:marLeft w:val="0"/>
          <w:marRight w:val="0"/>
          <w:marTop w:val="0"/>
          <w:marBottom w:val="0"/>
          <w:divBdr>
            <w:top w:val="none" w:sz="0" w:space="0" w:color="auto"/>
            <w:left w:val="none" w:sz="0" w:space="0" w:color="auto"/>
            <w:bottom w:val="none" w:sz="0" w:space="0" w:color="auto"/>
            <w:right w:val="none" w:sz="0" w:space="0" w:color="auto"/>
          </w:divBdr>
        </w:div>
        <w:div w:id="922027456">
          <w:marLeft w:val="0"/>
          <w:marRight w:val="0"/>
          <w:marTop w:val="0"/>
          <w:marBottom w:val="0"/>
          <w:divBdr>
            <w:top w:val="none" w:sz="0" w:space="0" w:color="auto"/>
            <w:left w:val="none" w:sz="0" w:space="0" w:color="auto"/>
            <w:bottom w:val="none" w:sz="0" w:space="0" w:color="auto"/>
            <w:right w:val="none" w:sz="0" w:space="0" w:color="auto"/>
          </w:divBdr>
        </w:div>
        <w:div w:id="368184314">
          <w:marLeft w:val="0"/>
          <w:marRight w:val="0"/>
          <w:marTop w:val="0"/>
          <w:marBottom w:val="0"/>
          <w:divBdr>
            <w:top w:val="none" w:sz="0" w:space="0" w:color="auto"/>
            <w:left w:val="none" w:sz="0" w:space="0" w:color="auto"/>
            <w:bottom w:val="none" w:sz="0" w:space="0" w:color="auto"/>
            <w:right w:val="none" w:sz="0" w:space="0" w:color="auto"/>
          </w:divBdr>
        </w:div>
        <w:div w:id="215511463">
          <w:marLeft w:val="0"/>
          <w:marRight w:val="0"/>
          <w:marTop w:val="0"/>
          <w:marBottom w:val="0"/>
          <w:divBdr>
            <w:top w:val="none" w:sz="0" w:space="0" w:color="auto"/>
            <w:left w:val="none" w:sz="0" w:space="0" w:color="auto"/>
            <w:bottom w:val="none" w:sz="0" w:space="0" w:color="auto"/>
            <w:right w:val="none" w:sz="0" w:space="0" w:color="auto"/>
          </w:divBdr>
        </w:div>
        <w:div w:id="1007974965">
          <w:marLeft w:val="0"/>
          <w:marRight w:val="0"/>
          <w:marTop w:val="0"/>
          <w:marBottom w:val="0"/>
          <w:divBdr>
            <w:top w:val="none" w:sz="0" w:space="0" w:color="auto"/>
            <w:left w:val="none" w:sz="0" w:space="0" w:color="auto"/>
            <w:bottom w:val="none" w:sz="0" w:space="0" w:color="auto"/>
            <w:right w:val="none" w:sz="0" w:space="0" w:color="auto"/>
          </w:divBdr>
        </w:div>
        <w:div w:id="1623462701">
          <w:marLeft w:val="0"/>
          <w:marRight w:val="0"/>
          <w:marTop w:val="0"/>
          <w:marBottom w:val="0"/>
          <w:divBdr>
            <w:top w:val="none" w:sz="0" w:space="0" w:color="auto"/>
            <w:left w:val="none" w:sz="0" w:space="0" w:color="auto"/>
            <w:bottom w:val="none" w:sz="0" w:space="0" w:color="auto"/>
            <w:right w:val="none" w:sz="0" w:space="0" w:color="auto"/>
          </w:divBdr>
        </w:div>
        <w:div w:id="1112476500">
          <w:marLeft w:val="0"/>
          <w:marRight w:val="0"/>
          <w:marTop w:val="0"/>
          <w:marBottom w:val="0"/>
          <w:divBdr>
            <w:top w:val="none" w:sz="0" w:space="0" w:color="auto"/>
            <w:left w:val="none" w:sz="0" w:space="0" w:color="auto"/>
            <w:bottom w:val="none" w:sz="0" w:space="0" w:color="auto"/>
            <w:right w:val="none" w:sz="0" w:space="0" w:color="auto"/>
          </w:divBdr>
        </w:div>
        <w:div w:id="367805587">
          <w:marLeft w:val="0"/>
          <w:marRight w:val="0"/>
          <w:marTop w:val="0"/>
          <w:marBottom w:val="0"/>
          <w:divBdr>
            <w:top w:val="none" w:sz="0" w:space="0" w:color="auto"/>
            <w:left w:val="none" w:sz="0" w:space="0" w:color="auto"/>
            <w:bottom w:val="none" w:sz="0" w:space="0" w:color="auto"/>
            <w:right w:val="none" w:sz="0" w:space="0" w:color="auto"/>
          </w:divBdr>
        </w:div>
      </w:divsChild>
    </w:div>
    <w:div w:id="1287159583">
      <w:bodyDiv w:val="1"/>
      <w:marLeft w:val="0"/>
      <w:marRight w:val="0"/>
      <w:marTop w:val="0"/>
      <w:marBottom w:val="0"/>
      <w:divBdr>
        <w:top w:val="none" w:sz="0" w:space="0" w:color="auto"/>
        <w:left w:val="none" w:sz="0" w:space="0" w:color="auto"/>
        <w:bottom w:val="none" w:sz="0" w:space="0" w:color="auto"/>
        <w:right w:val="none" w:sz="0" w:space="0" w:color="auto"/>
      </w:divBdr>
      <w:divsChild>
        <w:div w:id="1692536192">
          <w:marLeft w:val="0"/>
          <w:marRight w:val="0"/>
          <w:marTop w:val="0"/>
          <w:marBottom w:val="0"/>
          <w:divBdr>
            <w:top w:val="none" w:sz="0" w:space="0" w:color="auto"/>
            <w:left w:val="none" w:sz="0" w:space="0" w:color="auto"/>
            <w:bottom w:val="none" w:sz="0" w:space="0" w:color="auto"/>
            <w:right w:val="none" w:sz="0" w:space="0" w:color="auto"/>
          </w:divBdr>
          <w:divsChild>
            <w:div w:id="1332370141">
              <w:marLeft w:val="0"/>
              <w:marRight w:val="0"/>
              <w:marTop w:val="0"/>
              <w:marBottom w:val="0"/>
              <w:divBdr>
                <w:top w:val="none" w:sz="0" w:space="0" w:color="auto"/>
                <w:left w:val="none" w:sz="0" w:space="0" w:color="auto"/>
                <w:bottom w:val="none" w:sz="0" w:space="0" w:color="auto"/>
                <w:right w:val="none" w:sz="0" w:space="0" w:color="auto"/>
              </w:divBdr>
            </w:div>
            <w:div w:id="1624992638">
              <w:marLeft w:val="0"/>
              <w:marRight w:val="0"/>
              <w:marTop w:val="0"/>
              <w:marBottom w:val="0"/>
              <w:divBdr>
                <w:top w:val="none" w:sz="0" w:space="0" w:color="auto"/>
                <w:left w:val="none" w:sz="0" w:space="0" w:color="auto"/>
                <w:bottom w:val="none" w:sz="0" w:space="0" w:color="auto"/>
                <w:right w:val="none" w:sz="0" w:space="0" w:color="auto"/>
              </w:divBdr>
            </w:div>
            <w:div w:id="1504392750">
              <w:marLeft w:val="0"/>
              <w:marRight w:val="0"/>
              <w:marTop w:val="0"/>
              <w:marBottom w:val="0"/>
              <w:divBdr>
                <w:top w:val="none" w:sz="0" w:space="0" w:color="auto"/>
                <w:left w:val="none" w:sz="0" w:space="0" w:color="auto"/>
                <w:bottom w:val="none" w:sz="0" w:space="0" w:color="auto"/>
                <w:right w:val="none" w:sz="0" w:space="0" w:color="auto"/>
              </w:divBdr>
            </w:div>
            <w:div w:id="678119100">
              <w:marLeft w:val="0"/>
              <w:marRight w:val="0"/>
              <w:marTop w:val="0"/>
              <w:marBottom w:val="0"/>
              <w:divBdr>
                <w:top w:val="none" w:sz="0" w:space="0" w:color="auto"/>
                <w:left w:val="none" w:sz="0" w:space="0" w:color="auto"/>
                <w:bottom w:val="none" w:sz="0" w:space="0" w:color="auto"/>
                <w:right w:val="none" w:sz="0" w:space="0" w:color="auto"/>
              </w:divBdr>
            </w:div>
            <w:div w:id="905528226">
              <w:marLeft w:val="0"/>
              <w:marRight w:val="0"/>
              <w:marTop w:val="0"/>
              <w:marBottom w:val="0"/>
              <w:divBdr>
                <w:top w:val="none" w:sz="0" w:space="0" w:color="auto"/>
                <w:left w:val="none" w:sz="0" w:space="0" w:color="auto"/>
                <w:bottom w:val="none" w:sz="0" w:space="0" w:color="auto"/>
                <w:right w:val="none" w:sz="0" w:space="0" w:color="auto"/>
              </w:divBdr>
            </w:div>
            <w:div w:id="1140076958">
              <w:marLeft w:val="0"/>
              <w:marRight w:val="0"/>
              <w:marTop w:val="0"/>
              <w:marBottom w:val="0"/>
              <w:divBdr>
                <w:top w:val="none" w:sz="0" w:space="0" w:color="auto"/>
                <w:left w:val="none" w:sz="0" w:space="0" w:color="auto"/>
                <w:bottom w:val="none" w:sz="0" w:space="0" w:color="auto"/>
                <w:right w:val="none" w:sz="0" w:space="0" w:color="auto"/>
              </w:divBdr>
            </w:div>
            <w:div w:id="543830085">
              <w:marLeft w:val="0"/>
              <w:marRight w:val="0"/>
              <w:marTop w:val="0"/>
              <w:marBottom w:val="0"/>
              <w:divBdr>
                <w:top w:val="none" w:sz="0" w:space="0" w:color="auto"/>
                <w:left w:val="none" w:sz="0" w:space="0" w:color="auto"/>
                <w:bottom w:val="none" w:sz="0" w:space="0" w:color="auto"/>
                <w:right w:val="none" w:sz="0" w:space="0" w:color="auto"/>
              </w:divBdr>
            </w:div>
            <w:div w:id="1824465226">
              <w:marLeft w:val="0"/>
              <w:marRight w:val="0"/>
              <w:marTop w:val="0"/>
              <w:marBottom w:val="0"/>
              <w:divBdr>
                <w:top w:val="none" w:sz="0" w:space="0" w:color="auto"/>
                <w:left w:val="none" w:sz="0" w:space="0" w:color="auto"/>
                <w:bottom w:val="none" w:sz="0" w:space="0" w:color="auto"/>
                <w:right w:val="none" w:sz="0" w:space="0" w:color="auto"/>
              </w:divBdr>
            </w:div>
            <w:div w:id="386300358">
              <w:marLeft w:val="0"/>
              <w:marRight w:val="0"/>
              <w:marTop w:val="0"/>
              <w:marBottom w:val="0"/>
              <w:divBdr>
                <w:top w:val="none" w:sz="0" w:space="0" w:color="auto"/>
                <w:left w:val="none" w:sz="0" w:space="0" w:color="auto"/>
                <w:bottom w:val="none" w:sz="0" w:space="0" w:color="auto"/>
                <w:right w:val="none" w:sz="0" w:space="0" w:color="auto"/>
              </w:divBdr>
            </w:div>
            <w:div w:id="1553955364">
              <w:marLeft w:val="0"/>
              <w:marRight w:val="0"/>
              <w:marTop w:val="0"/>
              <w:marBottom w:val="0"/>
              <w:divBdr>
                <w:top w:val="none" w:sz="0" w:space="0" w:color="auto"/>
                <w:left w:val="none" w:sz="0" w:space="0" w:color="auto"/>
                <w:bottom w:val="none" w:sz="0" w:space="0" w:color="auto"/>
                <w:right w:val="none" w:sz="0" w:space="0" w:color="auto"/>
              </w:divBdr>
            </w:div>
            <w:div w:id="1562406506">
              <w:marLeft w:val="0"/>
              <w:marRight w:val="0"/>
              <w:marTop w:val="0"/>
              <w:marBottom w:val="0"/>
              <w:divBdr>
                <w:top w:val="none" w:sz="0" w:space="0" w:color="auto"/>
                <w:left w:val="none" w:sz="0" w:space="0" w:color="auto"/>
                <w:bottom w:val="none" w:sz="0" w:space="0" w:color="auto"/>
                <w:right w:val="none" w:sz="0" w:space="0" w:color="auto"/>
              </w:divBdr>
            </w:div>
            <w:div w:id="266814468">
              <w:marLeft w:val="0"/>
              <w:marRight w:val="0"/>
              <w:marTop w:val="0"/>
              <w:marBottom w:val="0"/>
              <w:divBdr>
                <w:top w:val="none" w:sz="0" w:space="0" w:color="auto"/>
                <w:left w:val="none" w:sz="0" w:space="0" w:color="auto"/>
                <w:bottom w:val="none" w:sz="0" w:space="0" w:color="auto"/>
                <w:right w:val="none" w:sz="0" w:space="0" w:color="auto"/>
              </w:divBdr>
            </w:div>
            <w:div w:id="1646742869">
              <w:marLeft w:val="0"/>
              <w:marRight w:val="0"/>
              <w:marTop w:val="0"/>
              <w:marBottom w:val="0"/>
              <w:divBdr>
                <w:top w:val="none" w:sz="0" w:space="0" w:color="auto"/>
                <w:left w:val="none" w:sz="0" w:space="0" w:color="auto"/>
                <w:bottom w:val="none" w:sz="0" w:space="0" w:color="auto"/>
                <w:right w:val="none" w:sz="0" w:space="0" w:color="auto"/>
              </w:divBdr>
            </w:div>
            <w:div w:id="1243025995">
              <w:marLeft w:val="0"/>
              <w:marRight w:val="0"/>
              <w:marTop w:val="0"/>
              <w:marBottom w:val="0"/>
              <w:divBdr>
                <w:top w:val="none" w:sz="0" w:space="0" w:color="auto"/>
                <w:left w:val="none" w:sz="0" w:space="0" w:color="auto"/>
                <w:bottom w:val="none" w:sz="0" w:space="0" w:color="auto"/>
                <w:right w:val="none" w:sz="0" w:space="0" w:color="auto"/>
              </w:divBdr>
            </w:div>
            <w:div w:id="1915165990">
              <w:marLeft w:val="0"/>
              <w:marRight w:val="0"/>
              <w:marTop w:val="0"/>
              <w:marBottom w:val="0"/>
              <w:divBdr>
                <w:top w:val="none" w:sz="0" w:space="0" w:color="auto"/>
                <w:left w:val="none" w:sz="0" w:space="0" w:color="auto"/>
                <w:bottom w:val="none" w:sz="0" w:space="0" w:color="auto"/>
                <w:right w:val="none" w:sz="0" w:space="0" w:color="auto"/>
              </w:divBdr>
            </w:div>
            <w:div w:id="1654066788">
              <w:marLeft w:val="0"/>
              <w:marRight w:val="0"/>
              <w:marTop w:val="0"/>
              <w:marBottom w:val="0"/>
              <w:divBdr>
                <w:top w:val="none" w:sz="0" w:space="0" w:color="auto"/>
                <w:left w:val="none" w:sz="0" w:space="0" w:color="auto"/>
                <w:bottom w:val="none" w:sz="0" w:space="0" w:color="auto"/>
                <w:right w:val="none" w:sz="0" w:space="0" w:color="auto"/>
              </w:divBdr>
            </w:div>
            <w:div w:id="1823230333">
              <w:marLeft w:val="0"/>
              <w:marRight w:val="0"/>
              <w:marTop w:val="0"/>
              <w:marBottom w:val="0"/>
              <w:divBdr>
                <w:top w:val="none" w:sz="0" w:space="0" w:color="auto"/>
                <w:left w:val="none" w:sz="0" w:space="0" w:color="auto"/>
                <w:bottom w:val="none" w:sz="0" w:space="0" w:color="auto"/>
                <w:right w:val="none" w:sz="0" w:space="0" w:color="auto"/>
              </w:divBdr>
            </w:div>
            <w:div w:id="1397774895">
              <w:marLeft w:val="0"/>
              <w:marRight w:val="0"/>
              <w:marTop w:val="0"/>
              <w:marBottom w:val="0"/>
              <w:divBdr>
                <w:top w:val="none" w:sz="0" w:space="0" w:color="auto"/>
                <w:left w:val="none" w:sz="0" w:space="0" w:color="auto"/>
                <w:bottom w:val="none" w:sz="0" w:space="0" w:color="auto"/>
                <w:right w:val="none" w:sz="0" w:space="0" w:color="auto"/>
              </w:divBdr>
            </w:div>
            <w:div w:id="1685128665">
              <w:marLeft w:val="0"/>
              <w:marRight w:val="0"/>
              <w:marTop w:val="0"/>
              <w:marBottom w:val="0"/>
              <w:divBdr>
                <w:top w:val="none" w:sz="0" w:space="0" w:color="auto"/>
                <w:left w:val="none" w:sz="0" w:space="0" w:color="auto"/>
                <w:bottom w:val="none" w:sz="0" w:space="0" w:color="auto"/>
                <w:right w:val="none" w:sz="0" w:space="0" w:color="auto"/>
              </w:divBdr>
            </w:div>
            <w:div w:id="1901134774">
              <w:marLeft w:val="0"/>
              <w:marRight w:val="0"/>
              <w:marTop w:val="0"/>
              <w:marBottom w:val="0"/>
              <w:divBdr>
                <w:top w:val="none" w:sz="0" w:space="0" w:color="auto"/>
                <w:left w:val="none" w:sz="0" w:space="0" w:color="auto"/>
                <w:bottom w:val="none" w:sz="0" w:space="0" w:color="auto"/>
                <w:right w:val="none" w:sz="0" w:space="0" w:color="auto"/>
              </w:divBdr>
            </w:div>
          </w:divsChild>
        </w:div>
        <w:div w:id="1840580550">
          <w:marLeft w:val="0"/>
          <w:marRight w:val="0"/>
          <w:marTop w:val="0"/>
          <w:marBottom w:val="0"/>
          <w:divBdr>
            <w:top w:val="none" w:sz="0" w:space="0" w:color="auto"/>
            <w:left w:val="none" w:sz="0" w:space="0" w:color="auto"/>
            <w:bottom w:val="none" w:sz="0" w:space="0" w:color="auto"/>
            <w:right w:val="none" w:sz="0" w:space="0" w:color="auto"/>
          </w:divBdr>
        </w:div>
        <w:div w:id="1012296127">
          <w:marLeft w:val="0"/>
          <w:marRight w:val="0"/>
          <w:marTop w:val="0"/>
          <w:marBottom w:val="0"/>
          <w:divBdr>
            <w:top w:val="none" w:sz="0" w:space="0" w:color="auto"/>
            <w:left w:val="none" w:sz="0" w:space="0" w:color="auto"/>
            <w:bottom w:val="none" w:sz="0" w:space="0" w:color="auto"/>
            <w:right w:val="none" w:sz="0" w:space="0" w:color="auto"/>
          </w:divBdr>
        </w:div>
        <w:div w:id="1561095929">
          <w:marLeft w:val="0"/>
          <w:marRight w:val="0"/>
          <w:marTop w:val="0"/>
          <w:marBottom w:val="0"/>
          <w:divBdr>
            <w:top w:val="none" w:sz="0" w:space="0" w:color="auto"/>
            <w:left w:val="none" w:sz="0" w:space="0" w:color="auto"/>
            <w:bottom w:val="none" w:sz="0" w:space="0" w:color="auto"/>
            <w:right w:val="none" w:sz="0" w:space="0" w:color="auto"/>
          </w:divBdr>
        </w:div>
        <w:div w:id="40063010">
          <w:marLeft w:val="0"/>
          <w:marRight w:val="0"/>
          <w:marTop w:val="0"/>
          <w:marBottom w:val="0"/>
          <w:divBdr>
            <w:top w:val="none" w:sz="0" w:space="0" w:color="auto"/>
            <w:left w:val="none" w:sz="0" w:space="0" w:color="auto"/>
            <w:bottom w:val="none" w:sz="0" w:space="0" w:color="auto"/>
            <w:right w:val="none" w:sz="0" w:space="0" w:color="auto"/>
          </w:divBdr>
        </w:div>
        <w:div w:id="963922749">
          <w:marLeft w:val="0"/>
          <w:marRight w:val="0"/>
          <w:marTop w:val="0"/>
          <w:marBottom w:val="0"/>
          <w:divBdr>
            <w:top w:val="none" w:sz="0" w:space="0" w:color="auto"/>
            <w:left w:val="none" w:sz="0" w:space="0" w:color="auto"/>
            <w:bottom w:val="none" w:sz="0" w:space="0" w:color="auto"/>
            <w:right w:val="none" w:sz="0" w:space="0" w:color="auto"/>
          </w:divBdr>
        </w:div>
        <w:div w:id="170068463">
          <w:marLeft w:val="0"/>
          <w:marRight w:val="0"/>
          <w:marTop w:val="0"/>
          <w:marBottom w:val="0"/>
          <w:divBdr>
            <w:top w:val="none" w:sz="0" w:space="0" w:color="auto"/>
            <w:left w:val="none" w:sz="0" w:space="0" w:color="auto"/>
            <w:bottom w:val="none" w:sz="0" w:space="0" w:color="auto"/>
            <w:right w:val="none" w:sz="0" w:space="0" w:color="auto"/>
          </w:divBdr>
        </w:div>
        <w:div w:id="827550882">
          <w:marLeft w:val="0"/>
          <w:marRight w:val="0"/>
          <w:marTop w:val="0"/>
          <w:marBottom w:val="0"/>
          <w:divBdr>
            <w:top w:val="none" w:sz="0" w:space="0" w:color="auto"/>
            <w:left w:val="none" w:sz="0" w:space="0" w:color="auto"/>
            <w:bottom w:val="none" w:sz="0" w:space="0" w:color="auto"/>
            <w:right w:val="none" w:sz="0" w:space="0" w:color="auto"/>
          </w:divBdr>
        </w:div>
        <w:div w:id="793983722">
          <w:marLeft w:val="0"/>
          <w:marRight w:val="0"/>
          <w:marTop w:val="0"/>
          <w:marBottom w:val="0"/>
          <w:divBdr>
            <w:top w:val="none" w:sz="0" w:space="0" w:color="auto"/>
            <w:left w:val="none" w:sz="0" w:space="0" w:color="auto"/>
            <w:bottom w:val="none" w:sz="0" w:space="0" w:color="auto"/>
            <w:right w:val="none" w:sz="0" w:space="0" w:color="auto"/>
          </w:divBdr>
        </w:div>
      </w:divsChild>
    </w:div>
    <w:div w:id="1387485824">
      <w:bodyDiv w:val="1"/>
      <w:marLeft w:val="0"/>
      <w:marRight w:val="0"/>
      <w:marTop w:val="0"/>
      <w:marBottom w:val="0"/>
      <w:divBdr>
        <w:top w:val="none" w:sz="0" w:space="0" w:color="auto"/>
        <w:left w:val="none" w:sz="0" w:space="0" w:color="auto"/>
        <w:bottom w:val="none" w:sz="0" w:space="0" w:color="auto"/>
        <w:right w:val="none" w:sz="0" w:space="0" w:color="auto"/>
      </w:divBdr>
      <w:divsChild>
        <w:div w:id="566189773">
          <w:marLeft w:val="0"/>
          <w:marRight w:val="0"/>
          <w:marTop w:val="0"/>
          <w:marBottom w:val="0"/>
          <w:divBdr>
            <w:top w:val="none" w:sz="0" w:space="0" w:color="auto"/>
            <w:left w:val="none" w:sz="0" w:space="0" w:color="auto"/>
            <w:bottom w:val="none" w:sz="0" w:space="0" w:color="auto"/>
            <w:right w:val="none" w:sz="0" w:space="0" w:color="auto"/>
          </w:divBdr>
          <w:divsChild>
            <w:div w:id="532116940">
              <w:marLeft w:val="0"/>
              <w:marRight w:val="0"/>
              <w:marTop w:val="0"/>
              <w:marBottom w:val="0"/>
              <w:divBdr>
                <w:top w:val="none" w:sz="0" w:space="0" w:color="auto"/>
                <w:left w:val="none" w:sz="0" w:space="0" w:color="auto"/>
                <w:bottom w:val="none" w:sz="0" w:space="0" w:color="auto"/>
                <w:right w:val="none" w:sz="0" w:space="0" w:color="auto"/>
              </w:divBdr>
            </w:div>
            <w:div w:id="866337719">
              <w:marLeft w:val="0"/>
              <w:marRight w:val="0"/>
              <w:marTop w:val="0"/>
              <w:marBottom w:val="0"/>
              <w:divBdr>
                <w:top w:val="none" w:sz="0" w:space="0" w:color="auto"/>
                <w:left w:val="none" w:sz="0" w:space="0" w:color="auto"/>
                <w:bottom w:val="none" w:sz="0" w:space="0" w:color="auto"/>
                <w:right w:val="none" w:sz="0" w:space="0" w:color="auto"/>
              </w:divBdr>
            </w:div>
            <w:div w:id="1365863192">
              <w:marLeft w:val="0"/>
              <w:marRight w:val="0"/>
              <w:marTop w:val="0"/>
              <w:marBottom w:val="0"/>
              <w:divBdr>
                <w:top w:val="none" w:sz="0" w:space="0" w:color="auto"/>
                <w:left w:val="none" w:sz="0" w:space="0" w:color="auto"/>
                <w:bottom w:val="none" w:sz="0" w:space="0" w:color="auto"/>
                <w:right w:val="none" w:sz="0" w:space="0" w:color="auto"/>
              </w:divBdr>
            </w:div>
            <w:div w:id="222259061">
              <w:marLeft w:val="0"/>
              <w:marRight w:val="0"/>
              <w:marTop w:val="0"/>
              <w:marBottom w:val="0"/>
              <w:divBdr>
                <w:top w:val="none" w:sz="0" w:space="0" w:color="auto"/>
                <w:left w:val="none" w:sz="0" w:space="0" w:color="auto"/>
                <w:bottom w:val="none" w:sz="0" w:space="0" w:color="auto"/>
                <w:right w:val="none" w:sz="0" w:space="0" w:color="auto"/>
              </w:divBdr>
            </w:div>
            <w:div w:id="722172749">
              <w:marLeft w:val="0"/>
              <w:marRight w:val="0"/>
              <w:marTop w:val="0"/>
              <w:marBottom w:val="0"/>
              <w:divBdr>
                <w:top w:val="none" w:sz="0" w:space="0" w:color="auto"/>
                <w:left w:val="none" w:sz="0" w:space="0" w:color="auto"/>
                <w:bottom w:val="none" w:sz="0" w:space="0" w:color="auto"/>
                <w:right w:val="none" w:sz="0" w:space="0" w:color="auto"/>
              </w:divBdr>
            </w:div>
            <w:div w:id="1620606177">
              <w:marLeft w:val="0"/>
              <w:marRight w:val="0"/>
              <w:marTop w:val="0"/>
              <w:marBottom w:val="0"/>
              <w:divBdr>
                <w:top w:val="none" w:sz="0" w:space="0" w:color="auto"/>
                <w:left w:val="none" w:sz="0" w:space="0" w:color="auto"/>
                <w:bottom w:val="none" w:sz="0" w:space="0" w:color="auto"/>
                <w:right w:val="none" w:sz="0" w:space="0" w:color="auto"/>
              </w:divBdr>
            </w:div>
            <w:div w:id="1653365373">
              <w:marLeft w:val="0"/>
              <w:marRight w:val="0"/>
              <w:marTop w:val="0"/>
              <w:marBottom w:val="0"/>
              <w:divBdr>
                <w:top w:val="none" w:sz="0" w:space="0" w:color="auto"/>
                <w:left w:val="none" w:sz="0" w:space="0" w:color="auto"/>
                <w:bottom w:val="none" w:sz="0" w:space="0" w:color="auto"/>
                <w:right w:val="none" w:sz="0" w:space="0" w:color="auto"/>
              </w:divBdr>
            </w:div>
            <w:div w:id="409232478">
              <w:marLeft w:val="0"/>
              <w:marRight w:val="0"/>
              <w:marTop w:val="0"/>
              <w:marBottom w:val="0"/>
              <w:divBdr>
                <w:top w:val="none" w:sz="0" w:space="0" w:color="auto"/>
                <w:left w:val="none" w:sz="0" w:space="0" w:color="auto"/>
                <w:bottom w:val="none" w:sz="0" w:space="0" w:color="auto"/>
                <w:right w:val="none" w:sz="0" w:space="0" w:color="auto"/>
              </w:divBdr>
            </w:div>
            <w:div w:id="527834263">
              <w:marLeft w:val="0"/>
              <w:marRight w:val="0"/>
              <w:marTop w:val="0"/>
              <w:marBottom w:val="0"/>
              <w:divBdr>
                <w:top w:val="none" w:sz="0" w:space="0" w:color="auto"/>
                <w:left w:val="none" w:sz="0" w:space="0" w:color="auto"/>
                <w:bottom w:val="none" w:sz="0" w:space="0" w:color="auto"/>
                <w:right w:val="none" w:sz="0" w:space="0" w:color="auto"/>
              </w:divBdr>
            </w:div>
            <w:div w:id="1367564386">
              <w:marLeft w:val="0"/>
              <w:marRight w:val="0"/>
              <w:marTop w:val="0"/>
              <w:marBottom w:val="0"/>
              <w:divBdr>
                <w:top w:val="none" w:sz="0" w:space="0" w:color="auto"/>
                <w:left w:val="none" w:sz="0" w:space="0" w:color="auto"/>
                <w:bottom w:val="none" w:sz="0" w:space="0" w:color="auto"/>
                <w:right w:val="none" w:sz="0" w:space="0" w:color="auto"/>
              </w:divBdr>
            </w:div>
            <w:div w:id="976881390">
              <w:marLeft w:val="0"/>
              <w:marRight w:val="0"/>
              <w:marTop w:val="0"/>
              <w:marBottom w:val="0"/>
              <w:divBdr>
                <w:top w:val="none" w:sz="0" w:space="0" w:color="auto"/>
                <w:left w:val="none" w:sz="0" w:space="0" w:color="auto"/>
                <w:bottom w:val="none" w:sz="0" w:space="0" w:color="auto"/>
                <w:right w:val="none" w:sz="0" w:space="0" w:color="auto"/>
              </w:divBdr>
            </w:div>
            <w:div w:id="1364280702">
              <w:marLeft w:val="0"/>
              <w:marRight w:val="0"/>
              <w:marTop w:val="0"/>
              <w:marBottom w:val="0"/>
              <w:divBdr>
                <w:top w:val="none" w:sz="0" w:space="0" w:color="auto"/>
                <w:left w:val="none" w:sz="0" w:space="0" w:color="auto"/>
                <w:bottom w:val="none" w:sz="0" w:space="0" w:color="auto"/>
                <w:right w:val="none" w:sz="0" w:space="0" w:color="auto"/>
              </w:divBdr>
            </w:div>
            <w:div w:id="508907719">
              <w:marLeft w:val="0"/>
              <w:marRight w:val="0"/>
              <w:marTop w:val="0"/>
              <w:marBottom w:val="0"/>
              <w:divBdr>
                <w:top w:val="none" w:sz="0" w:space="0" w:color="auto"/>
                <w:left w:val="none" w:sz="0" w:space="0" w:color="auto"/>
                <w:bottom w:val="none" w:sz="0" w:space="0" w:color="auto"/>
                <w:right w:val="none" w:sz="0" w:space="0" w:color="auto"/>
              </w:divBdr>
            </w:div>
            <w:div w:id="9331766">
              <w:marLeft w:val="0"/>
              <w:marRight w:val="0"/>
              <w:marTop w:val="0"/>
              <w:marBottom w:val="0"/>
              <w:divBdr>
                <w:top w:val="none" w:sz="0" w:space="0" w:color="auto"/>
                <w:left w:val="none" w:sz="0" w:space="0" w:color="auto"/>
                <w:bottom w:val="none" w:sz="0" w:space="0" w:color="auto"/>
                <w:right w:val="none" w:sz="0" w:space="0" w:color="auto"/>
              </w:divBdr>
            </w:div>
            <w:div w:id="1596748781">
              <w:marLeft w:val="0"/>
              <w:marRight w:val="0"/>
              <w:marTop w:val="0"/>
              <w:marBottom w:val="0"/>
              <w:divBdr>
                <w:top w:val="none" w:sz="0" w:space="0" w:color="auto"/>
                <w:left w:val="none" w:sz="0" w:space="0" w:color="auto"/>
                <w:bottom w:val="none" w:sz="0" w:space="0" w:color="auto"/>
                <w:right w:val="none" w:sz="0" w:space="0" w:color="auto"/>
              </w:divBdr>
            </w:div>
            <w:div w:id="830099175">
              <w:marLeft w:val="0"/>
              <w:marRight w:val="0"/>
              <w:marTop w:val="0"/>
              <w:marBottom w:val="0"/>
              <w:divBdr>
                <w:top w:val="none" w:sz="0" w:space="0" w:color="auto"/>
                <w:left w:val="none" w:sz="0" w:space="0" w:color="auto"/>
                <w:bottom w:val="none" w:sz="0" w:space="0" w:color="auto"/>
                <w:right w:val="none" w:sz="0" w:space="0" w:color="auto"/>
              </w:divBdr>
            </w:div>
            <w:div w:id="777870138">
              <w:marLeft w:val="0"/>
              <w:marRight w:val="0"/>
              <w:marTop w:val="0"/>
              <w:marBottom w:val="0"/>
              <w:divBdr>
                <w:top w:val="none" w:sz="0" w:space="0" w:color="auto"/>
                <w:left w:val="none" w:sz="0" w:space="0" w:color="auto"/>
                <w:bottom w:val="none" w:sz="0" w:space="0" w:color="auto"/>
                <w:right w:val="none" w:sz="0" w:space="0" w:color="auto"/>
              </w:divBdr>
            </w:div>
            <w:div w:id="1773354630">
              <w:marLeft w:val="0"/>
              <w:marRight w:val="0"/>
              <w:marTop w:val="0"/>
              <w:marBottom w:val="0"/>
              <w:divBdr>
                <w:top w:val="none" w:sz="0" w:space="0" w:color="auto"/>
                <w:left w:val="none" w:sz="0" w:space="0" w:color="auto"/>
                <w:bottom w:val="none" w:sz="0" w:space="0" w:color="auto"/>
                <w:right w:val="none" w:sz="0" w:space="0" w:color="auto"/>
              </w:divBdr>
            </w:div>
            <w:div w:id="816921186">
              <w:marLeft w:val="0"/>
              <w:marRight w:val="0"/>
              <w:marTop w:val="0"/>
              <w:marBottom w:val="0"/>
              <w:divBdr>
                <w:top w:val="none" w:sz="0" w:space="0" w:color="auto"/>
                <w:left w:val="none" w:sz="0" w:space="0" w:color="auto"/>
                <w:bottom w:val="none" w:sz="0" w:space="0" w:color="auto"/>
                <w:right w:val="none" w:sz="0" w:space="0" w:color="auto"/>
              </w:divBdr>
            </w:div>
            <w:div w:id="1345783909">
              <w:marLeft w:val="0"/>
              <w:marRight w:val="0"/>
              <w:marTop w:val="0"/>
              <w:marBottom w:val="0"/>
              <w:divBdr>
                <w:top w:val="none" w:sz="0" w:space="0" w:color="auto"/>
                <w:left w:val="none" w:sz="0" w:space="0" w:color="auto"/>
                <w:bottom w:val="none" w:sz="0" w:space="0" w:color="auto"/>
                <w:right w:val="none" w:sz="0" w:space="0" w:color="auto"/>
              </w:divBdr>
            </w:div>
          </w:divsChild>
        </w:div>
        <w:div w:id="155197337">
          <w:marLeft w:val="0"/>
          <w:marRight w:val="0"/>
          <w:marTop w:val="0"/>
          <w:marBottom w:val="0"/>
          <w:divBdr>
            <w:top w:val="none" w:sz="0" w:space="0" w:color="auto"/>
            <w:left w:val="none" w:sz="0" w:space="0" w:color="auto"/>
            <w:bottom w:val="none" w:sz="0" w:space="0" w:color="auto"/>
            <w:right w:val="none" w:sz="0" w:space="0" w:color="auto"/>
          </w:divBdr>
        </w:div>
        <w:div w:id="990714165">
          <w:marLeft w:val="0"/>
          <w:marRight w:val="0"/>
          <w:marTop w:val="0"/>
          <w:marBottom w:val="0"/>
          <w:divBdr>
            <w:top w:val="none" w:sz="0" w:space="0" w:color="auto"/>
            <w:left w:val="none" w:sz="0" w:space="0" w:color="auto"/>
            <w:bottom w:val="none" w:sz="0" w:space="0" w:color="auto"/>
            <w:right w:val="none" w:sz="0" w:space="0" w:color="auto"/>
          </w:divBdr>
        </w:div>
        <w:div w:id="274792931">
          <w:marLeft w:val="0"/>
          <w:marRight w:val="0"/>
          <w:marTop w:val="0"/>
          <w:marBottom w:val="0"/>
          <w:divBdr>
            <w:top w:val="none" w:sz="0" w:space="0" w:color="auto"/>
            <w:left w:val="none" w:sz="0" w:space="0" w:color="auto"/>
            <w:bottom w:val="none" w:sz="0" w:space="0" w:color="auto"/>
            <w:right w:val="none" w:sz="0" w:space="0" w:color="auto"/>
          </w:divBdr>
        </w:div>
        <w:div w:id="2001276871">
          <w:marLeft w:val="0"/>
          <w:marRight w:val="0"/>
          <w:marTop w:val="0"/>
          <w:marBottom w:val="0"/>
          <w:divBdr>
            <w:top w:val="none" w:sz="0" w:space="0" w:color="auto"/>
            <w:left w:val="none" w:sz="0" w:space="0" w:color="auto"/>
            <w:bottom w:val="none" w:sz="0" w:space="0" w:color="auto"/>
            <w:right w:val="none" w:sz="0" w:space="0" w:color="auto"/>
          </w:divBdr>
        </w:div>
        <w:div w:id="1167134261">
          <w:marLeft w:val="0"/>
          <w:marRight w:val="0"/>
          <w:marTop w:val="0"/>
          <w:marBottom w:val="0"/>
          <w:divBdr>
            <w:top w:val="none" w:sz="0" w:space="0" w:color="auto"/>
            <w:left w:val="none" w:sz="0" w:space="0" w:color="auto"/>
            <w:bottom w:val="none" w:sz="0" w:space="0" w:color="auto"/>
            <w:right w:val="none" w:sz="0" w:space="0" w:color="auto"/>
          </w:divBdr>
        </w:div>
        <w:div w:id="436868434">
          <w:marLeft w:val="0"/>
          <w:marRight w:val="0"/>
          <w:marTop w:val="0"/>
          <w:marBottom w:val="0"/>
          <w:divBdr>
            <w:top w:val="none" w:sz="0" w:space="0" w:color="auto"/>
            <w:left w:val="none" w:sz="0" w:space="0" w:color="auto"/>
            <w:bottom w:val="none" w:sz="0" w:space="0" w:color="auto"/>
            <w:right w:val="none" w:sz="0" w:space="0" w:color="auto"/>
          </w:divBdr>
        </w:div>
        <w:div w:id="1878851599">
          <w:marLeft w:val="0"/>
          <w:marRight w:val="0"/>
          <w:marTop w:val="0"/>
          <w:marBottom w:val="0"/>
          <w:divBdr>
            <w:top w:val="none" w:sz="0" w:space="0" w:color="auto"/>
            <w:left w:val="none" w:sz="0" w:space="0" w:color="auto"/>
            <w:bottom w:val="none" w:sz="0" w:space="0" w:color="auto"/>
            <w:right w:val="none" w:sz="0" w:space="0" w:color="auto"/>
          </w:divBdr>
        </w:div>
        <w:div w:id="1374575124">
          <w:marLeft w:val="0"/>
          <w:marRight w:val="0"/>
          <w:marTop w:val="0"/>
          <w:marBottom w:val="0"/>
          <w:divBdr>
            <w:top w:val="none" w:sz="0" w:space="0" w:color="auto"/>
            <w:left w:val="none" w:sz="0" w:space="0" w:color="auto"/>
            <w:bottom w:val="none" w:sz="0" w:space="0" w:color="auto"/>
            <w:right w:val="none" w:sz="0" w:space="0" w:color="auto"/>
          </w:divBdr>
        </w:div>
      </w:divsChild>
    </w:div>
    <w:div w:id="1982298401">
      <w:bodyDiv w:val="1"/>
      <w:marLeft w:val="0"/>
      <w:marRight w:val="0"/>
      <w:marTop w:val="0"/>
      <w:marBottom w:val="0"/>
      <w:divBdr>
        <w:top w:val="none" w:sz="0" w:space="0" w:color="auto"/>
        <w:left w:val="none" w:sz="0" w:space="0" w:color="auto"/>
        <w:bottom w:val="none" w:sz="0" w:space="0" w:color="auto"/>
        <w:right w:val="none" w:sz="0" w:space="0" w:color="auto"/>
      </w:divBdr>
      <w:divsChild>
        <w:div w:id="1252659796">
          <w:marLeft w:val="0"/>
          <w:marRight w:val="0"/>
          <w:marTop w:val="0"/>
          <w:marBottom w:val="0"/>
          <w:divBdr>
            <w:top w:val="none" w:sz="0" w:space="0" w:color="auto"/>
            <w:left w:val="none" w:sz="0" w:space="0" w:color="auto"/>
            <w:bottom w:val="none" w:sz="0" w:space="0" w:color="auto"/>
            <w:right w:val="none" w:sz="0" w:space="0" w:color="auto"/>
          </w:divBdr>
          <w:divsChild>
            <w:div w:id="325329250">
              <w:marLeft w:val="0"/>
              <w:marRight w:val="0"/>
              <w:marTop w:val="0"/>
              <w:marBottom w:val="0"/>
              <w:divBdr>
                <w:top w:val="none" w:sz="0" w:space="0" w:color="auto"/>
                <w:left w:val="none" w:sz="0" w:space="0" w:color="auto"/>
                <w:bottom w:val="none" w:sz="0" w:space="0" w:color="auto"/>
                <w:right w:val="none" w:sz="0" w:space="0" w:color="auto"/>
              </w:divBdr>
            </w:div>
            <w:div w:id="766924635">
              <w:marLeft w:val="0"/>
              <w:marRight w:val="0"/>
              <w:marTop w:val="0"/>
              <w:marBottom w:val="0"/>
              <w:divBdr>
                <w:top w:val="none" w:sz="0" w:space="0" w:color="auto"/>
                <w:left w:val="none" w:sz="0" w:space="0" w:color="auto"/>
                <w:bottom w:val="none" w:sz="0" w:space="0" w:color="auto"/>
                <w:right w:val="none" w:sz="0" w:space="0" w:color="auto"/>
              </w:divBdr>
            </w:div>
            <w:div w:id="1742411862">
              <w:marLeft w:val="0"/>
              <w:marRight w:val="0"/>
              <w:marTop w:val="0"/>
              <w:marBottom w:val="0"/>
              <w:divBdr>
                <w:top w:val="none" w:sz="0" w:space="0" w:color="auto"/>
                <w:left w:val="none" w:sz="0" w:space="0" w:color="auto"/>
                <w:bottom w:val="none" w:sz="0" w:space="0" w:color="auto"/>
                <w:right w:val="none" w:sz="0" w:space="0" w:color="auto"/>
              </w:divBdr>
            </w:div>
            <w:div w:id="633174811">
              <w:marLeft w:val="0"/>
              <w:marRight w:val="0"/>
              <w:marTop w:val="0"/>
              <w:marBottom w:val="0"/>
              <w:divBdr>
                <w:top w:val="none" w:sz="0" w:space="0" w:color="auto"/>
                <w:left w:val="none" w:sz="0" w:space="0" w:color="auto"/>
                <w:bottom w:val="none" w:sz="0" w:space="0" w:color="auto"/>
                <w:right w:val="none" w:sz="0" w:space="0" w:color="auto"/>
              </w:divBdr>
            </w:div>
            <w:div w:id="1667904160">
              <w:marLeft w:val="0"/>
              <w:marRight w:val="0"/>
              <w:marTop w:val="0"/>
              <w:marBottom w:val="0"/>
              <w:divBdr>
                <w:top w:val="none" w:sz="0" w:space="0" w:color="auto"/>
                <w:left w:val="none" w:sz="0" w:space="0" w:color="auto"/>
                <w:bottom w:val="none" w:sz="0" w:space="0" w:color="auto"/>
                <w:right w:val="none" w:sz="0" w:space="0" w:color="auto"/>
              </w:divBdr>
            </w:div>
            <w:div w:id="813445314">
              <w:marLeft w:val="0"/>
              <w:marRight w:val="0"/>
              <w:marTop w:val="0"/>
              <w:marBottom w:val="0"/>
              <w:divBdr>
                <w:top w:val="none" w:sz="0" w:space="0" w:color="auto"/>
                <w:left w:val="none" w:sz="0" w:space="0" w:color="auto"/>
                <w:bottom w:val="none" w:sz="0" w:space="0" w:color="auto"/>
                <w:right w:val="none" w:sz="0" w:space="0" w:color="auto"/>
              </w:divBdr>
            </w:div>
            <w:div w:id="145781632">
              <w:marLeft w:val="0"/>
              <w:marRight w:val="0"/>
              <w:marTop w:val="0"/>
              <w:marBottom w:val="0"/>
              <w:divBdr>
                <w:top w:val="none" w:sz="0" w:space="0" w:color="auto"/>
                <w:left w:val="none" w:sz="0" w:space="0" w:color="auto"/>
                <w:bottom w:val="none" w:sz="0" w:space="0" w:color="auto"/>
                <w:right w:val="none" w:sz="0" w:space="0" w:color="auto"/>
              </w:divBdr>
            </w:div>
            <w:div w:id="232593110">
              <w:marLeft w:val="0"/>
              <w:marRight w:val="0"/>
              <w:marTop w:val="0"/>
              <w:marBottom w:val="0"/>
              <w:divBdr>
                <w:top w:val="none" w:sz="0" w:space="0" w:color="auto"/>
                <w:left w:val="none" w:sz="0" w:space="0" w:color="auto"/>
                <w:bottom w:val="none" w:sz="0" w:space="0" w:color="auto"/>
                <w:right w:val="none" w:sz="0" w:space="0" w:color="auto"/>
              </w:divBdr>
            </w:div>
            <w:div w:id="770055279">
              <w:marLeft w:val="0"/>
              <w:marRight w:val="0"/>
              <w:marTop w:val="0"/>
              <w:marBottom w:val="0"/>
              <w:divBdr>
                <w:top w:val="none" w:sz="0" w:space="0" w:color="auto"/>
                <w:left w:val="none" w:sz="0" w:space="0" w:color="auto"/>
                <w:bottom w:val="none" w:sz="0" w:space="0" w:color="auto"/>
                <w:right w:val="none" w:sz="0" w:space="0" w:color="auto"/>
              </w:divBdr>
            </w:div>
            <w:div w:id="1365519042">
              <w:marLeft w:val="0"/>
              <w:marRight w:val="0"/>
              <w:marTop w:val="0"/>
              <w:marBottom w:val="0"/>
              <w:divBdr>
                <w:top w:val="none" w:sz="0" w:space="0" w:color="auto"/>
                <w:left w:val="none" w:sz="0" w:space="0" w:color="auto"/>
                <w:bottom w:val="none" w:sz="0" w:space="0" w:color="auto"/>
                <w:right w:val="none" w:sz="0" w:space="0" w:color="auto"/>
              </w:divBdr>
            </w:div>
            <w:div w:id="1467233938">
              <w:marLeft w:val="0"/>
              <w:marRight w:val="0"/>
              <w:marTop w:val="0"/>
              <w:marBottom w:val="0"/>
              <w:divBdr>
                <w:top w:val="none" w:sz="0" w:space="0" w:color="auto"/>
                <w:left w:val="none" w:sz="0" w:space="0" w:color="auto"/>
                <w:bottom w:val="none" w:sz="0" w:space="0" w:color="auto"/>
                <w:right w:val="none" w:sz="0" w:space="0" w:color="auto"/>
              </w:divBdr>
            </w:div>
            <w:div w:id="553663971">
              <w:marLeft w:val="0"/>
              <w:marRight w:val="0"/>
              <w:marTop w:val="0"/>
              <w:marBottom w:val="0"/>
              <w:divBdr>
                <w:top w:val="none" w:sz="0" w:space="0" w:color="auto"/>
                <w:left w:val="none" w:sz="0" w:space="0" w:color="auto"/>
                <w:bottom w:val="none" w:sz="0" w:space="0" w:color="auto"/>
                <w:right w:val="none" w:sz="0" w:space="0" w:color="auto"/>
              </w:divBdr>
            </w:div>
            <w:div w:id="1216506198">
              <w:marLeft w:val="0"/>
              <w:marRight w:val="0"/>
              <w:marTop w:val="0"/>
              <w:marBottom w:val="0"/>
              <w:divBdr>
                <w:top w:val="none" w:sz="0" w:space="0" w:color="auto"/>
                <w:left w:val="none" w:sz="0" w:space="0" w:color="auto"/>
                <w:bottom w:val="none" w:sz="0" w:space="0" w:color="auto"/>
                <w:right w:val="none" w:sz="0" w:space="0" w:color="auto"/>
              </w:divBdr>
            </w:div>
            <w:div w:id="754668078">
              <w:marLeft w:val="0"/>
              <w:marRight w:val="0"/>
              <w:marTop w:val="0"/>
              <w:marBottom w:val="0"/>
              <w:divBdr>
                <w:top w:val="none" w:sz="0" w:space="0" w:color="auto"/>
                <w:left w:val="none" w:sz="0" w:space="0" w:color="auto"/>
                <w:bottom w:val="none" w:sz="0" w:space="0" w:color="auto"/>
                <w:right w:val="none" w:sz="0" w:space="0" w:color="auto"/>
              </w:divBdr>
            </w:div>
            <w:div w:id="686440795">
              <w:marLeft w:val="0"/>
              <w:marRight w:val="0"/>
              <w:marTop w:val="0"/>
              <w:marBottom w:val="0"/>
              <w:divBdr>
                <w:top w:val="none" w:sz="0" w:space="0" w:color="auto"/>
                <w:left w:val="none" w:sz="0" w:space="0" w:color="auto"/>
                <w:bottom w:val="none" w:sz="0" w:space="0" w:color="auto"/>
                <w:right w:val="none" w:sz="0" w:space="0" w:color="auto"/>
              </w:divBdr>
            </w:div>
            <w:div w:id="544685369">
              <w:marLeft w:val="0"/>
              <w:marRight w:val="0"/>
              <w:marTop w:val="0"/>
              <w:marBottom w:val="0"/>
              <w:divBdr>
                <w:top w:val="none" w:sz="0" w:space="0" w:color="auto"/>
                <w:left w:val="none" w:sz="0" w:space="0" w:color="auto"/>
                <w:bottom w:val="none" w:sz="0" w:space="0" w:color="auto"/>
                <w:right w:val="none" w:sz="0" w:space="0" w:color="auto"/>
              </w:divBdr>
            </w:div>
            <w:div w:id="1347245886">
              <w:marLeft w:val="0"/>
              <w:marRight w:val="0"/>
              <w:marTop w:val="0"/>
              <w:marBottom w:val="0"/>
              <w:divBdr>
                <w:top w:val="none" w:sz="0" w:space="0" w:color="auto"/>
                <w:left w:val="none" w:sz="0" w:space="0" w:color="auto"/>
                <w:bottom w:val="none" w:sz="0" w:space="0" w:color="auto"/>
                <w:right w:val="none" w:sz="0" w:space="0" w:color="auto"/>
              </w:divBdr>
            </w:div>
            <w:div w:id="122580239">
              <w:marLeft w:val="0"/>
              <w:marRight w:val="0"/>
              <w:marTop w:val="0"/>
              <w:marBottom w:val="0"/>
              <w:divBdr>
                <w:top w:val="none" w:sz="0" w:space="0" w:color="auto"/>
                <w:left w:val="none" w:sz="0" w:space="0" w:color="auto"/>
                <w:bottom w:val="none" w:sz="0" w:space="0" w:color="auto"/>
                <w:right w:val="none" w:sz="0" w:space="0" w:color="auto"/>
              </w:divBdr>
            </w:div>
            <w:div w:id="1318637">
              <w:marLeft w:val="0"/>
              <w:marRight w:val="0"/>
              <w:marTop w:val="0"/>
              <w:marBottom w:val="0"/>
              <w:divBdr>
                <w:top w:val="none" w:sz="0" w:space="0" w:color="auto"/>
                <w:left w:val="none" w:sz="0" w:space="0" w:color="auto"/>
                <w:bottom w:val="none" w:sz="0" w:space="0" w:color="auto"/>
                <w:right w:val="none" w:sz="0" w:space="0" w:color="auto"/>
              </w:divBdr>
            </w:div>
            <w:div w:id="135027513">
              <w:marLeft w:val="0"/>
              <w:marRight w:val="0"/>
              <w:marTop w:val="0"/>
              <w:marBottom w:val="0"/>
              <w:divBdr>
                <w:top w:val="none" w:sz="0" w:space="0" w:color="auto"/>
                <w:left w:val="none" w:sz="0" w:space="0" w:color="auto"/>
                <w:bottom w:val="none" w:sz="0" w:space="0" w:color="auto"/>
                <w:right w:val="none" w:sz="0" w:space="0" w:color="auto"/>
              </w:divBdr>
            </w:div>
          </w:divsChild>
        </w:div>
        <w:div w:id="1075279007">
          <w:marLeft w:val="0"/>
          <w:marRight w:val="0"/>
          <w:marTop w:val="0"/>
          <w:marBottom w:val="0"/>
          <w:divBdr>
            <w:top w:val="none" w:sz="0" w:space="0" w:color="auto"/>
            <w:left w:val="none" w:sz="0" w:space="0" w:color="auto"/>
            <w:bottom w:val="none" w:sz="0" w:space="0" w:color="auto"/>
            <w:right w:val="none" w:sz="0" w:space="0" w:color="auto"/>
          </w:divBdr>
        </w:div>
        <w:div w:id="329136980">
          <w:marLeft w:val="0"/>
          <w:marRight w:val="0"/>
          <w:marTop w:val="0"/>
          <w:marBottom w:val="0"/>
          <w:divBdr>
            <w:top w:val="none" w:sz="0" w:space="0" w:color="auto"/>
            <w:left w:val="none" w:sz="0" w:space="0" w:color="auto"/>
            <w:bottom w:val="none" w:sz="0" w:space="0" w:color="auto"/>
            <w:right w:val="none" w:sz="0" w:space="0" w:color="auto"/>
          </w:divBdr>
        </w:div>
        <w:div w:id="642201394">
          <w:marLeft w:val="0"/>
          <w:marRight w:val="0"/>
          <w:marTop w:val="0"/>
          <w:marBottom w:val="0"/>
          <w:divBdr>
            <w:top w:val="none" w:sz="0" w:space="0" w:color="auto"/>
            <w:left w:val="none" w:sz="0" w:space="0" w:color="auto"/>
            <w:bottom w:val="none" w:sz="0" w:space="0" w:color="auto"/>
            <w:right w:val="none" w:sz="0" w:space="0" w:color="auto"/>
          </w:divBdr>
        </w:div>
        <w:div w:id="614098155">
          <w:marLeft w:val="0"/>
          <w:marRight w:val="0"/>
          <w:marTop w:val="0"/>
          <w:marBottom w:val="0"/>
          <w:divBdr>
            <w:top w:val="none" w:sz="0" w:space="0" w:color="auto"/>
            <w:left w:val="none" w:sz="0" w:space="0" w:color="auto"/>
            <w:bottom w:val="none" w:sz="0" w:space="0" w:color="auto"/>
            <w:right w:val="none" w:sz="0" w:space="0" w:color="auto"/>
          </w:divBdr>
        </w:div>
        <w:div w:id="909273952">
          <w:marLeft w:val="0"/>
          <w:marRight w:val="0"/>
          <w:marTop w:val="0"/>
          <w:marBottom w:val="0"/>
          <w:divBdr>
            <w:top w:val="none" w:sz="0" w:space="0" w:color="auto"/>
            <w:left w:val="none" w:sz="0" w:space="0" w:color="auto"/>
            <w:bottom w:val="none" w:sz="0" w:space="0" w:color="auto"/>
            <w:right w:val="none" w:sz="0" w:space="0" w:color="auto"/>
          </w:divBdr>
        </w:div>
        <w:div w:id="1766226570">
          <w:marLeft w:val="0"/>
          <w:marRight w:val="0"/>
          <w:marTop w:val="0"/>
          <w:marBottom w:val="0"/>
          <w:divBdr>
            <w:top w:val="none" w:sz="0" w:space="0" w:color="auto"/>
            <w:left w:val="none" w:sz="0" w:space="0" w:color="auto"/>
            <w:bottom w:val="none" w:sz="0" w:space="0" w:color="auto"/>
            <w:right w:val="none" w:sz="0" w:space="0" w:color="auto"/>
          </w:divBdr>
        </w:div>
        <w:div w:id="693918320">
          <w:marLeft w:val="0"/>
          <w:marRight w:val="0"/>
          <w:marTop w:val="0"/>
          <w:marBottom w:val="0"/>
          <w:divBdr>
            <w:top w:val="none" w:sz="0" w:space="0" w:color="auto"/>
            <w:left w:val="none" w:sz="0" w:space="0" w:color="auto"/>
            <w:bottom w:val="none" w:sz="0" w:space="0" w:color="auto"/>
            <w:right w:val="none" w:sz="0" w:space="0" w:color="auto"/>
          </w:divBdr>
        </w:div>
        <w:div w:id="5823028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EC32-CFA3-487C-ADB6-9B6810C7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Pages>
  <Words>283</Words>
  <Characters>1817</Characters>
  <Application>Microsoft Office Word</Application>
  <DocSecurity>0</DocSecurity>
  <Lines>45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McCann</dc:creator>
  <cp:keywords/>
  <cp:lastModifiedBy>Dan McCann</cp:lastModifiedBy>
  <cp:revision>131</cp:revision>
  <dcterms:created xsi:type="dcterms:W3CDTF">2025-12-27T17:49:00Z</dcterms:created>
  <dcterms:modified xsi:type="dcterms:W3CDTF">2025-12-27T22:23:00Z</dcterms:modified>
</cp:coreProperties>
</file>