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95D8DE" w14:textId="795DFFE3" w:rsidR="00BD69F7" w:rsidRDefault="001B11C7" w:rsidP="00D56677">
      <w:pPr>
        <w:jc w:val="center"/>
        <w:rPr>
          <w:rFonts w:ascii="Proxima Nova" w:eastAsia="Proxima Nova" w:hAnsi="Proxima Nova" w:cs="Proxima Nova"/>
          <w:b/>
          <w:sz w:val="24"/>
          <w:szCs w:val="24"/>
        </w:rPr>
      </w:pPr>
      <w:r>
        <w:rPr>
          <w:rFonts w:ascii="Proxima Nova" w:eastAsia="Proxima Nova" w:hAnsi="Proxima Nova" w:cs="Proxima Nova"/>
          <w:b/>
          <w:noProof/>
          <w:sz w:val="24"/>
          <w:szCs w:val="24"/>
        </w:rPr>
        <w:drawing>
          <wp:anchor distT="0" distB="0" distL="114300" distR="114300" simplePos="0" relativeHeight="251658240" behindDoc="1" locked="0" layoutInCell="1" allowOverlap="1" wp14:anchorId="19A1F7E2" wp14:editId="01C1C04A">
            <wp:simplePos x="0" y="0"/>
            <wp:positionH relativeFrom="column">
              <wp:posOffset>-988542</wp:posOffset>
            </wp:positionH>
            <wp:positionV relativeFrom="page">
              <wp:posOffset>-61784</wp:posOffset>
            </wp:positionV>
            <wp:extent cx="7685903" cy="10799214"/>
            <wp:effectExtent l="0" t="0" r="0" b="2540"/>
            <wp:wrapNone/>
            <wp:docPr id="193914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49105"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87684" cy="10801717"/>
                    </a:xfrm>
                    <a:prstGeom prst="rect">
                      <a:avLst/>
                    </a:prstGeom>
                  </pic:spPr>
                </pic:pic>
              </a:graphicData>
            </a:graphic>
            <wp14:sizeRelH relativeFrom="margin">
              <wp14:pctWidth>0</wp14:pctWidth>
            </wp14:sizeRelH>
            <wp14:sizeRelV relativeFrom="margin">
              <wp14:pctHeight>0</wp14:pctHeight>
            </wp14:sizeRelV>
          </wp:anchor>
        </w:drawing>
      </w:r>
      <w:r w:rsidR="00BD69F7">
        <w:rPr>
          <w:rFonts w:ascii="Proxima Nova" w:eastAsia="Proxima Nova" w:hAnsi="Proxima Nova" w:cs="Proxima Nova"/>
          <w:b/>
          <w:noProof/>
          <w:sz w:val="24"/>
          <w:szCs w:val="24"/>
        </w:rPr>
        <w:drawing>
          <wp:anchor distT="0" distB="0" distL="114300" distR="114300" simplePos="0" relativeHeight="251659264" behindDoc="1" locked="0" layoutInCell="1" allowOverlap="1" wp14:anchorId="450023E4" wp14:editId="28F377E9">
            <wp:simplePos x="0" y="0"/>
            <wp:positionH relativeFrom="column">
              <wp:posOffset>2296795</wp:posOffset>
            </wp:positionH>
            <wp:positionV relativeFrom="page">
              <wp:posOffset>741045</wp:posOffset>
            </wp:positionV>
            <wp:extent cx="1111885" cy="1111885"/>
            <wp:effectExtent l="0" t="0" r="0" b="0"/>
            <wp:wrapNone/>
            <wp:docPr id="2000786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86049" name="Picture 20007860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11885" cy="1111885"/>
                    </a:xfrm>
                    <a:prstGeom prst="rect">
                      <a:avLst/>
                    </a:prstGeom>
                  </pic:spPr>
                </pic:pic>
              </a:graphicData>
            </a:graphic>
            <wp14:sizeRelH relativeFrom="margin">
              <wp14:pctWidth>0</wp14:pctWidth>
            </wp14:sizeRelH>
            <wp14:sizeRelV relativeFrom="margin">
              <wp14:pctHeight>0</wp14:pctHeight>
            </wp14:sizeRelV>
          </wp:anchor>
        </w:drawing>
      </w:r>
    </w:p>
    <w:p w14:paraId="08E70AF9" w14:textId="77777777" w:rsidR="00BD69F7" w:rsidRDefault="00BD69F7" w:rsidP="00D56677">
      <w:pPr>
        <w:jc w:val="center"/>
        <w:rPr>
          <w:rFonts w:ascii="Proxima Nova" w:eastAsia="Proxima Nova" w:hAnsi="Proxima Nova" w:cs="Proxima Nova"/>
          <w:b/>
          <w:sz w:val="24"/>
          <w:szCs w:val="24"/>
        </w:rPr>
      </w:pPr>
    </w:p>
    <w:p w14:paraId="6EE70FDF" w14:textId="77777777" w:rsidR="00BD69F7" w:rsidRDefault="00BD69F7" w:rsidP="00D56677">
      <w:pPr>
        <w:jc w:val="center"/>
        <w:rPr>
          <w:rFonts w:ascii="Proxima Nova" w:eastAsia="Proxima Nova" w:hAnsi="Proxima Nova" w:cs="Proxima Nova"/>
          <w:b/>
          <w:sz w:val="24"/>
          <w:szCs w:val="24"/>
        </w:rPr>
      </w:pPr>
    </w:p>
    <w:p w14:paraId="3934F705" w14:textId="77777777" w:rsidR="00BD69F7" w:rsidRDefault="00BD69F7" w:rsidP="00D56677">
      <w:pPr>
        <w:jc w:val="center"/>
        <w:rPr>
          <w:rFonts w:ascii="Proxima Nova" w:eastAsia="Proxima Nova" w:hAnsi="Proxima Nova" w:cs="Proxima Nova"/>
          <w:b/>
          <w:sz w:val="24"/>
          <w:szCs w:val="24"/>
        </w:rPr>
      </w:pPr>
    </w:p>
    <w:p w14:paraId="4F02B2CE" w14:textId="77777777" w:rsidR="00BD69F7" w:rsidRDefault="00BD69F7" w:rsidP="00D56677">
      <w:pPr>
        <w:jc w:val="center"/>
        <w:rPr>
          <w:rFonts w:ascii="Proxima Nova" w:eastAsia="Proxima Nova" w:hAnsi="Proxima Nova" w:cs="Proxima Nova"/>
          <w:b/>
          <w:sz w:val="24"/>
          <w:szCs w:val="24"/>
        </w:rPr>
      </w:pPr>
    </w:p>
    <w:p w14:paraId="00000002" w14:textId="56DD0D8F" w:rsidR="00720D02" w:rsidRPr="008A040D" w:rsidRDefault="00BD69F7" w:rsidP="00D56677">
      <w:pPr>
        <w:jc w:val="center"/>
        <w:rPr>
          <w:rFonts w:ascii="Proxima Nova" w:eastAsia="Proxima Nova" w:hAnsi="Proxima Nova" w:cs="Proxima Nova"/>
          <w:b/>
          <w:color w:val="544568"/>
          <w:sz w:val="24"/>
          <w:szCs w:val="24"/>
        </w:rPr>
      </w:pPr>
      <w:r w:rsidRPr="008A040D">
        <w:rPr>
          <w:rFonts w:ascii="Proxima Nova" w:eastAsia="Proxima Nova" w:hAnsi="Proxima Nova" w:cs="Proxima Nova"/>
          <w:b/>
          <w:color w:val="544568"/>
          <w:sz w:val="24"/>
          <w:szCs w:val="24"/>
        </w:rPr>
        <w:t>Excellence University</w:t>
      </w:r>
    </w:p>
    <w:p w14:paraId="00000003" w14:textId="77777777" w:rsidR="00720D02" w:rsidRPr="00D56677" w:rsidRDefault="0073212B" w:rsidP="00D56677">
      <w:pPr>
        <w:jc w:val="center"/>
        <w:rPr>
          <w:rFonts w:ascii="Proxima Nova" w:eastAsia="Proxima Nova" w:hAnsi="Proxima Nova" w:cs="Proxima Nova"/>
          <w:sz w:val="24"/>
          <w:szCs w:val="24"/>
        </w:rPr>
      </w:pPr>
      <w:r w:rsidRPr="00D56677">
        <w:rPr>
          <w:rFonts w:ascii="Proxima Nova" w:eastAsia="Proxima Nova" w:hAnsi="Proxima Nova" w:cs="Proxima Nova"/>
          <w:sz w:val="24"/>
          <w:szCs w:val="24"/>
        </w:rPr>
        <w:t>San Diego, CA 92101</w:t>
      </w:r>
    </w:p>
    <w:p w14:paraId="00000004" w14:textId="77777777" w:rsidR="00720D02" w:rsidRPr="00D56677" w:rsidRDefault="0073212B" w:rsidP="00D56677">
      <w:pPr>
        <w:jc w:val="center"/>
        <w:rPr>
          <w:rFonts w:ascii="Proxima Nova" w:eastAsia="Proxima Nova" w:hAnsi="Proxima Nova" w:cs="Proxima Nova"/>
          <w:sz w:val="24"/>
          <w:szCs w:val="24"/>
        </w:rPr>
      </w:pPr>
      <w:r w:rsidRPr="00D56677">
        <w:rPr>
          <w:rFonts w:ascii="Proxima Nova" w:eastAsia="Proxima Nova" w:hAnsi="Proxima Nova" w:cs="Proxima Nova"/>
          <w:sz w:val="24"/>
          <w:szCs w:val="24"/>
        </w:rPr>
        <w:t>222 555 7777</w:t>
      </w:r>
    </w:p>
    <w:p w14:paraId="00000005" w14:textId="77777777" w:rsidR="00720D02" w:rsidRPr="00D56677" w:rsidRDefault="00720D02" w:rsidP="00D56677">
      <w:pPr>
        <w:rPr>
          <w:rFonts w:ascii="Proxima Nova" w:eastAsia="Proxima Nova" w:hAnsi="Proxima Nova" w:cs="Proxima Nova"/>
          <w:sz w:val="24"/>
          <w:szCs w:val="24"/>
        </w:rPr>
      </w:pPr>
    </w:p>
    <w:p w14:paraId="00000006" w14:textId="77777777" w:rsidR="00720D02" w:rsidRPr="00D56677" w:rsidRDefault="00720D02" w:rsidP="00D56677">
      <w:pPr>
        <w:rPr>
          <w:rFonts w:ascii="Proxima Nova" w:eastAsia="Proxima Nova" w:hAnsi="Proxima Nova" w:cs="Proxima Nova"/>
          <w:sz w:val="24"/>
          <w:szCs w:val="24"/>
        </w:rPr>
      </w:pPr>
    </w:p>
    <w:p w14:paraId="00000007" w14:textId="77777777" w:rsidR="00720D02" w:rsidRPr="00D56677" w:rsidRDefault="00720D02" w:rsidP="00D56677">
      <w:pPr>
        <w:rPr>
          <w:rFonts w:ascii="Proxima Nova" w:eastAsia="Proxima Nova" w:hAnsi="Proxima Nova" w:cs="Proxima Nova"/>
          <w:sz w:val="24"/>
          <w:szCs w:val="24"/>
        </w:rPr>
      </w:pPr>
    </w:p>
    <w:p w14:paraId="0000000A" w14:textId="77777777" w:rsidR="00720D02" w:rsidRPr="00D56677" w:rsidRDefault="00720D02" w:rsidP="00D56677">
      <w:pPr>
        <w:rPr>
          <w:rFonts w:ascii="Proxima Nova" w:eastAsia="Proxima Nova" w:hAnsi="Proxima Nova" w:cs="Proxima Nova"/>
          <w:sz w:val="24"/>
          <w:szCs w:val="24"/>
        </w:rPr>
      </w:pPr>
    </w:p>
    <w:p w14:paraId="0000000B" w14:textId="77777777" w:rsidR="00720D02" w:rsidRPr="008A040D" w:rsidRDefault="0073212B" w:rsidP="00D56677">
      <w:pPr>
        <w:jc w:val="center"/>
        <w:rPr>
          <w:rFonts w:ascii="Proxima Nova" w:eastAsia="Proxima Nova" w:hAnsi="Proxima Nova" w:cs="Proxima Nova"/>
          <w:b/>
          <w:color w:val="544568"/>
          <w:sz w:val="72"/>
          <w:szCs w:val="72"/>
        </w:rPr>
      </w:pPr>
      <w:r w:rsidRPr="008A040D">
        <w:rPr>
          <w:rFonts w:ascii="Proxima Nova" w:eastAsia="Proxima Nova" w:hAnsi="Proxima Nova" w:cs="Proxima Nova"/>
          <w:b/>
          <w:color w:val="544568"/>
          <w:sz w:val="72"/>
          <w:szCs w:val="72"/>
        </w:rPr>
        <w:t>Journal Article</w:t>
      </w:r>
    </w:p>
    <w:p w14:paraId="0000000C" w14:textId="77777777" w:rsidR="00720D02" w:rsidRPr="008A040D" w:rsidRDefault="0073212B" w:rsidP="00D56677">
      <w:pPr>
        <w:jc w:val="center"/>
        <w:rPr>
          <w:rFonts w:ascii="Proxima Nova" w:eastAsia="Proxima Nova" w:hAnsi="Proxima Nova" w:cs="Proxima Nova"/>
          <w:b/>
          <w:bCs/>
          <w:color w:val="544568"/>
          <w:sz w:val="72"/>
          <w:szCs w:val="72"/>
        </w:rPr>
      </w:pPr>
      <w:r w:rsidRPr="008A040D">
        <w:rPr>
          <w:rFonts w:ascii="Proxima Nova" w:eastAsia="Proxima Nova" w:hAnsi="Proxima Nova" w:cs="Proxima Nova"/>
          <w:b/>
          <w:bCs/>
          <w:color w:val="544568"/>
          <w:sz w:val="72"/>
          <w:szCs w:val="72"/>
        </w:rPr>
        <w:t>Journal of Corporate Studies</w:t>
      </w:r>
    </w:p>
    <w:p w14:paraId="0000000D" w14:textId="77777777" w:rsidR="00720D02" w:rsidRPr="00D56677" w:rsidRDefault="00720D02" w:rsidP="00D56677">
      <w:pPr>
        <w:rPr>
          <w:rFonts w:ascii="Proxima Nova" w:eastAsia="Proxima Nova" w:hAnsi="Proxima Nova" w:cs="Proxima Nova"/>
          <w:sz w:val="24"/>
          <w:szCs w:val="24"/>
        </w:rPr>
      </w:pPr>
    </w:p>
    <w:p w14:paraId="0000000E" w14:textId="77777777" w:rsidR="00720D02" w:rsidRPr="00D56677" w:rsidRDefault="00720D02" w:rsidP="00D56677">
      <w:pPr>
        <w:rPr>
          <w:rFonts w:ascii="Proxima Nova" w:eastAsia="Proxima Nova" w:hAnsi="Proxima Nova" w:cs="Proxima Nova"/>
          <w:sz w:val="24"/>
          <w:szCs w:val="24"/>
        </w:rPr>
      </w:pPr>
    </w:p>
    <w:p w14:paraId="00000011" w14:textId="77777777" w:rsidR="00720D02" w:rsidRDefault="00720D02" w:rsidP="00D56677">
      <w:pPr>
        <w:rPr>
          <w:rFonts w:ascii="Proxima Nova" w:eastAsia="Proxima Nova" w:hAnsi="Proxima Nova" w:cs="Proxima Nova"/>
          <w:sz w:val="24"/>
          <w:szCs w:val="24"/>
        </w:rPr>
      </w:pPr>
    </w:p>
    <w:p w14:paraId="4E083FB0" w14:textId="77777777" w:rsidR="00BD69F7" w:rsidRPr="00D56677" w:rsidRDefault="00BD69F7" w:rsidP="00D56677">
      <w:pPr>
        <w:rPr>
          <w:rFonts w:ascii="Proxima Nova" w:eastAsia="Proxima Nova" w:hAnsi="Proxima Nova" w:cs="Proxima Nova"/>
          <w:sz w:val="24"/>
          <w:szCs w:val="24"/>
        </w:rPr>
      </w:pPr>
    </w:p>
    <w:p w14:paraId="00000012" w14:textId="77777777" w:rsidR="00720D02" w:rsidRPr="008A040D" w:rsidRDefault="0073212B" w:rsidP="00D56677">
      <w:pPr>
        <w:jc w:val="center"/>
        <w:rPr>
          <w:rFonts w:ascii="Proxima Nova" w:eastAsia="Proxima Nova" w:hAnsi="Proxima Nova" w:cs="Proxima Nova"/>
          <w:b/>
          <w:color w:val="544568"/>
          <w:sz w:val="24"/>
          <w:szCs w:val="24"/>
        </w:rPr>
      </w:pPr>
      <w:r w:rsidRPr="008A040D">
        <w:rPr>
          <w:rFonts w:ascii="Proxima Nova" w:eastAsia="Proxima Nova" w:hAnsi="Proxima Nova" w:cs="Proxima Nova"/>
          <w:b/>
          <w:color w:val="544568"/>
          <w:sz w:val="24"/>
          <w:szCs w:val="24"/>
        </w:rPr>
        <w:t>Authors:</w:t>
      </w:r>
    </w:p>
    <w:p w14:paraId="00000013" w14:textId="77777777" w:rsidR="00720D02" w:rsidRPr="00D56677" w:rsidRDefault="00720D02" w:rsidP="00D56677">
      <w:pPr>
        <w:rPr>
          <w:rFonts w:ascii="Proxima Nova" w:eastAsia="Proxima Nova" w:hAnsi="Proxima Nova" w:cs="Proxima Nova"/>
          <w:sz w:val="24"/>
          <w:szCs w:val="24"/>
        </w:rPr>
      </w:pPr>
    </w:p>
    <w:p w14:paraId="00000014" w14:textId="77777777" w:rsidR="00720D02" w:rsidRPr="008A040D" w:rsidRDefault="0073212B" w:rsidP="00D56677">
      <w:pPr>
        <w:jc w:val="center"/>
        <w:rPr>
          <w:rFonts w:ascii="Proxima Nova" w:eastAsia="Proxima Nova" w:hAnsi="Proxima Nova" w:cs="Proxima Nova"/>
          <w:b/>
          <w:color w:val="544568"/>
          <w:sz w:val="24"/>
          <w:szCs w:val="24"/>
        </w:rPr>
      </w:pPr>
      <w:r w:rsidRPr="008A040D">
        <w:rPr>
          <w:rFonts w:ascii="Proxima Nova" w:eastAsia="Proxima Nova" w:hAnsi="Proxima Nova" w:cs="Proxima Nova"/>
          <w:b/>
          <w:color w:val="544568"/>
          <w:sz w:val="24"/>
          <w:szCs w:val="24"/>
        </w:rPr>
        <w:t>Dr. Emily Thompson</w:t>
      </w:r>
    </w:p>
    <w:p w14:paraId="00000015" w14:textId="77777777" w:rsidR="00720D02" w:rsidRPr="00D56677" w:rsidRDefault="0073212B" w:rsidP="00D56677">
      <w:pPr>
        <w:jc w:val="center"/>
        <w:rPr>
          <w:rFonts w:ascii="Proxima Nova" w:eastAsia="Proxima Nova" w:hAnsi="Proxima Nova" w:cs="Proxima Nova"/>
          <w:sz w:val="24"/>
          <w:szCs w:val="24"/>
        </w:rPr>
      </w:pPr>
      <w:r w:rsidRPr="00D56677">
        <w:rPr>
          <w:rFonts w:ascii="Proxima Nova" w:eastAsia="Proxima Nova" w:hAnsi="Proxima Nova" w:cs="Proxima Nova"/>
          <w:sz w:val="24"/>
          <w:szCs w:val="24"/>
        </w:rPr>
        <w:t>Department of Organizational Psychology</w:t>
      </w:r>
    </w:p>
    <w:p w14:paraId="00000016" w14:textId="77777777" w:rsidR="00720D02" w:rsidRPr="00D56677" w:rsidRDefault="0073212B" w:rsidP="00D56677">
      <w:pPr>
        <w:jc w:val="center"/>
        <w:rPr>
          <w:rFonts w:ascii="Proxima Nova" w:eastAsia="Proxima Nova" w:hAnsi="Proxima Nova" w:cs="Proxima Nova"/>
          <w:sz w:val="24"/>
          <w:szCs w:val="24"/>
        </w:rPr>
      </w:pPr>
      <w:r w:rsidRPr="00D56677">
        <w:rPr>
          <w:rFonts w:ascii="Proxima Nova" w:eastAsia="Proxima Nova" w:hAnsi="Proxima Nova" w:cs="Proxima Nova"/>
          <w:sz w:val="24"/>
          <w:szCs w:val="24"/>
        </w:rPr>
        <w:t>Excellence University</w:t>
      </w:r>
    </w:p>
    <w:p w14:paraId="00000017" w14:textId="77777777" w:rsidR="00720D02" w:rsidRPr="00D56677" w:rsidRDefault="00720D02" w:rsidP="00D56677">
      <w:pPr>
        <w:jc w:val="center"/>
        <w:rPr>
          <w:rFonts w:ascii="Proxima Nova" w:eastAsia="Proxima Nova" w:hAnsi="Proxima Nova" w:cs="Proxima Nova"/>
          <w:sz w:val="24"/>
          <w:szCs w:val="24"/>
        </w:rPr>
      </w:pPr>
    </w:p>
    <w:p w14:paraId="00000018" w14:textId="77777777" w:rsidR="00720D02" w:rsidRPr="008A040D" w:rsidRDefault="0073212B" w:rsidP="00D56677">
      <w:pPr>
        <w:jc w:val="center"/>
        <w:rPr>
          <w:rFonts w:ascii="Proxima Nova" w:eastAsia="Proxima Nova" w:hAnsi="Proxima Nova" w:cs="Proxima Nova"/>
          <w:b/>
          <w:color w:val="544568"/>
          <w:sz w:val="24"/>
          <w:szCs w:val="24"/>
        </w:rPr>
      </w:pPr>
      <w:r w:rsidRPr="008A040D">
        <w:rPr>
          <w:rFonts w:ascii="Proxima Nova" w:eastAsia="Proxima Nova" w:hAnsi="Proxima Nova" w:cs="Proxima Nova"/>
          <w:b/>
          <w:color w:val="544568"/>
          <w:sz w:val="24"/>
          <w:szCs w:val="24"/>
        </w:rPr>
        <w:t>Dr. Jonathan Walker</w:t>
      </w:r>
    </w:p>
    <w:p w14:paraId="00000019" w14:textId="77777777" w:rsidR="00720D02" w:rsidRPr="00D56677" w:rsidRDefault="0073212B" w:rsidP="00D56677">
      <w:pPr>
        <w:jc w:val="center"/>
        <w:rPr>
          <w:rFonts w:ascii="Proxima Nova" w:eastAsia="Proxima Nova" w:hAnsi="Proxima Nova" w:cs="Proxima Nova"/>
          <w:sz w:val="24"/>
          <w:szCs w:val="24"/>
        </w:rPr>
      </w:pPr>
      <w:r w:rsidRPr="00D56677">
        <w:rPr>
          <w:rFonts w:ascii="Proxima Nova" w:eastAsia="Proxima Nova" w:hAnsi="Proxima Nova" w:cs="Proxima Nova"/>
          <w:sz w:val="24"/>
          <w:szCs w:val="24"/>
        </w:rPr>
        <w:t xml:space="preserve">Department of </w:t>
      </w:r>
      <w:r w:rsidRPr="00D56677">
        <w:rPr>
          <w:rFonts w:ascii="Proxima Nova" w:eastAsia="Proxima Nova" w:hAnsi="Proxima Nova" w:cs="Proxima Nova"/>
          <w:sz w:val="24"/>
          <w:szCs w:val="24"/>
        </w:rPr>
        <w:t>Business Strategy</w:t>
      </w:r>
    </w:p>
    <w:p w14:paraId="0000001A" w14:textId="77777777" w:rsidR="00720D02" w:rsidRPr="00D56677" w:rsidRDefault="0073212B" w:rsidP="00D56677">
      <w:pPr>
        <w:jc w:val="center"/>
        <w:rPr>
          <w:rFonts w:ascii="Proxima Nova" w:eastAsia="Proxima Nova" w:hAnsi="Proxima Nova" w:cs="Proxima Nova"/>
          <w:sz w:val="24"/>
          <w:szCs w:val="24"/>
        </w:rPr>
      </w:pPr>
      <w:r w:rsidRPr="00D56677">
        <w:rPr>
          <w:rFonts w:ascii="Proxima Nova" w:eastAsia="Proxima Nova" w:hAnsi="Proxima Nova" w:cs="Proxima Nova"/>
          <w:sz w:val="24"/>
          <w:szCs w:val="24"/>
        </w:rPr>
        <w:t>Excellence University</w:t>
      </w:r>
    </w:p>
    <w:p w14:paraId="0000001B" w14:textId="77777777" w:rsidR="00720D02" w:rsidRPr="00D56677" w:rsidRDefault="00720D02" w:rsidP="00D56677">
      <w:pPr>
        <w:rPr>
          <w:rFonts w:ascii="Proxima Nova" w:eastAsia="Proxima Nova" w:hAnsi="Proxima Nova" w:cs="Proxima Nova"/>
          <w:sz w:val="24"/>
          <w:szCs w:val="24"/>
        </w:rPr>
      </w:pPr>
    </w:p>
    <w:p w14:paraId="0000001C" w14:textId="77777777" w:rsidR="00720D02" w:rsidRPr="00D56677" w:rsidRDefault="00720D02" w:rsidP="00D56677">
      <w:pPr>
        <w:rPr>
          <w:rFonts w:ascii="Proxima Nova" w:eastAsia="Proxima Nova" w:hAnsi="Proxima Nova" w:cs="Proxima Nova"/>
          <w:sz w:val="24"/>
          <w:szCs w:val="24"/>
        </w:rPr>
      </w:pPr>
    </w:p>
    <w:p w14:paraId="0000001D" w14:textId="77777777" w:rsidR="00720D02" w:rsidRPr="00D56677" w:rsidRDefault="00720D02" w:rsidP="00D56677">
      <w:pPr>
        <w:rPr>
          <w:rFonts w:ascii="Proxima Nova" w:eastAsia="Proxima Nova" w:hAnsi="Proxima Nova" w:cs="Proxima Nova"/>
          <w:sz w:val="24"/>
          <w:szCs w:val="24"/>
        </w:rPr>
      </w:pPr>
    </w:p>
    <w:p w14:paraId="0000001F" w14:textId="77777777" w:rsidR="00720D02" w:rsidRPr="00D56677" w:rsidRDefault="00720D02" w:rsidP="00D56677">
      <w:pPr>
        <w:jc w:val="both"/>
        <w:rPr>
          <w:rFonts w:ascii="Proxima Nova" w:eastAsia="Proxima Nova" w:hAnsi="Proxima Nova" w:cs="Proxima Nova"/>
        </w:rPr>
      </w:pPr>
    </w:p>
    <w:p w14:paraId="00000021" w14:textId="77777777" w:rsidR="00720D02" w:rsidRPr="00D56677" w:rsidRDefault="0073212B" w:rsidP="00D56677">
      <w:pPr>
        <w:rPr>
          <w:rFonts w:ascii="Proxima Nova" w:eastAsia="Proxima Nova" w:hAnsi="Proxima Nova" w:cs="Proxima Nova"/>
          <w:sz w:val="24"/>
          <w:szCs w:val="24"/>
        </w:rPr>
      </w:pPr>
      <w:r w:rsidRPr="00D56677">
        <w:rPr>
          <w:rFonts w:ascii="Proxima Nova" w:eastAsia="Proxima Nova" w:hAnsi="Proxima Nova" w:cs="Proxima Nova"/>
          <w:sz w:val="24"/>
          <w:szCs w:val="24"/>
        </w:rPr>
        <w:br/>
      </w:r>
      <w:r w:rsidRPr="008A040D">
        <w:rPr>
          <w:rFonts w:ascii="Proxima Nova" w:eastAsia="Proxima Nova" w:hAnsi="Proxima Nova" w:cs="Proxima Nova"/>
          <w:b/>
          <w:color w:val="544568"/>
          <w:sz w:val="24"/>
          <w:szCs w:val="24"/>
        </w:rPr>
        <w:t>ISSN</w:t>
      </w:r>
      <w:r w:rsidRPr="00D56677">
        <w:rPr>
          <w:rFonts w:ascii="Proxima Nova" w:eastAsia="Proxima Nova" w:hAnsi="Proxima Nova" w:cs="Proxima Nova"/>
          <w:b/>
          <w:sz w:val="24"/>
          <w:szCs w:val="24"/>
        </w:rPr>
        <w:t>:</w:t>
      </w:r>
      <w:r w:rsidRPr="00D56677">
        <w:rPr>
          <w:rFonts w:ascii="Proxima Nova" w:eastAsia="Proxima Nova" w:hAnsi="Proxima Nova" w:cs="Proxima Nova"/>
          <w:sz w:val="24"/>
          <w:szCs w:val="24"/>
        </w:rPr>
        <w:t xml:space="preserve"> ISSN 1234-5678</w:t>
      </w:r>
      <w:r w:rsidRPr="00D56677">
        <w:rPr>
          <w:rFonts w:ascii="Proxima Nova" w:eastAsia="Proxima Nova" w:hAnsi="Proxima Nova" w:cs="Proxima Nova"/>
          <w:sz w:val="24"/>
          <w:szCs w:val="24"/>
        </w:rPr>
        <w:br/>
      </w:r>
      <w:r w:rsidRPr="008A040D">
        <w:rPr>
          <w:rFonts w:ascii="Proxima Nova" w:eastAsia="Proxima Nova" w:hAnsi="Proxima Nova" w:cs="Proxima Nova"/>
          <w:b/>
          <w:color w:val="544568"/>
          <w:sz w:val="24"/>
          <w:szCs w:val="24"/>
        </w:rPr>
        <w:t>DOI:</w:t>
      </w:r>
      <w:r w:rsidRPr="008A040D">
        <w:rPr>
          <w:rFonts w:ascii="Proxima Nova" w:eastAsia="Proxima Nova" w:hAnsi="Proxima Nova" w:cs="Proxima Nova"/>
          <w:color w:val="544568"/>
          <w:sz w:val="24"/>
          <w:szCs w:val="24"/>
        </w:rPr>
        <w:t xml:space="preserve"> </w:t>
      </w:r>
      <w:r w:rsidRPr="00D56677">
        <w:rPr>
          <w:rFonts w:ascii="Proxima Nova" w:eastAsia="Proxima Nova" w:hAnsi="Proxima Nova" w:cs="Proxima Nova"/>
          <w:sz w:val="24"/>
          <w:szCs w:val="24"/>
        </w:rPr>
        <w:t>DOI 10.1234/jcs.2056.5678</w:t>
      </w:r>
    </w:p>
    <w:p w14:paraId="00000022" w14:textId="77777777" w:rsidR="00720D02" w:rsidRPr="00D56677" w:rsidRDefault="0073212B" w:rsidP="00D56677">
      <w:pPr>
        <w:rPr>
          <w:rFonts w:ascii="Proxima Nova" w:eastAsia="Proxima Nova" w:hAnsi="Proxima Nova" w:cs="Proxima Nova"/>
          <w:sz w:val="24"/>
          <w:szCs w:val="24"/>
        </w:rPr>
      </w:pPr>
      <w:r w:rsidRPr="008A040D">
        <w:rPr>
          <w:rFonts w:ascii="Proxima Nova" w:eastAsia="Proxima Nova" w:hAnsi="Proxima Nova" w:cs="Proxima Nova"/>
          <w:b/>
          <w:color w:val="544568"/>
          <w:sz w:val="24"/>
          <w:szCs w:val="24"/>
        </w:rPr>
        <w:t>Date of Submission:</w:t>
      </w:r>
      <w:r w:rsidRPr="008A040D">
        <w:rPr>
          <w:rFonts w:ascii="Proxima Nova" w:eastAsia="Proxima Nova" w:hAnsi="Proxima Nova" w:cs="Proxima Nova"/>
          <w:color w:val="544568"/>
          <w:sz w:val="24"/>
          <w:szCs w:val="24"/>
        </w:rPr>
        <w:t xml:space="preserve"> </w:t>
      </w:r>
      <w:r w:rsidRPr="00D56677">
        <w:rPr>
          <w:rFonts w:ascii="Proxima Nova" w:eastAsia="Proxima Nova" w:hAnsi="Proxima Nova" w:cs="Proxima Nova"/>
          <w:sz w:val="24"/>
          <w:szCs w:val="24"/>
        </w:rPr>
        <w:t>November 17, 2056</w:t>
      </w:r>
    </w:p>
    <w:p w14:paraId="00000023" w14:textId="77777777" w:rsidR="00720D02" w:rsidRPr="00BF3216" w:rsidRDefault="0073212B" w:rsidP="00D56677">
      <w:pPr>
        <w:jc w:val="center"/>
        <w:rPr>
          <w:rFonts w:ascii="Proxima Nova" w:eastAsia="Proxima Nova" w:hAnsi="Proxima Nova" w:cs="Proxima Nova"/>
          <w:b/>
          <w:color w:val="544568"/>
          <w:sz w:val="32"/>
          <w:szCs w:val="32"/>
        </w:rPr>
      </w:pPr>
      <w:r w:rsidRPr="00BF3216">
        <w:rPr>
          <w:rFonts w:ascii="Proxima Nova" w:eastAsia="Proxima Nova" w:hAnsi="Proxima Nova" w:cs="Proxima Nova"/>
          <w:b/>
          <w:color w:val="544568"/>
          <w:sz w:val="32"/>
          <w:szCs w:val="32"/>
        </w:rPr>
        <w:lastRenderedPageBreak/>
        <w:t xml:space="preserve">Title: “Fostering Productivity: Exploring the Impact of Employee Well-being Initiatives at Horizon </w:t>
      </w:r>
      <w:r w:rsidRPr="00BF3216">
        <w:rPr>
          <w:rFonts w:ascii="Proxima Nova" w:eastAsia="Proxima Nova" w:hAnsi="Proxima Nova" w:cs="Proxima Nova"/>
          <w:b/>
          <w:color w:val="544568"/>
          <w:sz w:val="32"/>
          <w:szCs w:val="32"/>
        </w:rPr>
        <w:t>Innovations, Wellness Dynamics, and Nexus Technologies”</w:t>
      </w:r>
    </w:p>
    <w:p w14:paraId="00000024" w14:textId="77777777" w:rsidR="00720D02" w:rsidRPr="00D56677" w:rsidRDefault="00720D02" w:rsidP="00D56677">
      <w:pPr>
        <w:jc w:val="both"/>
        <w:rPr>
          <w:rFonts w:ascii="Proxima Nova" w:eastAsia="Proxima Nova" w:hAnsi="Proxima Nova" w:cs="Proxima Nova"/>
          <w:sz w:val="24"/>
          <w:szCs w:val="24"/>
        </w:rPr>
      </w:pPr>
    </w:p>
    <w:p w14:paraId="00000026" w14:textId="61090E27" w:rsidR="00720D02" w:rsidRPr="00367191" w:rsidRDefault="0073212B" w:rsidP="00C06938">
      <w:pPr>
        <w:spacing w:before="600" w:line="408" w:lineRule="auto"/>
        <w:rPr>
          <w:rFonts w:ascii="Proxima Nova" w:eastAsia="Proxima Nova" w:hAnsi="Proxima Nova" w:cs="Proxima Nova"/>
          <w:b/>
          <w:color w:val="544568"/>
          <w:sz w:val="28"/>
          <w:szCs w:val="28"/>
        </w:rPr>
      </w:pPr>
      <w:r w:rsidRPr="00367191">
        <w:rPr>
          <w:rFonts w:ascii="Proxima Nova" w:eastAsia="Proxima Nova" w:hAnsi="Proxima Nova" w:cs="Proxima Nova"/>
          <w:b/>
          <w:color w:val="544568"/>
          <w:sz w:val="28"/>
          <w:szCs w:val="28"/>
        </w:rPr>
        <w:t>Abstract:</w:t>
      </w:r>
    </w:p>
    <w:p w14:paraId="00000027" w14:textId="77777777" w:rsidR="00720D02" w:rsidRPr="00D56677" w:rsidRDefault="0073212B" w:rsidP="00C06938">
      <w:pPr>
        <w:ind w:firstLine="284"/>
        <w:rPr>
          <w:rFonts w:ascii="Proxima Nova" w:eastAsia="Proxima Nova" w:hAnsi="Proxima Nova" w:cs="Proxima Nova"/>
          <w:sz w:val="24"/>
          <w:szCs w:val="24"/>
        </w:rPr>
      </w:pPr>
      <w:r w:rsidRPr="00D56677">
        <w:rPr>
          <w:rFonts w:ascii="Proxima Nova" w:eastAsia="Proxima Nova" w:hAnsi="Proxima Nova" w:cs="Proxima Nova"/>
          <w:sz w:val="24"/>
          <w:szCs w:val="24"/>
        </w:rPr>
        <w:t>This journal article undertakes a thorough investigation into the dynamic relationship between employee well-being initiatives and workplace productivity. Through an extensive case study analysis of three innovative companies—Horizon Innovations, Wellness Dynamics, and Nexus Technologies—this study aims to provide a nuanced understanding of the strategies employed by these organizations and their impact on overall corporate success.</w:t>
      </w:r>
    </w:p>
    <w:p w14:paraId="00000028" w14:textId="77777777" w:rsidR="00720D02" w:rsidRPr="00D56677" w:rsidRDefault="00720D02" w:rsidP="00D56677">
      <w:pPr>
        <w:jc w:val="both"/>
        <w:rPr>
          <w:rFonts w:ascii="Proxima Nova" w:eastAsia="Proxima Nova" w:hAnsi="Proxima Nova" w:cs="Proxima Nova"/>
          <w:sz w:val="24"/>
          <w:szCs w:val="24"/>
        </w:rPr>
      </w:pPr>
    </w:p>
    <w:p w14:paraId="0000002A" w14:textId="0F993F72" w:rsidR="00720D02" w:rsidRPr="00367191" w:rsidRDefault="0073212B" w:rsidP="002E356C">
      <w:pPr>
        <w:numPr>
          <w:ilvl w:val="0"/>
          <w:numId w:val="1"/>
        </w:numPr>
        <w:spacing w:line="408" w:lineRule="auto"/>
        <w:ind w:left="71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Introduction</w:t>
      </w:r>
    </w:p>
    <w:p w14:paraId="0000002C" w14:textId="4D0DD838" w:rsidR="00720D02" w:rsidRPr="00367191" w:rsidRDefault="0073212B" w:rsidP="002E356C">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Evolving Corporate Landscape and Well-being</w:t>
      </w:r>
    </w:p>
    <w:p w14:paraId="0000002D" w14:textId="77777777" w:rsidR="00720D02" w:rsidRPr="00D56677" w:rsidRDefault="0073212B" w:rsidP="002E356C">
      <w:pPr>
        <w:ind w:left="1440" w:firstLine="261"/>
        <w:rPr>
          <w:rFonts w:ascii="Proxima Nova" w:eastAsia="Proxima Nova" w:hAnsi="Proxima Nova" w:cs="Proxima Nova"/>
          <w:sz w:val="24"/>
          <w:szCs w:val="24"/>
        </w:rPr>
      </w:pPr>
      <w:r w:rsidRPr="00D56677">
        <w:rPr>
          <w:rFonts w:ascii="Proxima Nova" w:eastAsia="Proxima Nova" w:hAnsi="Proxima Nova" w:cs="Proxima Nova"/>
          <w:sz w:val="24"/>
          <w:szCs w:val="24"/>
        </w:rPr>
        <w:t>In a rapidly evolving corporate landscape, characterized by shifting paradigms and a heightened focus on employee well-being, companies like Horizon Innovations, Wellness Dynamics, and Nexus Technologies are at the forefront of fostering environments that prioritize the holistic wellness of their workforce. This section delves into the broader context, emphasizing the critical role of well-being in shaping organizational culture and success.</w:t>
      </w:r>
    </w:p>
    <w:p w14:paraId="0000002E" w14:textId="77777777" w:rsidR="00720D02" w:rsidRPr="00D56677" w:rsidRDefault="00720D02" w:rsidP="00D56677">
      <w:pPr>
        <w:ind w:left="1440"/>
        <w:jc w:val="both"/>
        <w:rPr>
          <w:rFonts w:ascii="Proxima Nova" w:eastAsia="Proxima Nova" w:hAnsi="Proxima Nova" w:cs="Proxima Nova"/>
          <w:sz w:val="24"/>
          <w:szCs w:val="24"/>
        </w:rPr>
      </w:pPr>
    </w:p>
    <w:p w14:paraId="00000030" w14:textId="63AD3F70" w:rsidR="00720D02" w:rsidRPr="00367191" w:rsidRDefault="0073212B" w:rsidP="002E356C">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Rationale and Significance</w:t>
      </w:r>
    </w:p>
    <w:p w14:paraId="00000031" w14:textId="77777777" w:rsidR="00720D02" w:rsidRPr="00D56677" w:rsidRDefault="0073212B" w:rsidP="002E356C">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The increasing recognition of the correlation between employee well-being and heightened productivity forms the foundation for this study. By exploring the initiatives undertaken by Horizon Innovations, Wellness Dynamics, and Nexus Technologies, this research contributes valuable insights into the strategic integration of well-being practices in diverse industries.</w:t>
      </w:r>
      <w:r w:rsidRPr="00D56677">
        <w:br w:type="page"/>
      </w:r>
    </w:p>
    <w:p w14:paraId="00000033" w14:textId="38BE7922" w:rsidR="00720D02" w:rsidRPr="00367191" w:rsidRDefault="0073212B" w:rsidP="005576DE">
      <w:pPr>
        <w:numPr>
          <w:ilvl w:val="0"/>
          <w:numId w:val="1"/>
        </w:numPr>
        <w:spacing w:line="408" w:lineRule="auto"/>
        <w:ind w:left="71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lastRenderedPageBreak/>
        <w:t>Literature Review</w:t>
      </w:r>
    </w:p>
    <w:p w14:paraId="00000035" w14:textId="6135C137" w:rsidR="00720D02" w:rsidRPr="00367191" w:rsidRDefault="0073212B" w:rsidP="005576DE">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Diverse Landscape of Employee Well-being Initiatives</w:t>
      </w:r>
    </w:p>
    <w:p w14:paraId="00000036" w14:textId="77777777" w:rsidR="00720D02" w:rsidRPr="00D56677" w:rsidRDefault="0073212B" w:rsidP="005576DE">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 xml:space="preserve">The literature review unfolds the rich </w:t>
      </w:r>
      <w:r w:rsidRPr="00D56677">
        <w:rPr>
          <w:rFonts w:ascii="Proxima Nova" w:eastAsia="Proxima Nova" w:hAnsi="Proxima Nova" w:cs="Proxima Nova"/>
          <w:sz w:val="24"/>
          <w:szCs w:val="24"/>
        </w:rPr>
        <w:t>tapestry of employee well-being initiatives, ranging from flexible work arrangements to mental health support and fitness incentives. Drawing on a vast array of studies, this section contextualizes the varied approaches companies like Horizon Innovations, Wellness Dynamics, and Nexus Technologies have taken in shaping employee well-being.</w:t>
      </w:r>
    </w:p>
    <w:p w14:paraId="00000037" w14:textId="77777777" w:rsidR="00720D02" w:rsidRPr="00D56677" w:rsidRDefault="00720D02" w:rsidP="00D56677">
      <w:pPr>
        <w:ind w:left="1440"/>
        <w:jc w:val="both"/>
        <w:rPr>
          <w:rFonts w:ascii="Proxima Nova" w:eastAsia="Proxima Nova" w:hAnsi="Proxima Nova" w:cs="Proxima Nova"/>
          <w:sz w:val="24"/>
          <w:szCs w:val="24"/>
        </w:rPr>
      </w:pPr>
    </w:p>
    <w:p w14:paraId="00000039" w14:textId="52C4385C" w:rsidR="00720D02" w:rsidRPr="00367191" w:rsidRDefault="0073212B" w:rsidP="005576DE">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Nuanced Metrics for Workplace Productivity</w:t>
      </w:r>
    </w:p>
    <w:p w14:paraId="0000003A" w14:textId="77777777" w:rsidR="00720D02" w:rsidRPr="00D56677" w:rsidRDefault="0073212B" w:rsidP="005576DE">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Beyond traditional metrics, such as employee performance indicators, absenteeism rates, and team efficiency, this section explores the nuanced metrics employed by progressive organizations like Horizon Innovations, Wellness Dynamics, and Nexus Technologies. Understanding these metrics is crucial to comprehensively assess the impact of employee well-being initiatives on overall productivity.</w:t>
      </w:r>
    </w:p>
    <w:p w14:paraId="0000003B" w14:textId="77777777" w:rsidR="00720D02" w:rsidRPr="00D56677" w:rsidRDefault="00720D02" w:rsidP="00D56677">
      <w:pPr>
        <w:ind w:left="1440"/>
        <w:jc w:val="both"/>
        <w:rPr>
          <w:rFonts w:ascii="Proxima Nova" w:eastAsia="Proxima Nova" w:hAnsi="Proxima Nova" w:cs="Proxima Nova"/>
          <w:sz w:val="24"/>
          <w:szCs w:val="24"/>
        </w:rPr>
      </w:pPr>
    </w:p>
    <w:p w14:paraId="0000003D" w14:textId="66135D8D" w:rsidR="00720D02" w:rsidRPr="00367191" w:rsidRDefault="0073212B" w:rsidP="005576DE">
      <w:pPr>
        <w:numPr>
          <w:ilvl w:val="0"/>
          <w:numId w:val="1"/>
        </w:numPr>
        <w:spacing w:line="408" w:lineRule="auto"/>
        <w:ind w:left="71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Methodology</w:t>
      </w:r>
    </w:p>
    <w:p w14:paraId="0000003F" w14:textId="15315CB4" w:rsidR="00720D02" w:rsidRPr="00367191" w:rsidRDefault="0073212B" w:rsidP="005576DE">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Case Selection</w:t>
      </w:r>
    </w:p>
    <w:p w14:paraId="00000040" w14:textId="77777777" w:rsidR="00720D02" w:rsidRPr="00D56677" w:rsidRDefault="0073212B" w:rsidP="005576DE">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The selection of case study companies—Horizon Innovations, Wellness Dynamics, and Nexus Technologies—is rooted in their innovative approaches to employee well-being. Representing the technology, healthcare, and manufacturing sectors, these companies were chosen strategically to provide a comprehensive and industry-specific analysis.</w:t>
      </w:r>
    </w:p>
    <w:p w14:paraId="00000041" w14:textId="77777777" w:rsidR="00720D02" w:rsidRPr="00D56677" w:rsidRDefault="00720D02" w:rsidP="00D56677">
      <w:pPr>
        <w:ind w:left="1440"/>
        <w:jc w:val="both"/>
        <w:rPr>
          <w:rFonts w:ascii="Proxima Nova" w:eastAsia="Proxima Nova" w:hAnsi="Proxima Nova" w:cs="Proxima Nova"/>
          <w:sz w:val="24"/>
          <w:szCs w:val="24"/>
        </w:rPr>
      </w:pPr>
    </w:p>
    <w:p w14:paraId="00000043" w14:textId="5B02DF2F" w:rsidR="00720D02" w:rsidRPr="00367191" w:rsidRDefault="0073212B" w:rsidP="005576DE">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Rigorous Data Collection</w:t>
      </w:r>
    </w:p>
    <w:p w14:paraId="00000044" w14:textId="77777777" w:rsidR="00720D02" w:rsidRPr="00D56677" w:rsidRDefault="0073212B" w:rsidP="005576DE">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Employing a meticulous approach, the research utilizes in-depth interviews with HR professionals, surveys distributed among employees, and a thorough analysis of performance metrics. This rigorous data collection methodology ensures the reliability and validity of the findings, contributing to the robustness of the study.</w:t>
      </w:r>
    </w:p>
    <w:p w14:paraId="00000045" w14:textId="77777777" w:rsidR="00720D02" w:rsidRDefault="00720D02" w:rsidP="00D56677">
      <w:pPr>
        <w:ind w:left="1440"/>
        <w:jc w:val="both"/>
        <w:rPr>
          <w:rFonts w:ascii="Proxima Nova" w:eastAsia="Proxima Nova" w:hAnsi="Proxima Nova" w:cs="Proxima Nova"/>
          <w:sz w:val="24"/>
          <w:szCs w:val="24"/>
        </w:rPr>
      </w:pPr>
    </w:p>
    <w:p w14:paraId="03F5325C" w14:textId="77777777" w:rsidR="007A0046" w:rsidRDefault="007A0046" w:rsidP="00D56677">
      <w:pPr>
        <w:ind w:left="1440"/>
        <w:jc w:val="both"/>
        <w:rPr>
          <w:rFonts w:ascii="Proxima Nova" w:eastAsia="Proxima Nova" w:hAnsi="Proxima Nova" w:cs="Proxima Nova"/>
          <w:sz w:val="24"/>
          <w:szCs w:val="24"/>
        </w:rPr>
      </w:pPr>
    </w:p>
    <w:p w14:paraId="50F81EFC" w14:textId="77777777" w:rsidR="007A0046" w:rsidRDefault="007A0046" w:rsidP="00D56677">
      <w:pPr>
        <w:ind w:left="1440"/>
        <w:jc w:val="both"/>
        <w:rPr>
          <w:rFonts w:ascii="Proxima Nova" w:eastAsia="Proxima Nova" w:hAnsi="Proxima Nova" w:cs="Proxima Nova"/>
          <w:sz w:val="24"/>
          <w:szCs w:val="24"/>
        </w:rPr>
      </w:pPr>
    </w:p>
    <w:p w14:paraId="254621AB" w14:textId="77777777" w:rsidR="007A0046" w:rsidRDefault="007A0046" w:rsidP="00D56677">
      <w:pPr>
        <w:ind w:left="1440"/>
        <w:jc w:val="both"/>
        <w:rPr>
          <w:rFonts w:ascii="Proxima Nova" w:eastAsia="Proxima Nova" w:hAnsi="Proxima Nova" w:cs="Proxima Nova"/>
          <w:sz w:val="24"/>
          <w:szCs w:val="24"/>
        </w:rPr>
      </w:pPr>
    </w:p>
    <w:p w14:paraId="572151F4" w14:textId="77777777" w:rsidR="007A0046" w:rsidRDefault="007A0046" w:rsidP="00D56677">
      <w:pPr>
        <w:ind w:left="1440"/>
        <w:jc w:val="both"/>
        <w:rPr>
          <w:rFonts w:ascii="Proxima Nova" w:eastAsia="Proxima Nova" w:hAnsi="Proxima Nova" w:cs="Proxima Nova"/>
          <w:sz w:val="24"/>
          <w:szCs w:val="24"/>
        </w:rPr>
      </w:pPr>
    </w:p>
    <w:p w14:paraId="432BD6B3" w14:textId="77777777" w:rsidR="007A0046" w:rsidRDefault="007A0046" w:rsidP="00D56677">
      <w:pPr>
        <w:ind w:left="1440"/>
        <w:jc w:val="both"/>
        <w:rPr>
          <w:rFonts w:ascii="Proxima Nova" w:eastAsia="Proxima Nova" w:hAnsi="Proxima Nova" w:cs="Proxima Nova"/>
          <w:sz w:val="24"/>
          <w:szCs w:val="24"/>
        </w:rPr>
      </w:pPr>
    </w:p>
    <w:p w14:paraId="213AD04E" w14:textId="77777777" w:rsidR="007A0046" w:rsidRPr="00D56677" w:rsidRDefault="007A0046" w:rsidP="00D56677">
      <w:pPr>
        <w:ind w:left="1440"/>
        <w:jc w:val="both"/>
        <w:rPr>
          <w:rFonts w:ascii="Proxima Nova" w:eastAsia="Proxima Nova" w:hAnsi="Proxima Nova" w:cs="Proxima Nova"/>
          <w:sz w:val="24"/>
          <w:szCs w:val="24"/>
        </w:rPr>
      </w:pPr>
    </w:p>
    <w:p w14:paraId="24B748A6" w14:textId="3B32B002" w:rsidR="005576DE" w:rsidRPr="00367191" w:rsidRDefault="0073212B" w:rsidP="007A0046">
      <w:pPr>
        <w:numPr>
          <w:ilvl w:val="0"/>
          <w:numId w:val="1"/>
        </w:numPr>
        <w:spacing w:line="408" w:lineRule="auto"/>
        <w:ind w:left="71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lastRenderedPageBreak/>
        <w:t>Case Study Analysis</w:t>
      </w:r>
    </w:p>
    <w:p w14:paraId="00000049" w14:textId="5E6B1A03" w:rsidR="00720D02" w:rsidRPr="00367191" w:rsidRDefault="0073212B" w:rsidP="007A0046">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 xml:space="preserve">Horizon </w:t>
      </w:r>
      <w:r w:rsidRPr="00367191">
        <w:rPr>
          <w:rFonts w:ascii="Proxima Nova" w:eastAsia="Proxima Nova" w:hAnsi="Proxima Nova" w:cs="Proxima Nova"/>
          <w:b/>
          <w:bCs/>
          <w:color w:val="544568"/>
          <w:sz w:val="24"/>
          <w:szCs w:val="24"/>
        </w:rPr>
        <w:t>Innovations: Embracing Flexibility in Work Arrangements</w:t>
      </w:r>
    </w:p>
    <w:p w14:paraId="0000004A" w14:textId="77777777" w:rsidR="00720D02" w:rsidRPr="00D56677" w:rsidRDefault="0073212B" w:rsidP="007A0046">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Horizon Innovations, a leading technology firm, has strategically embraced flexible work arrangements, including remote work options and flexible hours. This section delves into the company's innovative initiatives, exploring how these practices contribute to a positive work environment, heightened employee satisfaction, and ultimately lead to improved workplace productivity. By examining Horizon Innovations, we aim to extract insights that resonate with the tech industry's unique challenges and opportuniti</w:t>
      </w:r>
      <w:r w:rsidRPr="00D56677">
        <w:rPr>
          <w:rFonts w:ascii="Proxima Nova" w:eastAsia="Proxima Nova" w:hAnsi="Proxima Nova" w:cs="Proxima Nova"/>
          <w:sz w:val="24"/>
          <w:szCs w:val="24"/>
        </w:rPr>
        <w:t>es.</w:t>
      </w:r>
    </w:p>
    <w:p w14:paraId="0000004B" w14:textId="77777777" w:rsidR="00720D02" w:rsidRPr="00D56677" w:rsidRDefault="00720D02" w:rsidP="00D56677">
      <w:pPr>
        <w:ind w:left="1440"/>
        <w:jc w:val="both"/>
        <w:rPr>
          <w:rFonts w:ascii="Proxima Nova" w:eastAsia="Proxima Nova" w:hAnsi="Proxima Nova" w:cs="Proxima Nova"/>
          <w:sz w:val="24"/>
          <w:szCs w:val="24"/>
        </w:rPr>
      </w:pPr>
    </w:p>
    <w:p w14:paraId="0000004D" w14:textId="6DC9F4B7" w:rsidR="00720D02" w:rsidRPr="00367191" w:rsidRDefault="0073212B" w:rsidP="007A0046">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Wellness Dynamics: Prioritizing Mental Health Support Programs</w:t>
      </w:r>
    </w:p>
    <w:p w14:paraId="0000004E" w14:textId="77777777" w:rsidR="00720D02" w:rsidRPr="00D56677" w:rsidRDefault="0073212B" w:rsidP="007A0046">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Wellness Dynamics, operating in the healthcare sector, has placed a profound emphasis on mental health support programs. Through counseling services, stress reduction initiatives, and mindfulness programs, the company seeks to address the unique well-being needs of its workforce. This section explores how Wellness Dynamics' commitment to mental health positively influences employee well-being, job satisfaction, and overall workplace productivity within the healthcare domain.</w:t>
      </w:r>
    </w:p>
    <w:p w14:paraId="0000004F" w14:textId="77777777" w:rsidR="00720D02" w:rsidRPr="00D56677" w:rsidRDefault="00720D02" w:rsidP="00D56677">
      <w:pPr>
        <w:ind w:left="1440"/>
        <w:jc w:val="both"/>
        <w:rPr>
          <w:rFonts w:ascii="Proxima Nova" w:eastAsia="Proxima Nova" w:hAnsi="Proxima Nova" w:cs="Proxima Nova"/>
          <w:sz w:val="24"/>
          <w:szCs w:val="24"/>
        </w:rPr>
      </w:pPr>
    </w:p>
    <w:p w14:paraId="00000051" w14:textId="2E25D8ED" w:rsidR="00720D02" w:rsidRPr="00367191" w:rsidRDefault="0073212B" w:rsidP="007A0046">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Nexus Technologies: Promoting Fitness and Wellness Incentives</w:t>
      </w:r>
    </w:p>
    <w:p w14:paraId="00000052" w14:textId="77777777" w:rsidR="00720D02" w:rsidRPr="00D56677" w:rsidRDefault="0073212B" w:rsidP="007A0046">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Nexus Technologies, a pioneering force in the manufacturing sector, has strategically integrated fitness and wellness incentives into its corporate culture. This section analyzes how initiatives like on-site fitness facilities, wellness challenges, and health-oriented incentives contribute to a healthier and more engaged workforce, subsequently enhancing workplace productivity. By studying Nexus Technologies, we aim to draw industry-specific insights into the relationship between physical well-being initiat</w:t>
      </w:r>
      <w:r w:rsidRPr="00D56677">
        <w:rPr>
          <w:rFonts w:ascii="Proxima Nova" w:eastAsia="Proxima Nova" w:hAnsi="Proxima Nova" w:cs="Proxima Nova"/>
          <w:sz w:val="24"/>
          <w:szCs w:val="24"/>
        </w:rPr>
        <w:t>ives and overall productivity.</w:t>
      </w:r>
    </w:p>
    <w:p w14:paraId="00000053" w14:textId="77777777" w:rsidR="00720D02" w:rsidRDefault="00720D02" w:rsidP="00D56677">
      <w:pPr>
        <w:ind w:left="1440"/>
        <w:jc w:val="both"/>
        <w:rPr>
          <w:rFonts w:ascii="Proxima Nova" w:eastAsia="Proxima Nova" w:hAnsi="Proxima Nova" w:cs="Proxima Nova"/>
          <w:sz w:val="24"/>
          <w:szCs w:val="24"/>
        </w:rPr>
      </w:pPr>
    </w:p>
    <w:p w14:paraId="488B7A7C" w14:textId="77777777" w:rsidR="00367191" w:rsidRDefault="00367191" w:rsidP="00D56677">
      <w:pPr>
        <w:ind w:left="1440"/>
        <w:jc w:val="both"/>
        <w:rPr>
          <w:rFonts w:ascii="Proxima Nova" w:eastAsia="Proxima Nova" w:hAnsi="Proxima Nova" w:cs="Proxima Nova"/>
          <w:sz w:val="24"/>
          <w:szCs w:val="24"/>
        </w:rPr>
      </w:pPr>
    </w:p>
    <w:p w14:paraId="120192FB" w14:textId="77777777" w:rsidR="00367191" w:rsidRDefault="00367191" w:rsidP="00D56677">
      <w:pPr>
        <w:ind w:left="1440"/>
        <w:jc w:val="both"/>
        <w:rPr>
          <w:rFonts w:ascii="Proxima Nova" w:eastAsia="Proxima Nova" w:hAnsi="Proxima Nova" w:cs="Proxima Nova"/>
          <w:sz w:val="24"/>
          <w:szCs w:val="24"/>
        </w:rPr>
      </w:pPr>
    </w:p>
    <w:p w14:paraId="2DFF7AD1" w14:textId="77777777" w:rsidR="00367191" w:rsidRDefault="00367191" w:rsidP="00D56677">
      <w:pPr>
        <w:ind w:left="1440"/>
        <w:jc w:val="both"/>
        <w:rPr>
          <w:rFonts w:ascii="Proxima Nova" w:eastAsia="Proxima Nova" w:hAnsi="Proxima Nova" w:cs="Proxima Nova"/>
          <w:sz w:val="24"/>
          <w:szCs w:val="24"/>
        </w:rPr>
      </w:pPr>
    </w:p>
    <w:p w14:paraId="49D8F305" w14:textId="77777777" w:rsidR="00367191" w:rsidRPr="00D56677" w:rsidRDefault="00367191" w:rsidP="00D56677">
      <w:pPr>
        <w:ind w:left="1440"/>
        <w:jc w:val="both"/>
        <w:rPr>
          <w:rFonts w:ascii="Proxima Nova" w:eastAsia="Proxima Nova" w:hAnsi="Proxima Nova" w:cs="Proxima Nova"/>
          <w:sz w:val="24"/>
          <w:szCs w:val="24"/>
        </w:rPr>
      </w:pPr>
    </w:p>
    <w:p w14:paraId="00000055" w14:textId="17887CFE" w:rsidR="00720D02" w:rsidRPr="00367191" w:rsidRDefault="0073212B" w:rsidP="007A0046">
      <w:pPr>
        <w:numPr>
          <w:ilvl w:val="0"/>
          <w:numId w:val="1"/>
        </w:numPr>
        <w:spacing w:line="408" w:lineRule="auto"/>
        <w:ind w:left="71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lastRenderedPageBreak/>
        <w:t>Findings and Discussion</w:t>
      </w:r>
    </w:p>
    <w:p w14:paraId="00000057" w14:textId="021E373E" w:rsidR="00720D02" w:rsidRPr="00367191" w:rsidRDefault="0073212B" w:rsidP="007A0046">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Common Themes Across Case Studies</w:t>
      </w:r>
    </w:p>
    <w:p w14:paraId="00000058" w14:textId="77777777" w:rsidR="00720D02" w:rsidRPr="00D56677" w:rsidRDefault="0073212B" w:rsidP="007A0046">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In analyzing the case studies of Horizon Innovations, Wellness Dynamics, and Nexus Technologies, several common themes emerge. The flexibility of work arrangements, the prioritization of mental health, and the promotion of fitness and wellness incentives all contribute to enhanced employee satisfaction and engagement. This section explores these shared themes, highlighting the overarching principles that organizations across industries can draw upon to create effective well-being initiatives. By identifying</w:t>
      </w:r>
      <w:r w:rsidRPr="00D56677">
        <w:rPr>
          <w:rFonts w:ascii="Proxima Nova" w:eastAsia="Proxima Nova" w:hAnsi="Proxima Nova" w:cs="Proxima Nova"/>
          <w:sz w:val="24"/>
          <w:szCs w:val="24"/>
        </w:rPr>
        <w:t xml:space="preserve"> these commonalities, the study aims to offer valuable insights applicable to a broad spectrum of businesses seeking to foster workplace productivity through employee well-being.</w:t>
      </w:r>
    </w:p>
    <w:p w14:paraId="00000059" w14:textId="77777777" w:rsidR="00720D02" w:rsidRPr="00D56677" w:rsidRDefault="00720D02" w:rsidP="00D56677">
      <w:pPr>
        <w:ind w:left="1440"/>
        <w:jc w:val="both"/>
        <w:rPr>
          <w:rFonts w:ascii="Proxima Nova" w:eastAsia="Proxima Nova" w:hAnsi="Proxima Nova" w:cs="Proxima Nova"/>
          <w:sz w:val="24"/>
          <w:szCs w:val="24"/>
        </w:rPr>
      </w:pPr>
    </w:p>
    <w:p w14:paraId="0000005B" w14:textId="5D5C95BD" w:rsidR="00720D02" w:rsidRPr="00367191" w:rsidRDefault="0073212B" w:rsidP="00316E66">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Challenges and Opportunities</w:t>
      </w:r>
    </w:p>
    <w:p w14:paraId="0000005C" w14:textId="77777777" w:rsidR="00720D02" w:rsidRPr="00D56677" w:rsidRDefault="0073212B" w:rsidP="00316E66">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 xml:space="preserve">While each company has successfully </w:t>
      </w:r>
      <w:r w:rsidRPr="00D56677">
        <w:rPr>
          <w:rFonts w:ascii="Proxima Nova" w:eastAsia="Proxima Nova" w:hAnsi="Proxima Nova" w:cs="Proxima Nova"/>
          <w:sz w:val="24"/>
          <w:szCs w:val="24"/>
        </w:rPr>
        <w:t>implemented well-being initiatives, challenges have inevitably arisen. This section delves into the challenges faced by Horizon Innovations, Wellness Dynamics, and Nexus Technologies, such as adapting to evolving workforce expectations, addressing industry-specific well-being needs, and ensuring the scalability of initiatives. Simultaneously, opportunities for improvement and innovation are explored, providing a roadmap for organizations to navigate the complexities of integrating well-being initiatives int</w:t>
      </w:r>
      <w:r w:rsidRPr="00D56677">
        <w:rPr>
          <w:rFonts w:ascii="Proxima Nova" w:eastAsia="Proxima Nova" w:hAnsi="Proxima Nova" w:cs="Proxima Nova"/>
          <w:sz w:val="24"/>
          <w:szCs w:val="24"/>
        </w:rPr>
        <w:t>o their corporate strategies.</w:t>
      </w:r>
    </w:p>
    <w:p w14:paraId="0000005D" w14:textId="77777777" w:rsidR="00720D02" w:rsidRPr="00D56677" w:rsidRDefault="00720D02" w:rsidP="00D56677">
      <w:pPr>
        <w:ind w:left="1440"/>
        <w:jc w:val="both"/>
        <w:rPr>
          <w:rFonts w:ascii="Proxima Nova" w:eastAsia="Proxima Nova" w:hAnsi="Proxima Nova" w:cs="Proxima Nova"/>
          <w:sz w:val="24"/>
          <w:szCs w:val="24"/>
        </w:rPr>
      </w:pPr>
    </w:p>
    <w:p w14:paraId="0000005F" w14:textId="230DD775" w:rsidR="00720D02" w:rsidRPr="00367191" w:rsidRDefault="0073212B" w:rsidP="00316E66">
      <w:pPr>
        <w:numPr>
          <w:ilvl w:val="0"/>
          <w:numId w:val="1"/>
        </w:numPr>
        <w:spacing w:line="408" w:lineRule="auto"/>
        <w:ind w:left="71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Conclusion</w:t>
      </w:r>
    </w:p>
    <w:p w14:paraId="00000061" w14:textId="449316D0" w:rsidR="00720D02" w:rsidRPr="00367191" w:rsidRDefault="0073212B" w:rsidP="00316E66">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Summary of Key Findings</w:t>
      </w:r>
    </w:p>
    <w:p w14:paraId="00000062" w14:textId="77777777" w:rsidR="00720D02" w:rsidRPr="00D56677" w:rsidRDefault="0073212B" w:rsidP="00316E66">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Synthesizing the key findings from the case studies, this section emphasizes the positive correlation between well-being initiatives and workplace productivity observed at Horizon Innovations, Wellness Dynamics, and Nexus Technologies. By summarizing the common themes and lessons learned, this study contributes to a comprehensive understanding of the impact of employee well-being on organizational success.</w:t>
      </w:r>
    </w:p>
    <w:p w14:paraId="00000063" w14:textId="77777777" w:rsidR="00720D02" w:rsidRPr="00D56677" w:rsidRDefault="00720D02" w:rsidP="00D56677">
      <w:pPr>
        <w:ind w:left="1440"/>
        <w:jc w:val="both"/>
        <w:rPr>
          <w:rFonts w:ascii="Proxima Nova" w:eastAsia="Proxima Nova" w:hAnsi="Proxima Nova" w:cs="Proxima Nova"/>
          <w:sz w:val="24"/>
          <w:szCs w:val="24"/>
        </w:rPr>
      </w:pPr>
    </w:p>
    <w:p w14:paraId="00000065" w14:textId="6EBCC823" w:rsidR="00720D02" w:rsidRPr="00367191" w:rsidRDefault="0073212B" w:rsidP="00316E66">
      <w:pPr>
        <w:numPr>
          <w:ilvl w:val="1"/>
          <w:numId w:val="1"/>
        </w:numPr>
        <w:spacing w:line="408" w:lineRule="auto"/>
        <w:ind w:left="1434" w:hanging="357"/>
        <w:rPr>
          <w:rFonts w:ascii="Proxima Nova" w:eastAsia="Proxima Nova" w:hAnsi="Proxima Nova" w:cs="Proxima Nova"/>
          <w:b/>
          <w:bCs/>
          <w:color w:val="544568"/>
          <w:sz w:val="24"/>
          <w:szCs w:val="24"/>
        </w:rPr>
      </w:pPr>
      <w:r w:rsidRPr="00367191">
        <w:rPr>
          <w:rFonts w:ascii="Proxima Nova" w:eastAsia="Proxima Nova" w:hAnsi="Proxima Nova" w:cs="Proxima Nova"/>
          <w:b/>
          <w:bCs/>
          <w:color w:val="544568"/>
          <w:sz w:val="24"/>
          <w:szCs w:val="24"/>
        </w:rPr>
        <w:t xml:space="preserve">Implications and </w:t>
      </w:r>
      <w:r w:rsidRPr="00367191">
        <w:rPr>
          <w:rFonts w:ascii="Proxima Nova" w:eastAsia="Proxima Nova" w:hAnsi="Proxima Nova" w:cs="Proxima Nova"/>
          <w:b/>
          <w:bCs/>
          <w:color w:val="544568"/>
          <w:sz w:val="24"/>
          <w:szCs w:val="24"/>
        </w:rPr>
        <w:t>Recommendations</w:t>
      </w:r>
    </w:p>
    <w:p w14:paraId="00000066" w14:textId="77777777" w:rsidR="00720D02" w:rsidRPr="00D56677" w:rsidRDefault="0073212B" w:rsidP="00316E66">
      <w:pPr>
        <w:ind w:left="1440" w:firstLine="120"/>
        <w:rPr>
          <w:rFonts w:ascii="Proxima Nova" w:eastAsia="Proxima Nova" w:hAnsi="Proxima Nova" w:cs="Proxima Nova"/>
          <w:sz w:val="24"/>
          <w:szCs w:val="24"/>
        </w:rPr>
      </w:pPr>
      <w:r w:rsidRPr="00D56677">
        <w:rPr>
          <w:rFonts w:ascii="Proxima Nova" w:eastAsia="Proxima Nova" w:hAnsi="Proxima Nova" w:cs="Proxima Nova"/>
          <w:sz w:val="24"/>
          <w:szCs w:val="24"/>
        </w:rPr>
        <w:t xml:space="preserve">The conclusion offers practical implications for organizations aiming to enhance workplace productivity through employee well-being initiatives. Recognizing that a one-size-fits-all approach may not be </w:t>
      </w:r>
      <w:r w:rsidRPr="00D56677">
        <w:rPr>
          <w:rFonts w:ascii="Proxima Nova" w:eastAsia="Proxima Nova" w:hAnsi="Proxima Nova" w:cs="Proxima Nova"/>
          <w:sz w:val="24"/>
          <w:szCs w:val="24"/>
        </w:rPr>
        <w:lastRenderedPageBreak/>
        <w:t>suitable, recommendations are tailored to different industries, emphasizing the importance of customization. The study recommends ongoing research to continually refine and adapt well-being initiatives in response to evolving workforce dynamics and societal changes.</w:t>
      </w:r>
    </w:p>
    <w:p w14:paraId="00000067" w14:textId="77777777" w:rsidR="00720D02" w:rsidRPr="00D56677" w:rsidRDefault="00720D02" w:rsidP="00D56677">
      <w:pPr>
        <w:ind w:left="1440"/>
        <w:jc w:val="both"/>
        <w:rPr>
          <w:rFonts w:ascii="Proxima Nova" w:eastAsia="Proxima Nova" w:hAnsi="Proxima Nova" w:cs="Proxima Nova"/>
          <w:sz w:val="24"/>
          <w:szCs w:val="24"/>
        </w:rPr>
      </w:pPr>
    </w:p>
    <w:p w14:paraId="00000068" w14:textId="77777777" w:rsidR="00720D02" w:rsidRDefault="0073212B" w:rsidP="00316E66">
      <w:pPr>
        <w:ind w:left="720" w:firstLine="131"/>
        <w:rPr>
          <w:rFonts w:ascii="Proxima Nova" w:eastAsia="Proxima Nova" w:hAnsi="Proxima Nova" w:cs="Proxima Nova"/>
          <w:sz w:val="24"/>
          <w:szCs w:val="24"/>
        </w:rPr>
      </w:pPr>
      <w:r w:rsidRPr="00D56677">
        <w:rPr>
          <w:rFonts w:ascii="Proxima Nova" w:eastAsia="Proxima Nova" w:hAnsi="Proxima Nova" w:cs="Proxima Nova"/>
          <w:sz w:val="24"/>
          <w:szCs w:val="24"/>
        </w:rPr>
        <w:t>In conclusion, this research provides a deep dive into the impactful well-being initiatives implemented by Horizon Innovations, Wellness Dynamics, and Nexus Technologies. Through a comprehensive examination of diverse industries, the study aims to inform organizational strategies that prioritize employee well-being as a key driver of heightened workplace productivity. The findings contribute valuable insights to the ongoing discourse on the intersection of well-being and corporate success.</w:t>
      </w:r>
    </w:p>
    <w:p w14:paraId="6C6FE7E5" w14:textId="4EF0AA4A" w:rsidR="00F343C6" w:rsidRPr="0073212B" w:rsidRDefault="00F343C6" w:rsidP="0073212B">
      <w:pPr>
        <w:rPr>
          <w:rFonts w:ascii="Proxima Nova" w:eastAsia="Proxima Nova" w:hAnsi="Proxima Nova" w:cs="Proxima Nova"/>
          <w:sz w:val="24"/>
          <w:szCs w:val="24"/>
        </w:rPr>
      </w:pPr>
    </w:p>
    <w:sectPr w:rsidR="00F343C6" w:rsidRPr="0073212B" w:rsidSect="00D56677">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oxima Nova">
    <w:altName w:val="Tahoma"/>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D76B85"/>
    <w:multiLevelType w:val="multilevel"/>
    <w:tmpl w:val="22A0DFA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369454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D02"/>
    <w:rsid w:val="001A0206"/>
    <w:rsid w:val="001B11C7"/>
    <w:rsid w:val="002E356C"/>
    <w:rsid w:val="002F3202"/>
    <w:rsid w:val="00316E66"/>
    <w:rsid w:val="00367191"/>
    <w:rsid w:val="005576DE"/>
    <w:rsid w:val="00720D02"/>
    <w:rsid w:val="0073212B"/>
    <w:rsid w:val="007A0046"/>
    <w:rsid w:val="008A040D"/>
    <w:rsid w:val="008F6EF0"/>
    <w:rsid w:val="00BD69F7"/>
    <w:rsid w:val="00BF3216"/>
    <w:rsid w:val="00C06938"/>
    <w:rsid w:val="00D56677"/>
    <w:rsid w:val="00E07D4C"/>
    <w:rsid w:val="00EB055C"/>
    <w:rsid w:val="00F343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F0A5"/>
  <w15:docId w15:val="{40A5E956-6640-448A-9948-E81C72F6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F343C6"/>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Hyperlink">
    <w:name w:val="Hyperlink"/>
    <w:basedOn w:val="DefaultParagraphFont"/>
    <w:uiPriority w:val="99"/>
    <w:semiHidden/>
    <w:unhideWhenUsed/>
    <w:rsid w:val="00F343C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955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6</Pages>
  <Words>1201</Words>
  <Characters>6846</Characters>
  <Application>Microsoft Office Word</Application>
  <DocSecurity>0</DocSecurity>
  <Lines>57</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Rendell Rodriguez</cp:lastModifiedBy>
  <cp:revision>73</cp:revision>
  <dcterms:created xsi:type="dcterms:W3CDTF">2023-11-21T02:38:00Z</dcterms:created>
  <dcterms:modified xsi:type="dcterms:W3CDTF">2024-01-19T00:57:00Z</dcterms:modified>
</cp:coreProperties>
</file>