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4B902" w14:textId="77777777" w:rsidR="00290AC6" w:rsidRDefault="00290AC6" w:rsidP="00EB27B7">
      <w:pPr>
        <w:jc w:val="center"/>
        <w:rPr>
          <w:rFonts w:ascii="Calibri" w:hAnsi="Calibri"/>
          <w:b/>
          <w:sz w:val="48"/>
        </w:rPr>
      </w:pPr>
    </w:p>
    <w:p w14:paraId="25413FE2" w14:textId="68F88135" w:rsidR="00EB27B7" w:rsidRDefault="00312490" w:rsidP="00EB27B7">
      <w:pPr>
        <w:jc w:val="center"/>
      </w:pPr>
      <w:r>
        <w:rPr>
          <w:rFonts w:ascii="Calibri" w:hAnsi="Calibri"/>
          <w:b/>
          <w:sz w:val="48"/>
        </w:rPr>
        <w:t xml:space="preserve">Future of EV Batteries</w:t>
      </w:r>
    </w:p>
    <w:p w14:paraId="533C9266" w14:textId="77777777" w:rsidR="00EB27B7" w:rsidRDefault="00EB27B7" w:rsidP="00EB27B7">
      <w:pPr>
        <w:jc w:val="center"/>
      </w:pPr>
      <w:r>
        <w:rPr>
          <w:rFonts w:ascii="Calibri" w:hAnsi="Calibri"/>
          <w:sz w:val="28"/>
        </w:rPr>
        <w:t xml:space="preserve">Comprehensive Documentation on Electric Vehicle Battery Technology, Trends, and Best Practices</w:t>
      </w:r>
    </w:p>
    <w:p w14:paraId="55C92FF7" w14:textId="77777777" w:rsidR="00EB27B7" w:rsidRDefault="00EB27B7" w:rsidP="00EB27B7"/>
    <w:p w14:paraId="2241F990" w14:textId="77777777" w:rsidR="00EB27B7" w:rsidRDefault="00EB27B7" w:rsidP="00EB27B7"/>
    <w:p w14:paraId="07684EDB" w14:textId="77777777" w:rsidR="000D2336" w:rsidRDefault="00EB27B7" w:rsidP="00EB27B7">
      <w:pPr>
        <w:jc w:val="center"/>
        <w:rPr>
          <w:rFonts w:ascii="Calibri" w:hAnsi="Calibri"/>
          <w:sz w:val="22"/>
        </w:rPr>
      </w:pPr>
      <w:r>
        <w:rPr>
          <w:rFonts w:ascii="Calibri" w:hAnsi="Calibri"/>
          <w:sz w:val="22"/>
        </w:rPr>
        <w:t xml:space="preserve">Client: EVf Documentation Project</w:t>
      </w:r>
      <w:r>
        <w:rPr>
          <w:rFonts w:ascii="Calibri" w:hAnsi="Calibri"/>
          <w:sz w:val="22"/>
        </w:rPr>
        <w:br/>
        <w:t xml:space="preserve">Prepared for: EV Owners, Automotive Industry Professionals, Sustainability Stakeholders, Researchers, Students, and Policy Makers</w:t>
      </w:r>
      <w:r>
        <w:rPr>
          <w:rFonts w:ascii="Calibri" w:hAnsi="Calibri"/>
          <w:sz w:val="22"/>
        </w:rPr>
        <w:br/>
        <w:t xml:space="preserve">Prepared by: </w:t>
      </w:r>
      <w:r w:rsidR="000D2336">
        <w:rPr>
          <w:rFonts w:ascii="Calibri" w:hAnsi="Calibri"/>
          <w:sz w:val="22"/>
        </w:rPr>
        <w:t xml:space="preserve">EVf Documentation Team</w:t>
      </w:r>
    </w:p>
    <w:p w14:paraId="580FD331" w14:textId="43407DE1" w:rsidR="00EB27B7" w:rsidRDefault="00EB27B7" w:rsidP="00EB27B7">
      <w:pPr>
        <w:jc w:val="center"/>
      </w:pPr>
      <w:r>
        <w:rPr>
          <w:rFonts w:ascii="Calibri" w:hAnsi="Calibri"/>
          <w:sz w:val="22"/>
        </w:rPr>
        <w:t xml:space="preserve">Date: January 2026</w:t>
      </w:r>
    </w:p>
    <w:p w14:paraId="7225DC62" w14:textId="77777777" w:rsidR="00EB27B7" w:rsidRDefault="00EB27B7" w:rsidP="00EB27B7"/>
    <w:p w14:paraId="318496C9" w14:textId="77777777" w:rsidR="00EB27B7" w:rsidRDefault="00EB27B7" w:rsidP="00EB27B7">
      <w:pPr>
        <w:jc w:val="center"/>
      </w:pPr>
      <w:r>
        <w:rPr>
          <w:rFonts w:ascii="Calibri" w:hAnsi="Calibri"/>
          <w:i/>
        </w:rPr>
        <w:t xml:space="preserve">This document contains proprietary information about electric vehicle battery technologies. Distribution is intended for educational and informational purposes.</w:t>
      </w:r>
      <w:r>
        <w:rPr>
          <w:rFonts w:ascii="Calibri" w:hAnsi="Calibri"/>
          <w:i/>
        </w:rPr>
        <w:br/>
        <w:t xml:space="preserve">The information in this document represents current understanding of EV battery technology as of January 2026. Battery technology is rapidly evolving, and readers should verify current specifications with manufacturers.</w:t>
      </w:r>
    </w:p>
    <w:p w14:paraId="4699682C" w14:textId="77777777" w:rsidR="00EB27B7" w:rsidRDefault="00EB27B7" w:rsidP="00EB27B7">
      <w:r>
        <w:br w:type="page"/>
      </w:r>
    </w:p>
    <w:p>
      <w:pPr>
        <w:sectPr w:rsidR="006C3ED7" w:rsidRPr="00777527" w:rsidSect="00E97CAF">
          <w:headerReference w:type="default" r:id="rId8"/>
          <w:footerReference w:type="default" r:id="rId9"/>
          <w:headerReference w:type="first" r:id="rId10"/>
          <w:footerReference w:type="first" r:id="rId11"/>
          <w:pgSz w:w="12240" w:h="15840"/>
          <w:pgMar w:top="1909" w:right="1442" w:bottom="1800" w:left="1433" w:header="720" w:footer="432" w:gutter="0"/>
          <w:cols w:space="720"/>
          <w:titlePg/>
          <w:docGrid w:linePitch="299"/>
        </w:sectPr>
      </w:pPr>
    </w:p>
    <w:p>
      <w:pPr>
        <w:pStyle w:val="Title"/>
      </w:pPr>
      <w:r>
        <w:t xml:space="preserve">Future</w:t>
      </w:r>
      <w:r>
        <w:t xml:space="preserve"> </w:t>
      </w:r>
      <w:r>
        <w:t xml:space="preserve">of</w:t>
      </w:r>
      <w:r>
        <w:t xml:space="preserve"> </w:t>
      </w:r>
      <w:r>
        <w:t xml:space="preserve">EV</w:t>
      </w:r>
      <w:r>
        <w:t xml:space="preserve"> </w:t>
      </w:r>
      <w:r>
        <w:t xml:space="preserve">Batteries:</w:t>
      </w:r>
      <w:r>
        <w:t xml:space="preserve"> </w:t>
      </w:r>
      <w:r>
        <w:t xml:space="preserve">Comprehensive</w:t>
      </w:r>
      <w:r>
        <w:t xml:space="preserve"> </w:t>
      </w:r>
      <w:r>
        <w:t xml:space="preserve">Documentation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introduction"/>
      <w:r>
        <w:t xml:space="preserve">Introduction</w:t>
      </w:r>
      <w:bookmarkEnd w:id="20"/>
    </w:p>
    <w:p>
      <w:pPr>
        <w:pStyle w:val="FirstParagraph"/>
      </w:pPr>
      <w:r>
        <w:t xml:space="preserve">The electric vehicle (EV) industry stands at a pivotal inflection point. As global automotive markets accelerate their transition from internal combustion engines to electrified powertrains, the battery—the heart of every EV—has become the focal point of intensive research, development, and investment. This comprehensive documentation explores the future of EV batteries, examining emerging technologies, operational considerations, and practical guidance for stakeholders across the automotive ecosystem.</w:t>
      </w:r>
    </w:p>
    <w:p>
      <w:pPr>
        <w:pStyle w:val="BodyText"/>
      </w:pPr>
      <w:r>
        <w:t xml:space="preserve">The battery represents approximately 30-40% of an electric vehicle’s total cost and fundamentally determines its range, charging speed, longevity, and environmental footprint. Understanding the trajectory of battery technology is therefore essential for EV owners and prospective buyers making purchasing decisions, automotive industry professionals planning product strategies, sustainability stakeholders evaluating environmental impacts, researchers and students studying energy storage systems, and policy makers crafting regulations that will shape the industry’s future.</w:t>
      </w:r>
    </w:p>
    <w:p>
      <w:pPr>
        <w:pStyle w:val="BodyText"/>
      </w:pPr>
      <w:r>
        <w:t xml:space="preserve">This documentation synthesizes current research to forecast the technological landscape between 2025 and 2035, providing actionable insights on battery selection, maintenance best practices, and preparation for next-generation charging infrastructure. Whether you are evaluating your first EV purchase, managing a commercial fleet, or developing battery technology policy, this guide provides the foundational knowledge and practical guidance needed to navigate the rapidly evolving EV battery landscape.</w:t>
      </w:r>
    </w:p>
    <w:p>
      <w:pPr>
        <w:pStyle w:val="Heading1"/>
      </w:pPr>
      <w:bookmarkStart w:id="21" w:name="concepts-and-terminology"/>
      <w:r>
        <w:t xml:space="preserve">Concepts and Terminology</w:t>
      </w:r>
      <w:bookmarkEnd w:id="21"/>
    </w:p>
    <w:p>
      <w:pPr>
        <w:pStyle w:val="Heading2"/>
      </w:pPr>
      <w:bookmarkStart w:id="22" w:name="core-definitions"/>
      <w:r>
        <w:t xml:space="preserve">Core Definitions</w:t>
      </w:r>
      <w:bookmarkEnd w:id="22"/>
    </w:p>
    <w:p>
      <w:pPr>
        <w:pStyle w:val="FirstParagraph"/>
      </w:pPr>
      <w:r>
        <w:t xml:space="preserve">Understanding EV battery technology requires familiarity with key concepts and technical terminology. This section establishes the foundational vocabulary used throughout this documentation.</w:t>
      </w:r>
    </w:p>
    <w:p>
      <w:pPr>
        <w:pStyle w:val="Heading3"/>
      </w:pPr>
      <w:bookmarkStart w:id="23" w:name="electric-vehicle-ev"/>
      <w:r>
        <w:t xml:space="preserve">Electric Vehicle (EV)</w:t>
      </w:r>
      <w:bookmarkEnd w:id="23"/>
    </w:p>
    <w:p>
      <w:pPr>
        <w:pStyle w:val="FirstParagraph"/>
      </w:pPr>
      <w:r>
        <w:t xml:space="preserve">An electric vehicle is a vehicle powered by one or more electric motors using energy stored in rechargeable batteries. EVs encompass several categories:</w:t>
      </w:r>
    </w:p>
    <w:tbl>
      <w:tblPr>
        <w:tblStyle w:val="Table"/>
        <w:tblW w:type="pct" w:w="50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3120"/>
        <w:gridCol w:w="240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Examples</w:t>
            </w:r>
          </w:p>
        </w:tc>
      </w:tr>
      <w:tr>
        <w:tc>
          <w:p>
            <w:pPr>
              <w:pStyle w:val="Compact"/>
              <w:jc w:val="left"/>
            </w:pPr>
            <w:r>
              <w:t xml:space="preserve">Battery Electric Vehicle (BEV)</w:t>
            </w:r>
          </w:p>
        </w:tc>
        <w:tc>
          <w:p>
            <w:pPr>
              <w:pStyle w:val="Compact"/>
              <w:jc w:val="left"/>
            </w:pPr>
            <w:r>
              <w:t xml:space="preserve">Fully electric, powered entirely by batteries</w:t>
            </w:r>
          </w:p>
        </w:tc>
        <w:tc>
          <w:p>
            <w:pPr>
              <w:pStyle w:val="Compact"/>
              <w:jc w:val="left"/>
            </w:pPr>
            <w:r>
              <w:t xml:space="preserve">Tesla Model 3, Chevrolet Bolt, Nissan Leaf</w:t>
            </w:r>
          </w:p>
        </w:tc>
      </w:tr>
      <w:tr>
        <w:tc>
          <w:p>
            <w:pPr>
              <w:pStyle w:val="Compact"/>
              <w:jc w:val="left"/>
            </w:pPr>
            <w:r>
              <w:t xml:space="preserve">Plug-in Hybrid Electric Vehicle (PHEV)</w:t>
            </w:r>
          </w:p>
        </w:tc>
        <w:tc>
          <w:p>
            <w:pPr>
              <w:pStyle w:val="Compact"/>
              <w:jc w:val="left"/>
            </w:pPr>
            <w:r>
              <w:t xml:space="preserve">Combines battery power with internal combustion engine</w:t>
            </w:r>
          </w:p>
        </w:tc>
        <w:tc>
          <w:p>
            <w:pPr>
              <w:pStyle w:val="Compact"/>
              <w:jc w:val="left"/>
            </w:pPr>
            <w:r>
              <w:t xml:space="preserve">Toyota RAV4 Prime, BMW X5 xDrive45e</w:t>
            </w:r>
          </w:p>
        </w:tc>
      </w:tr>
      <w:tr>
        <w:tc>
          <w:p>
            <w:pPr>
              <w:pStyle w:val="Compact"/>
              <w:jc w:val="left"/>
            </w:pPr>
            <w:r>
              <w:t xml:space="preserve">Hybrid Electric Vehicle (HEV)</w:t>
            </w:r>
          </w:p>
        </w:tc>
        <w:tc>
          <w:p>
            <w:pPr>
              <w:pStyle w:val="Compact"/>
              <w:jc w:val="left"/>
            </w:pPr>
            <w:r>
              <w:t xml:space="preserve">Uses regenerative braking to charge smaller battery</w:t>
            </w:r>
          </w:p>
        </w:tc>
        <w:tc>
          <w:p>
            <w:pPr>
              <w:pStyle w:val="Compact"/>
              <w:jc w:val="left"/>
            </w:pPr>
            <w:r>
              <w:t xml:space="preserve">Toyota Prius, Honda Insight</w:t>
            </w:r>
          </w:p>
        </w:tc>
      </w:tr>
    </w:tbl>
    <w:p>
      <w:pPr>
        <w:pStyle w:val="Heading3"/>
      </w:pPr>
      <w:bookmarkStart w:id="24" w:name="battery-chemistry"/>
      <w:r>
        <w:t xml:space="preserve">Battery Chemistry</w:t>
      </w:r>
      <w:bookmarkEnd w:id="24"/>
    </w:p>
    <w:p>
      <w:pPr>
        <w:pStyle w:val="FirstParagraph"/>
      </w:pPr>
      <w:r>
        <w:t xml:space="preserve">Battery chemistry refers to the specific combination of materials and electrochemical reactions used to store and release electrical energy. The chemistry determines fundamental battery characteristics including energy density, safety profile, cost, cycle life, and operating temperature range.</w:t>
      </w:r>
    </w:p>
    <w:tbl>
      <w:tblPr>
        <w:tblStyle w:val="Table"/>
        <w:tblW w:type="pct" w:w="50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26"/>
        <w:gridCol w:w="2026"/>
        <w:gridCol w:w="3867"/>
      </w:tblGrid>
      <w:tr>
        <w:trPr>
          <w:cnfStyle w:firstRow="1"/>
        </w:trPr>
        <w:tc>
          <w:tcPr>
            <w:tcBorders>
              <w:bottom w:val="single"/>
            </w:tcBorders>
            <w:vAlign w:val="bottom"/>
          </w:tcPr>
          <w:p>
            <w:pPr>
              <w:pStyle w:val="Compact"/>
              <w:jc w:val="left"/>
            </w:pPr>
            <w:r>
              <w:t xml:space="preserve">Chemistry</w:t>
            </w:r>
          </w:p>
        </w:tc>
        <w:tc>
          <w:tcPr>
            <w:tcBorders>
              <w:bottom w:val="single"/>
            </w:tcBorders>
            <w:vAlign w:val="bottom"/>
          </w:tcPr>
          <w:p>
            <w:pPr>
              <w:pStyle w:val="Compact"/>
              <w:jc w:val="left"/>
            </w:pPr>
            <w:r>
              <w:t xml:space="preserve">Full Name</w:t>
            </w:r>
          </w:p>
        </w:tc>
        <w:tc>
          <w:tcPr>
            <w:tcBorders>
              <w:bottom w:val="single"/>
            </w:tcBorders>
            <w:vAlign w:val="bottom"/>
          </w:tcPr>
          <w:p>
            <w:pPr>
              <w:pStyle w:val="Compact"/>
              <w:jc w:val="left"/>
            </w:pPr>
            <w:r>
              <w:t xml:space="preserve">Key Characteristics</w:t>
            </w:r>
          </w:p>
        </w:tc>
      </w:tr>
      <w:tr>
        <w:tc>
          <w:p>
            <w:pPr>
              <w:pStyle w:val="Compact"/>
              <w:jc w:val="left"/>
            </w:pPr>
            <w:r>
              <w:t xml:space="preserve">NMC</w:t>
            </w:r>
          </w:p>
        </w:tc>
        <w:tc>
          <w:p>
            <w:pPr>
              <w:pStyle w:val="Compact"/>
              <w:jc w:val="left"/>
            </w:pPr>
            <w:r>
              <w:t xml:space="preserve">Nickel Manganese Cobalt</w:t>
            </w:r>
          </w:p>
        </w:tc>
        <w:tc>
          <w:p>
            <w:pPr>
              <w:pStyle w:val="Compact"/>
              <w:jc w:val="left"/>
            </w:pPr>
            <w:r>
              <w:t xml:space="preserve">High energy density, balanced performance</w:t>
            </w:r>
          </w:p>
        </w:tc>
      </w:tr>
      <w:tr>
        <w:tc>
          <w:p>
            <w:pPr>
              <w:pStyle w:val="Compact"/>
              <w:jc w:val="left"/>
            </w:pPr>
            <w:r>
              <w:t xml:space="preserve">NCA</w:t>
            </w:r>
          </w:p>
        </w:tc>
        <w:tc>
          <w:p>
            <w:pPr>
              <w:pStyle w:val="Compact"/>
              <w:jc w:val="left"/>
            </w:pPr>
            <w:r>
              <w:t xml:space="preserve">Nickel Cobalt Aluminum</w:t>
            </w:r>
          </w:p>
        </w:tc>
        <w:tc>
          <w:p>
            <w:pPr>
              <w:pStyle w:val="Compact"/>
              <w:jc w:val="left"/>
            </w:pPr>
            <w:r>
              <w:t xml:space="preserve">Very high energy density, premium applications</w:t>
            </w:r>
          </w:p>
        </w:tc>
      </w:tr>
      <w:tr>
        <w:tc>
          <w:p>
            <w:pPr>
              <w:pStyle w:val="Compact"/>
              <w:jc w:val="left"/>
            </w:pPr>
            <w:r>
              <w:t xml:space="preserve">LFP</w:t>
            </w:r>
          </w:p>
        </w:tc>
        <w:tc>
          <w:p>
            <w:pPr>
              <w:pStyle w:val="Compact"/>
              <w:jc w:val="left"/>
            </w:pPr>
            <w:r>
              <w:t xml:space="preserve">Lithium Iron Phosphate</w:t>
            </w:r>
          </w:p>
        </w:tc>
        <w:tc>
          <w:p>
            <w:pPr>
              <w:pStyle w:val="Compact"/>
              <w:jc w:val="left"/>
            </w:pPr>
            <w:r>
              <w:t xml:space="preserve">Excellent safety, long cycle life, lower cost</w:t>
            </w:r>
          </w:p>
        </w:tc>
      </w:tr>
      <w:tr>
        <w:tc>
          <w:p>
            <w:pPr>
              <w:pStyle w:val="Compact"/>
              <w:jc w:val="left"/>
            </w:pPr>
            <w:r>
              <w:t xml:space="preserve">LMFP</w:t>
            </w:r>
          </w:p>
        </w:tc>
        <w:tc>
          <w:p>
            <w:pPr>
              <w:pStyle w:val="Compact"/>
              <w:jc w:val="left"/>
            </w:pPr>
            <w:r>
              <w:t xml:space="preserve">Lithium Manganese Iron Phosphate</w:t>
            </w:r>
          </w:p>
        </w:tc>
        <w:tc>
          <w:p>
            <w:pPr>
              <w:pStyle w:val="Compact"/>
              <w:jc w:val="left"/>
            </w:pPr>
            <w:r>
              <w:t xml:space="preserve">Enhanced LFP with 15-20% higher energy density</w:t>
            </w:r>
          </w:p>
        </w:tc>
      </w:tr>
      <w:tr>
        <w:tc>
          <w:p>
            <w:pPr>
              <w:pStyle w:val="Compact"/>
              <w:jc w:val="left"/>
            </w:pPr>
            <w:r>
              <w:t xml:space="preserve">SSB</w:t>
            </w:r>
          </w:p>
        </w:tc>
        <w:tc>
          <w:p>
            <w:pPr>
              <w:pStyle w:val="Compact"/>
              <w:jc w:val="left"/>
            </w:pPr>
            <w:r>
              <w:t xml:space="preserve">Solid-State Battery</w:t>
            </w:r>
          </w:p>
        </w:tc>
        <w:tc>
          <w:p>
            <w:pPr>
              <w:pStyle w:val="Compact"/>
              <w:jc w:val="left"/>
            </w:pPr>
            <w:r>
              <w:t xml:space="preserve">Next-generation, solid electrolyte, highest potential energy density</w:t>
            </w:r>
          </w:p>
        </w:tc>
      </w:tr>
      <w:tr>
        <w:tc>
          <w:p>
            <w:pPr>
              <w:pStyle w:val="Compact"/>
              <w:jc w:val="left"/>
            </w:pPr>
            <w:r>
              <w:t xml:space="preserve">SIB</w:t>
            </w:r>
          </w:p>
        </w:tc>
        <w:tc>
          <w:p>
            <w:pPr>
              <w:pStyle w:val="Compact"/>
              <w:jc w:val="left"/>
            </w:pPr>
            <w:r>
              <w:t xml:space="preserve">Sodium-Ion Battery</w:t>
            </w:r>
          </w:p>
        </w:tc>
        <w:tc>
          <w:p>
            <w:pPr>
              <w:pStyle w:val="Compact"/>
              <w:jc w:val="left"/>
            </w:pPr>
            <w:r>
              <w:t xml:space="preserve">Abundant materials, lower cost, cold-weather performance</w:t>
            </w:r>
          </w:p>
        </w:tc>
      </w:tr>
      <w:tr>
        <w:tc>
          <w:p>
            <w:pPr>
              <w:pStyle w:val="Compact"/>
              <w:jc w:val="left"/>
            </w:pPr>
            <w:r>
              <w:t xml:space="preserve">Li-S</w:t>
            </w:r>
          </w:p>
        </w:tc>
        <w:tc>
          <w:p>
            <w:pPr>
              <w:pStyle w:val="Compact"/>
              <w:jc w:val="left"/>
            </w:pPr>
            <w:r>
              <w:t xml:space="preserve">Lithium-Sulfur</w:t>
            </w:r>
          </w:p>
        </w:tc>
        <w:tc>
          <w:p>
            <w:pPr>
              <w:pStyle w:val="Compact"/>
              <w:jc w:val="left"/>
            </w:pPr>
            <w:r>
              <w:t xml:space="preserve">Theoretical ultra-high energy density, research stage</w:t>
            </w:r>
          </w:p>
        </w:tc>
      </w:tr>
    </w:tbl>
    <w:p>
      <w:pPr>
        <w:pStyle w:val="Heading3"/>
      </w:pPr>
      <w:bookmarkStart w:id="25" w:name="energy-density"/>
      <w:r>
        <w:t xml:space="preserve">Energy Density</w:t>
      </w:r>
      <w:bookmarkEnd w:id="25"/>
    </w:p>
    <w:p>
      <w:pPr>
        <w:pStyle w:val="FirstParagraph"/>
      </w:pPr>
      <w:r>
        <w:t xml:space="preserve">Energy density measures the amount of energy a battery can store relative to its size or weight:</w:t>
      </w:r>
    </w:p>
    <w:p>
      <w:pPr>
        <w:numPr>
          <w:ilvl w:val="0"/>
          <w:numId w:val="1001"/>
        </w:numPr>
        <w:pStyle w:val="Compact"/>
      </w:pPr>
      <w:r>
        <w:rPr>
          <w:b/>
        </w:rPr>
        <w:t xml:space="preserve">Gravimetric Energy Density (Wh/kg)</w:t>
      </w:r>
      <w:r>
        <w:t xml:space="preserve">: Energy per unit mass—critical for vehicle weight and efficiency</w:t>
      </w:r>
    </w:p>
    <w:p>
      <w:pPr>
        <w:numPr>
          <w:ilvl w:val="0"/>
          <w:numId w:val="1001"/>
        </w:numPr>
        <w:pStyle w:val="Compact"/>
      </w:pPr>
      <w:r>
        <w:rPr>
          <w:b/>
        </w:rPr>
        <w:t xml:space="preserve">Volumetric Energy Density (Wh/L)</w:t>
      </w:r>
      <w:r>
        <w:t xml:space="preserve">: Energy per unit volume—important for packaging constraints</w:t>
      </w:r>
    </w:p>
    <w:p>
      <w:pPr>
        <w:pStyle w:val="FirstParagraph"/>
      </w:pPr>
      <w:r>
        <w:t xml:space="preserve">Current benchmarks for EV batteries:</w:t>
      </w:r>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Chemistry</w:t>
            </w:r>
          </w:p>
        </w:tc>
        <w:tc>
          <w:tcPr>
            <w:tcBorders>
              <w:bottom w:val="single"/>
            </w:tcBorders>
            <w:vAlign w:val="bottom"/>
          </w:tcPr>
          <w:p>
            <w:pPr>
              <w:pStyle w:val="Compact"/>
              <w:jc w:val="left"/>
            </w:pPr>
            <w:r>
              <w:t xml:space="preserve">Gravimetric Energy Density</w:t>
            </w:r>
          </w:p>
        </w:tc>
        <w:tc>
          <w:tcPr>
            <w:tcBorders>
              <w:bottom w:val="single"/>
            </w:tcBorders>
            <w:vAlign w:val="bottom"/>
          </w:tcPr>
          <w:p>
            <w:pPr>
              <w:pStyle w:val="Compact"/>
              <w:jc w:val="left"/>
            </w:pPr>
            <w:r>
              <w:t xml:space="preserve">Volumetric Energy Density</w:t>
            </w:r>
          </w:p>
        </w:tc>
      </w:tr>
      <w:tr>
        <w:tc>
          <w:p>
            <w:pPr>
              <w:pStyle w:val="Compact"/>
              <w:jc w:val="left"/>
            </w:pPr>
            <w:r>
              <w:t xml:space="preserve">LFP</w:t>
            </w:r>
          </w:p>
        </w:tc>
        <w:tc>
          <w:p>
            <w:pPr>
              <w:pStyle w:val="Compact"/>
              <w:jc w:val="left"/>
            </w:pPr>
            <w:r>
              <w:t xml:space="preserve">150-180 Wh/kg</w:t>
            </w:r>
          </w:p>
        </w:tc>
        <w:tc>
          <w:p>
            <w:pPr>
              <w:pStyle w:val="Compact"/>
              <w:jc w:val="left"/>
            </w:pPr>
            <w:r>
              <w:t xml:space="preserve">300-350 Wh/L</w:t>
            </w:r>
          </w:p>
        </w:tc>
      </w:tr>
      <w:tr>
        <w:tc>
          <w:p>
            <w:pPr>
              <w:pStyle w:val="Compact"/>
              <w:jc w:val="left"/>
            </w:pPr>
            <w:r>
              <w:t xml:space="preserve">NMC</w:t>
            </w:r>
          </w:p>
        </w:tc>
        <w:tc>
          <w:p>
            <w:pPr>
              <w:pStyle w:val="Compact"/>
              <w:jc w:val="left"/>
            </w:pPr>
            <w:r>
              <w:t xml:space="preserve">200-280 Wh/kg</w:t>
            </w:r>
          </w:p>
        </w:tc>
        <w:tc>
          <w:p>
            <w:pPr>
              <w:pStyle w:val="Compact"/>
              <w:jc w:val="left"/>
            </w:pPr>
            <w:r>
              <w:t xml:space="preserve">450-600 Wh/L</w:t>
            </w:r>
          </w:p>
        </w:tc>
      </w:tr>
      <w:tr>
        <w:tc>
          <w:p>
            <w:pPr>
              <w:pStyle w:val="Compact"/>
              <w:jc w:val="left"/>
            </w:pPr>
            <w:r>
              <w:t xml:space="preserve">Solid-State (target)</w:t>
            </w:r>
          </w:p>
        </w:tc>
        <w:tc>
          <w:p>
            <w:pPr>
              <w:pStyle w:val="Compact"/>
              <w:jc w:val="left"/>
            </w:pPr>
            <w:r>
              <w:t xml:space="preserve">300-500 Wh/kg</w:t>
            </w:r>
          </w:p>
        </w:tc>
        <w:tc>
          <w:p>
            <w:pPr>
              <w:pStyle w:val="Compact"/>
              <w:jc w:val="left"/>
            </w:pPr>
            <w:r>
              <w:t xml:space="preserve">800-1000 Wh/L</w:t>
            </w:r>
          </w:p>
        </w:tc>
      </w:tr>
    </w:tbl>
    <w:p>
      <w:pPr>
        <w:pStyle w:val="Heading3"/>
      </w:pPr>
      <w:bookmarkStart w:id="26" w:name="cycle-life"/>
      <w:r>
        <w:t xml:space="preserve">Cycle Life</w:t>
      </w:r>
      <w:bookmarkEnd w:id="26"/>
    </w:p>
    <w:p>
      <w:pPr>
        <w:pStyle w:val="FirstParagraph"/>
      </w:pPr>
      <w:r>
        <w:t xml:space="preserve">Cycle life refers to the number of complete charge-discharge cycles a battery can undergo before its capacity degrades to a specified threshold (typically 80% of original capacity). Modern EV batteries typically offer:</w:t>
      </w:r>
    </w:p>
    <w:p>
      <w:pPr>
        <w:numPr>
          <w:ilvl w:val="0"/>
          <w:numId w:val="1002"/>
        </w:numPr>
        <w:pStyle w:val="Compact"/>
      </w:pPr>
      <w:r>
        <w:rPr>
          <w:b/>
        </w:rPr>
        <w:t xml:space="preserve">LFP batteries</w:t>
      </w:r>
      <w:r>
        <w:t xml:space="preserve">: 3,000-5,000 cycles</w:t>
      </w:r>
    </w:p>
    <w:p>
      <w:pPr>
        <w:numPr>
          <w:ilvl w:val="0"/>
          <w:numId w:val="1002"/>
        </w:numPr>
        <w:pStyle w:val="Compact"/>
      </w:pPr>
      <w:r>
        <w:rPr>
          <w:b/>
        </w:rPr>
        <w:t xml:space="preserve">NMC batteries</w:t>
      </w:r>
      <w:r>
        <w:t xml:space="preserve">: 1,500-2,500 cycles</w:t>
      </w:r>
    </w:p>
    <w:p>
      <w:pPr>
        <w:numPr>
          <w:ilvl w:val="0"/>
          <w:numId w:val="1002"/>
        </w:numPr>
        <w:pStyle w:val="Compact"/>
      </w:pPr>
      <w:r>
        <w:rPr>
          <w:b/>
        </w:rPr>
        <w:t xml:space="preserve">Solid-state (projected)</w:t>
      </w:r>
      <w:r>
        <w:t xml:space="preserve">: 5,000+ cycles</w:t>
      </w:r>
    </w:p>
    <w:p>
      <w:pPr>
        <w:pStyle w:val="Heading3"/>
      </w:pPr>
      <w:bookmarkStart w:id="27" w:name="charging-rate-c-rate"/>
      <w:r>
        <w:t xml:space="preserve">Charging Rate (C-Rate)</w:t>
      </w:r>
      <w:bookmarkEnd w:id="27"/>
    </w:p>
    <w:p>
      <w:pPr>
        <w:pStyle w:val="FirstParagraph"/>
      </w:pPr>
      <w:r>
        <w:t xml:space="preserve">The C-rate expresses charging or discharging speed relative to battery capacity:</w:t>
      </w:r>
    </w:p>
    <w:p>
      <w:pPr>
        <w:numPr>
          <w:ilvl w:val="0"/>
          <w:numId w:val="1003"/>
        </w:numPr>
        <w:pStyle w:val="Compact"/>
      </w:pPr>
      <w:r>
        <w:rPr>
          <w:b/>
        </w:rPr>
        <w:t xml:space="preserve">1C</w:t>
      </w:r>
      <w:r>
        <w:t xml:space="preserve">: Charge or discharge the full capacity in one hour</w:t>
      </w:r>
    </w:p>
    <w:p>
      <w:pPr>
        <w:numPr>
          <w:ilvl w:val="0"/>
          <w:numId w:val="1003"/>
        </w:numPr>
        <w:pStyle w:val="Compact"/>
      </w:pPr>
      <w:r>
        <w:rPr>
          <w:b/>
        </w:rPr>
        <w:t xml:space="preserve">2C</w:t>
      </w:r>
      <w:r>
        <w:t xml:space="preserve">: Charge or discharge in 30 minutes</w:t>
      </w:r>
    </w:p>
    <w:p>
      <w:pPr>
        <w:numPr>
          <w:ilvl w:val="0"/>
          <w:numId w:val="1003"/>
        </w:numPr>
        <w:pStyle w:val="Compact"/>
      </w:pPr>
      <w:r>
        <w:rPr>
          <w:b/>
        </w:rPr>
        <w:t xml:space="preserve">4C</w:t>
      </w:r>
      <w:r>
        <w:t xml:space="preserve">: Charge or discharge in 15 minutes (ultra-fast charging)</w:t>
      </w:r>
    </w:p>
    <w:p>
      <w:pPr>
        <w:pStyle w:val="Heading3"/>
      </w:pPr>
      <w:bookmarkStart w:id="28" w:name="state-of-charge-soc"/>
      <w:r>
        <w:t xml:space="preserve">State of Charge (SoC)</w:t>
      </w:r>
      <w:bookmarkEnd w:id="28"/>
    </w:p>
    <w:p>
      <w:pPr>
        <w:pStyle w:val="FirstParagraph"/>
      </w:pPr>
      <w:r>
        <w:t xml:space="preserve">State of Charge indicates the current energy level of a battery as a percentage of its maximum capacity, analogous to a fuel gauge in conventional vehicles.</w:t>
      </w:r>
    </w:p>
    <w:p>
      <w:pPr>
        <w:pStyle w:val="Heading3"/>
      </w:pPr>
      <w:bookmarkStart w:id="29" w:name="state-of-health-soh"/>
      <w:r>
        <w:t xml:space="preserve">State of Health (SoH)</w:t>
      </w:r>
      <w:bookmarkEnd w:id="29"/>
    </w:p>
    <w:p>
      <w:pPr>
        <w:pStyle w:val="FirstParagraph"/>
      </w:pPr>
      <w:r>
        <w:t xml:space="preserve">State of Health measures a battery’s current maximum capacity compared to its original capacity, indicating overall degradation level.</w:t>
      </w:r>
    </w:p>
    <w:p>
      <w:pPr>
        <w:pStyle w:val="Heading3"/>
      </w:pPr>
      <w:bookmarkStart w:id="30" w:name="thermal-management"/>
      <w:r>
        <w:t xml:space="preserve">Thermal Management</w:t>
      </w:r>
      <w:bookmarkEnd w:id="30"/>
    </w:p>
    <w:p>
      <w:pPr>
        <w:pStyle w:val="FirstParagraph"/>
      </w:pPr>
      <w:r>
        <w:t xml:space="preserve">Thermal management systems maintain battery temperature within optimal operating ranges (typically 20-40°C) through:</w:t>
      </w:r>
    </w:p>
    <w:p>
      <w:pPr>
        <w:numPr>
          <w:ilvl w:val="0"/>
          <w:numId w:val="1004"/>
        </w:numPr>
        <w:pStyle w:val="Compact"/>
      </w:pPr>
      <w:r>
        <w:rPr>
          <w:b/>
        </w:rPr>
        <w:t xml:space="preserve">Active cooling</w:t>
      </w:r>
      <w:r>
        <w:t xml:space="preserve">: Liquid cooling systems with dedicated coolant loops</w:t>
      </w:r>
    </w:p>
    <w:p>
      <w:pPr>
        <w:numPr>
          <w:ilvl w:val="0"/>
          <w:numId w:val="1004"/>
        </w:numPr>
        <w:pStyle w:val="Compact"/>
      </w:pPr>
      <w:r>
        <w:rPr>
          <w:b/>
        </w:rPr>
        <w:t xml:space="preserve">Passive cooling</w:t>
      </w:r>
      <w:r>
        <w:t xml:space="preserve">: Heat sinks and thermal interface materials</w:t>
      </w:r>
    </w:p>
    <w:p>
      <w:pPr>
        <w:numPr>
          <w:ilvl w:val="0"/>
          <w:numId w:val="1004"/>
        </w:numPr>
        <w:pStyle w:val="Compact"/>
      </w:pPr>
      <w:r>
        <w:rPr>
          <w:b/>
        </w:rPr>
        <w:t xml:space="preserve">Heating systems</w:t>
      </w:r>
      <w:r>
        <w:t xml:space="preserve">: Cold-weather battery conditioning</w:t>
      </w:r>
    </w:p>
    <w:p>
      <w:pPr>
        <w:pStyle w:val="Heading2"/>
      </w:pPr>
      <w:bookmarkStart w:id="31" w:name="concept-relationships"/>
      <w:r>
        <w:t xml:space="preserve">Concept Relationships</w:t>
      </w:r>
      <w:bookmarkEnd w:id="31"/>
    </w:p>
    <w:p>
      <w:pPr>
        <w:pStyle w:val="FirstParagraph"/>
      </w:pPr>
      <w:r>
        <w:t xml:space="preserve">Understanding how these concepts interrelate is essential for evaluating battery technology:</w:t>
      </w:r>
    </w:p>
    <w:p>
      <w:pPr>
        <w:pStyle w:val="BodyText"/>
      </w:pPr>
      <w:r>
        <w:t xml:space="preserve">Battery chemistry fundamentally determines energy density, safety characteristics, cost, and recyclability. Higher energy density enables longer driving range but may introduce trade-offs in safety or cost. Thermal management systems protect battery health and enable faster charging by maintaining optimal operating temperatures. Cycle life and charging behavior directly impact long-term ownership costs and user experience.</w:t>
      </w:r>
    </w:p>
    <w:p>
      <w:pPr>
        <w:pStyle w:val="Heading1"/>
      </w:pPr>
      <w:bookmarkStart w:id="32" w:name="battery-technologies"/>
      <w:r>
        <w:t xml:space="preserve">Battery Technologies</w:t>
      </w:r>
      <w:bookmarkEnd w:id="32"/>
    </w:p>
    <w:p>
      <w:pPr>
        <w:pStyle w:val="Heading2"/>
      </w:pPr>
      <w:bookmarkStart w:id="33" w:name="current-technology-landscape"/>
      <w:r>
        <w:t xml:space="preserve">Current Technology Landscape</w:t>
      </w:r>
      <w:bookmarkEnd w:id="33"/>
    </w:p>
    <w:p>
      <w:pPr>
        <w:pStyle w:val="Heading3"/>
      </w:pPr>
      <w:bookmarkStart w:id="34" w:name="lithium-ion-batteries"/>
      <w:r>
        <w:t xml:space="preserve">Lithium-Ion Batteries</w:t>
      </w:r>
      <w:bookmarkEnd w:id="34"/>
    </w:p>
    <w:p>
      <w:pPr>
        <w:pStyle w:val="FirstParagraph"/>
      </w:pPr>
      <w:r>
        <w:t xml:space="preserve">Lithium-ion batteries dominate the current EV market, representing over 95% of electric vehicle energy storage. These batteries store energy through the movement of lithium ions between electrodes during charging and discharging.</w:t>
      </w:r>
    </w:p>
    <w:p>
      <w:pPr>
        <w:pStyle w:val="BodyText"/>
      </w:pPr>
      <w:r>
        <w:t xml:space="preserve">The lithium-ion family encompasses several chemistries, each offering distinct advantages:</w:t>
      </w:r>
    </w:p>
    <w:p>
      <w:pPr>
        <w:pStyle w:val="BodyText"/>
      </w:pPr>
      <w:r>
        <w:rPr>
          <w:b/>
        </w:rPr>
        <w:t xml:space="preserve">Nickel Manganese Cobalt (NMC)</w:t>
      </w:r>
      <w:r>
        <w:t xml:space="preserve">: NMC batteries represent the current performance benchmark for premium EVs. The balanced composition of nickel (for energy density), manganese (for stability), and cobalt (for cycle life) delivers:</w:t>
      </w:r>
    </w:p>
    <w:p>
      <w:pPr>
        <w:numPr>
          <w:ilvl w:val="0"/>
          <w:numId w:val="1005"/>
        </w:numPr>
        <w:pStyle w:val="Compact"/>
      </w:pPr>
      <w:r>
        <w:t xml:space="preserve">Energy density: 200-280 Wh/kg</w:t>
      </w:r>
    </w:p>
    <w:p>
      <w:pPr>
        <w:numPr>
          <w:ilvl w:val="0"/>
          <w:numId w:val="1005"/>
        </w:numPr>
        <w:pStyle w:val="Compact"/>
      </w:pPr>
      <w:r>
        <w:t xml:space="preserve">Good cycle life: 1,500-2,500 cycles</w:t>
      </w:r>
    </w:p>
    <w:p>
      <w:pPr>
        <w:numPr>
          <w:ilvl w:val="0"/>
          <w:numId w:val="1005"/>
        </w:numPr>
        <w:pStyle w:val="Compact"/>
      </w:pPr>
      <w:r>
        <w:t xml:space="preserve">Moderate cost: $100-130/kWh at pack level</w:t>
      </w:r>
    </w:p>
    <w:p>
      <w:pPr>
        <w:numPr>
          <w:ilvl w:val="0"/>
          <w:numId w:val="1005"/>
        </w:numPr>
        <w:pStyle w:val="Compact"/>
      </w:pPr>
      <w:r>
        <w:t xml:space="preserve">Applications: Most premium EVs including Mercedes-Benz, BMW, Volkswagen</w:t>
      </w:r>
    </w:p>
    <w:p>
      <w:pPr>
        <w:pStyle w:val="FirstParagraph"/>
      </w:pPr>
      <w:r>
        <w:rPr>
          <w:b/>
        </w:rPr>
        <w:t xml:space="preserve">Nickel Cobalt Aluminum (NCA)</w:t>
      </w:r>
      <w:r>
        <w:t xml:space="preserve">: NCA batteries push energy density even higher by substituting aluminum for manganese:</w:t>
      </w:r>
    </w:p>
    <w:p>
      <w:pPr>
        <w:numPr>
          <w:ilvl w:val="0"/>
          <w:numId w:val="1006"/>
        </w:numPr>
        <w:pStyle w:val="Compact"/>
      </w:pPr>
      <w:r>
        <w:t xml:space="preserve">Energy density: 220-300 Wh/kg</w:t>
      </w:r>
    </w:p>
    <w:p>
      <w:pPr>
        <w:numPr>
          <w:ilvl w:val="0"/>
          <w:numId w:val="1006"/>
        </w:numPr>
        <w:pStyle w:val="Compact"/>
      </w:pPr>
      <w:r>
        <w:t xml:space="preserve">Excellent specific energy for maximum range</w:t>
      </w:r>
    </w:p>
    <w:p>
      <w:pPr>
        <w:numPr>
          <w:ilvl w:val="0"/>
          <w:numId w:val="1006"/>
        </w:numPr>
        <w:pStyle w:val="Compact"/>
      </w:pPr>
      <w:r>
        <w:t xml:space="preserve">Applications: Tesla vehicles, performance-oriented EVs</w:t>
      </w:r>
    </w:p>
    <w:p>
      <w:pPr>
        <w:pStyle w:val="FirstParagraph"/>
      </w:pPr>
      <w:r>
        <w:rPr>
          <w:b/>
        </w:rPr>
        <w:t xml:space="preserve">Lithium Iron Phosphate (LFP)</w:t>
      </w:r>
      <w:r>
        <w:t xml:space="preserve">: LFP batteries have captured over 50% market share in key markets due to compelling advantages:</w:t>
      </w:r>
    </w:p>
    <w:p>
      <w:pPr>
        <w:numPr>
          <w:ilvl w:val="0"/>
          <w:numId w:val="1007"/>
        </w:numPr>
        <w:pStyle w:val="Compact"/>
      </w:pPr>
      <w:r>
        <w:t xml:space="preserve">Exceptional safety: Thermally stable, resistant to thermal runaway</w:t>
      </w:r>
    </w:p>
    <w:p>
      <w:pPr>
        <w:numPr>
          <w:ilvl w:val="0"/>
          <w:numId w:val="1007"/>
        </w:numPr>
        <w:pStyle w:val="Compact"/>
      </w:pPr>
      <w:r>
        <w:t xml:space="preserve">Superior cycle life: 3,000-5,000 cycles</w:t>
      </w:r>
    </w:p>
    <w:p>
      <w:pPr>
        <w:numPr>
          <w:ilvl w:val="0"/>
          <w:numId w:val="1007"/>
        </w:numPr>
        <w:pStyle w:val="Compact"/>
      </w:pPr>
      <w:r>
        <w:t xml:space="preserve">Lower cost: $70-90/kWh at pack level</w:t>
      </w:r>
    </w:p>
    <w:p>
      <w:pPr>
        <w:numPr>
          <w:ilvl w:val="0"/>
          <w:numId w:val="1007"/>
        </w:numPr>
        <w:pStyle w:val="Compact"/>
      </w:pPr>
      <w:r>
        <w:t xml:space="preserve">Abundant materials: No cobalt or nickel required</w:t>
      </w:r>
    </w:p>
    <w:p>
      <w:pPr>
        <w:numPr>
          <w:ilvl w:val="0"/>
          <w:numId w:val="1007"/>
        </w:numPr>
        <w:pStyle w:val="Compact"/>
      </w:pPr>
      <w:r>
        <w:t xml:space="preserve">Applications: BYD vehicles, Tesla standard-range models, commercial vehicles</w:t>
      </w:r>
    </w:p>
    <w:p>
      <w:pPr>
        <w:pStyle w:val="Heading3"/>
      </w:pPr>
      <w:bookmarkStart w:id="35" w:name="market-distribution-by-chemistry-2025"/>
      <w:r>
        <w:t xml:space="preserve">Market Distribution by Chemistry (2025)</w:t>
      </w:r>
      <w:bookmarkEnd w:id="35"/>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Region</w:t>
            </w:r>
          </w:p>
        </w:tc>
        <w:tc>
          <w:tcPr>
            <w:tcBorders>
              <w:bottom w:val="single"/>
            </w:tcBorders>
            <w:vAlign w:val="bottom"/>
          </w:tcPr>
          <w:p>
            <w:pPr>
              <w:pStyle w:val="Compact"/>
              <w:jc w:val="left"/>
            </w:pPr>
            <w:r>
              <w:t xml:space="preserve">LFP Share</w:t>
            </w:r>
          </w:p>
        </w:tc>
        <w:tc>
          <w:tcPr>
            <w:tcBorders>
              <w:bottom w:val="single"/>
            </w:tcBorders>
            <w:vAlign w:val="bottom"/>
          </w:tcPr>
          <w:p>
            <w:pPr>
              <w:pStyle w:val="Compact"/>
              <w:jc w:val="left"/>
            </w:pPr>
            <w:r>
              <w:t xml:space="preserve">NMC/NCA Share</w:t>
            </w:r>
          </w:p>
        </w:tc>
        <w:tc>
          <w:tcPr>
            <w:tcBorders>
              <w:bottom w:val="single"/>
            </w:tcBorders>
            <w:vAlign w:val="bottom"/>
          </w:tcPr>
          <w:p>
            <w:pPr>
              <w:pStyle w:val="Compact"/>
              <w:jc w:val="left"/>
            </w:pPr>
            <w:r>
              <w:t xml:space="preserve">Other</w:t>
            </w:r>
          </w:p>
        </w:tc>
      </w:tr>
      <w:tr>
        <w:tc>
          <w:p>
            <w:pPr>
              <w:pStyle w:val="Compact"/>
              <w:jc w:val="left"/>
            </w:pPr>
            <w:r>
              <w:t xml:space="preserve">China</w:t>
            </w:r>
          </w:p>
        </w:tc>
        <w:tc>
          <w:p>
            <w:pPr>
              <w:pStyle w:val="Compact"/>
              <w:jc w:val="left"/>
            </w:pPr>
            <w:r>
              <w:t xml:space="preserve">65%</w:t>
            </w:r>
          </w:p>
        </w:tc>
        <w:tc>
          <w:p>
            <w:pPr>
              <w:pStyle w:val="Compact"/>
              <w:jc w:val="left"/>
            </w:pPr>
            <w:r>
              <w:t xml:space="preserve">33%</w:t>
            </w:r>
          </w:p>
        </w:tc>
        <w:tc>
          <w:p>
            <w:pPr>
              <w:pStyle w:val="Compact"/>
              <w:jc w:val="left"/>
            </w:pPr>
            <w:r>
              <w:t xml:space="preserve">2%</w:t>
            </w:r>
          </w:p>
        </w:tc>
      </w:tr>
      <w:tr>
        <w:tc>
          <w:p>
            <w:pPr>
              <w:pStyle w:val="Compact"/>
              <w:jc w:val="left"/>
            </w:pPr>
            <w:r>
              <w:t xml:space="preserve">Europe</w:t>
            </w:r>
          </w:p>
        </w:tc>
        <w:tc>
          <w:p>
            <w:pPr>
              <w:pStyle w:val="Compact"/>
              <w:jc w:val="left"/>
            </w:pPr>
            <w:r>
              <w:t xml:space="preserve">35%</w:t>
            </w:r>
          </w:p>
        </w:tc>
        <w:tc>
          <w:p>
            <w:pPr>
              <w:pStyle w:val="Compact"/>
              <w:jc w:val="left"/>
            </w:pPr>
            <w:r>
              <w:t xml:space="preserve">62%</w:t>
            </w:r>
          </w:p>
        </w:tc>
        <w:tc>
          <w:p>
            <w:pPr>
              <w:pStyle w:val="Compact"/>
              <w:jc w:val="left"/>
            </w:pPr>
            <w:r>
              <w:t xml:space="preserve">3%</w:t>
            </w:r>
          </w:p>
        </w:tc>
      </w:tr>
      <w:tr>
        <w:tc>
          <w:p>
            <w:pPr>
              <w:pStyle w:val="Compact"/>
              <w:jc w:val="left"/>
            </w:pPr>
            <w:r>
              <w:t xml:space="preserve">North America</w:t>
            </w:r>
          </w:p>
        </w:tc>
        <w:tc>
          <w:p>
            <w:pPr>
              <w:pStyle w:val="Compact"/>
              <w:jc w:val="left"/>
            </w:pPr>
            <w:r>
              <w:t xml:space="preserve">30%</w:t>
            </w:r>
          </w:p>
        </w:tc>
        <w:tc>
          <w:p>
            <w:pPr>
              <w:pStyle w:val="Compact"/>
              <w:jc w:val="left"/>
            </w:pPr>
            <w:r>
              <w:t xml:space="preserve">68%</w:t>
            </w:r>
          </w:p>
        </w:tc>
        <w:tc>
          <w:p>
            <w:pPr>
              <w:pStyle w:val="Compact"/>
              <w:jc w:val="left"/>
            </w:pPr>
            <w:r>
              <w:t xml:space="preserve">2%</w:t>
            </w:r>
          </w:p>
        </w:tc>
      </w:tr>
      <w:tr>
        <w:tc>
          <w:p>
            <w:pPr>
              <w:pStyle w:val="Compact"/>
              <w:jc w:val="left"/>
            </w:pPr>
            <w:r>
              <w:t xml:space="preserve">Global Average</w:t>
            </w:r>
          </w:p>
        </w:tc>
        <w:tc>
          <w:p>
            <w:pPr>
              <w:pStyle w:val="Compact"/>
              <w:jc w:val="left"/>
            </w:pPr>
            <w:r>
              <w:t xml:space="preserve">52%</w:t>
            </w:r>
          </w:p>
        </w:tc>
        <w:tc>
          <w:p>
            <w:pPr>
              <w:pStyle w:val="Compact"/>
              <w:jc w:val="left"/>
            </w:pPr>
            <w:r>
              <w:t xml:space="preserve">46%</w:t>
            </w:r>
          </w:p>
        </w:tc>
        <w:tc>
          <w:p>
            <w:pPr>
              <w:pStyle w:val="Compact"/>
              <w:jc w:val="left"/>
            </w:pPr>
            <w:r>
              <w:t xml:space="preserve">2%</w:t>
            </w:r>
          </w:p>
        </w:tc>
      </w:tr>
    </w:tbl>
    <w:p>
      <w:pPr>
        <w:pStyle w:val="Heading2"/>
      </w:pPr>
      <w:bookmarkStart w:id="36" w:name="emerging-technologies"/>
      <w:r>
        <w:t xml:space="preserve">Emerging Technologies</w:t>
      </w:r>
      <w:bookmarkEnd w:id="36"/>
    </w:p>
    <w:p>
      <w:pPr>
        <w:pStyle w:val="Heading3"/>
      </w:pPr>
      <w:bookmarkStart w:id="37" w:name="solid-state-batteries-ssb"/>
      <w:r>
        <w:t xml:space="preserve">Solid-State Batteries (SSB)</w:t>
      </w:r>
      <w:bookmarkEnd w:id="37"/>
    </w:p>
    <w:p>
      <w:pPr>
        <w:pStyle w:val="FirstParagraph"/>
      </w:pPr>
      <w:r>
        <w:t xml:space="preserve">Solid-state batteries represent the most significant potential leap in EV battery technology, replacing the flammable liquid electrolyte with a solid ceramic, glass, or polymer electrolyte.</w:t>
      </w:r>
    </w:p>
    <w:p>
      <w:pPr>
        <w:pStyle w:val="BodyText"/>
      </w:pPr>
      <w:r>
        <w:rPr>
          <w:b/>
        </w:rPr>
        <w:t xml:space="preserve">Performance Targets</w:t>
      </w:r>
      <w:r>
        <w:t xml:space="preserve">:</w:t>
      </w:r>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Current Li-ion</w:t>
            </w:r>
          </w:p>
        </w:tc>
        <w:tc>
          <w:tcPr>
            <w:tcBorders>
              <w:bottom w:val="single"/>
            </w:tcBorders>
            <w:vAlign w:val="bottom"/>
          </w:tcPr>
          <w:p>
            <w:pPr>
              <w:pStyle w:val="Compact"/>
              <w:jc w:val="left"/>
            </w:pPr>
            <w:r>
              <w:t xml:space="preserve">Solid-State Target</w:t>
            </w:r>
          </w:p>
        </w:tc>
        <w:tc>
          <w:tcPr>
            <w:tcBorders>
              <w:bottom w:val="single"/>
            </w:tcBorders>
            <w:vAlign w:val="bottom"/>
          </w:tcPr>
          <w:p>
            <w:pPr>
              <w:pStyle w:val="Compact"/>
              <w:jc w:val="left"/>
            </w:pPr>
            <w:r>
              <w:t xml:space="preserve">Improvement</w:t>
            </w:r>
          </w:p>
        </w:tc>
      </w:tr>
      <w:tr>
        <w:tc>
          <w:p>
            <w:pPr>
              <w:pStyle w:val="Compact"/>
              <w:jc w:val="left"/>
            </w:pPr>
            <w:r>
              <w:t xml:space="preserve">Energy Density</w:t>
            </w:r>
          </w:p>
        </w:tc>
        <w:tc>
          <w:p>
            <w:pPr>
              <w:pStyle w:val="Compact"/>
              <w:jc w:val="left"/>
            </w:pPr>
            <w:r>
              <w:t xml:space="preserve">250-300 Wh/kg</w:t>
            </w:r>
          </w:p>
        </w:tc>
        <w:tc>
          <w:p>
            <w:pPr>
              <w:pStyle w:val="Compact"/>
              <w:jc w:val="left"/>
            </w:pPr>
            <w:r>
              <w:t xml:space="preserve">400-500 Wh/kg</w:t>
            </w:r>
          </w:p>
        </w:tc>
        <w:tc>
          <w:p>
            <w:pPr>
              <w:pStyle w:val="Compact"/>
              <w:jc w:val="left"/>
            </w:pPr>
            <w:r>
              <w:t xml:space="preserve">60-80%</w:t>
            </w:r>
          </w:p>
        </w:tc>
      </w:tr>
      <w:tr>
        <w:tc>
          <w:p>
            <w:pPr>
              <w:pStyle w:val="Compact"/>
              <w:jc w:val="left"/>
            </w:pPr>
            <w:r>
              <w:t xml:space="preserve">Charging Time (10-80%)</w:t>
            </w:r>
          </w:p>
        </w:tc>
        <w:tc>
          <w:p>
            <w:pPr>
              <w:pStyle w:val="Compact"/>
              <w:jc w:val="left"/>
            </w:pPr>
            <w:r>
              <w:t xml:space="preserve">25-40 minutes</w:t>
            </w:r>
          </w:p>
        </w:tc>
        <w:tc>
          <w:p>
            <w:pPr>
              <w:pStyle w:val="Compact"/>
              <w:jc w:val="left"/>
            </w:pPr>
            <w:r>
              <w:t xml:space="preserve">10-15 minutes</w:t>
            </w:r>
          </w:p>
        </w:tc>
        <w:tc>
          <w:p>
            <w:pPr>
              <w:pStyle w:val="Compact"/>
              <w:jc w:val="left"/>
            </w:pPr>
            <w:r>
              <w:t xml:space="preserve">60% faster</w:t>
            </w:r>
          </w:p>
        </w:tc>
      </w:tr>
      <w:tr>
        <w:tc>
          <w:p>
            <w:pPr>
              <w:pStyle w:val="Compact"/>
              <w:jc w:val="left"/>
            </w:pPr>
            <w:r>
              <w:t xml:space="preserve">Cycle Life</w:t>
            </w:r>
          </w:p>
        </w:tc>
        <w:tc>
          <w:p>
            <w:pPr>
              <w:pStyle w:val="Compact"/>
              <w:jc w:val="left"/>
            </w:pPr>
            <w:r>
              <w:t xml:space="preserve">1,500-2,500</w:t>
            </w:r>
          </w:p>
        </w:tc>
        <w:tc>
          <w:p>
            <w:pPr>
              <w:pStyle w:val="Compact"/>
              <w:jc w:val="left"/>
            </w:pPr>
            <w:r>
              <w:t xml:space="preserve">5,000+</w:t>
            </w:r>
          </w:p>
        </w:tc>
        <w:tc>
          <w:p>
            <w:pPr>
              <w:pStyle w:val="Compact"/>
              <w:jc w:val="left"/>
            </w:pPr>
            <w:r>
              <w:t xml:space="preserve">100%+</w:t>
            </w:r>
          </w:p>
        </w:tc>
      </w:tr>
      <w:tr>
        <w:tc>
          <w:p>
            <w:pPr>
              <w:pStyle w:val="Compact"/>
              <w:jc w:val="left"/>
            </w:pPr>
            <w:r>
              <w:t xml:space="preserve">Safety</w:t>
            </w:r>
          </w:p>
        </w:tc>
        <w:tc>
          <w:p>
            <w:pPr>
              <w:pStyle w:val="Compact"/>
              <w:jc w:val="left"/>
            </w:pPr>
            <w:r>
              <w:t xml:space="preserve">Good</w:t>
            </w:r>
          </w:p>
        </w:tc>
        <w:tc>
          <w:p>
            <w:pPr>
              <w:pStyle w:val="Compact"/>
              <w:jc w:val="left"/>
            </w:pPr>
            <w:r>
              <w:t xml:space="preserve">Excellent</w:t>
            </w:r>
          </w:p>
        </w:tc>
        <w:tc>
          <w:p>
            <w:pPr>
              <w:pStyle w:val="Compact"/>
              <w:jc w:val="left"/>
            </w:pPr>
            <w:r>
              <w:t xml:space="preserve">Inherently stable</w:t>
            </w:r>
          </w:p>
        </w:tc>
      </w:tr>
    </w:tbl>
    <w:p>
      <w:pPr>
        <w:pStyle w:val="BodyText"/>
      </w:pPr>
      <w:r>
        <w:rPr>
          <w:b/>
        </w:rPr>
        <w:t xml:space="preserve">Electrolyte Types</w:t>
      </w:r>
      <w:r>
        <w:t xml:space="preserve">:</w:t>
      </w:r>
    </w:p>
    <w:tbl>
      <w:tblPr>
        <w:tblStyle w:val="Table"/>
        <w:tblW w:type="pct" w:w="50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Advantages</w:t>
            </w:r>
          </w:p>
        </w:tc>
        <w:tc>
          <w:tcPr>
            <w:tcBorders>
              <w:bottom w:val="single"/>
            </w:tcBorders>
            <w:vAlign w:val="bottom"/>
          </w:tcPr>
          <w:p>
            <w:pPr>
              <w:pStyle w:val="Compact"/>
              <w:jc w:val="left"/>
            </w:pPr>
            <w:r>
              <w:t xml:space="preserve">Challenges</w:t>
            </w:r>
          </w:p>
        </w:tc>
      </w:tr>
      <w:tr>
        <w:tc>
          <w:p>
            <w:pPr>
              <w:pStyle w:val="Compact"/>
              <w:jc w:val="left"/>
            </w:pPr>
            <w:r>
              <w:t xml:space="preserve">Sulfide-based</w:t>
            </w:r>
          </w:p>
        </w:tc>
        <w:tc>
          <w:p>
            <w:pPr>
              <w:pStyle w:val="Compact"/>
              <w:jc w:val="left"/>
            </w:pPr>
            <w:r>
              <w:t xml:space="preserve">High ionic conductivity</w:t>
            </w:r>
          </w:p>
        </w:tc>
        <w:tc>
          <w:p>
            <w:pPr>
              <w:pStyle w:val="Compact"/>
              <w:jc w:val="left"/>
            </w:pPr>
            <w:r>
              <w:t xml:space="preserve">Air sensitivity, toxic byproducts</w:t>
            </w:r>
          </w:p>
        </w:tc>
      </w:tr>
      <w:tr>
        <w:tc>
          <w:p>
            <w:pPr>
              <w:pStyle w:val="Compact"/>
              <w:jc w:val="left"/>
            </w:pPr>
            <w:r>
              <w:t xml:space="preserve">Oxide-based</w:t>
            </w:r>
          </w:p>
        </w:tc>
        <w:tc>
          <w:p>
            <w:pPr>
              <w:pStyle w:val="Compact"/>
              <w:jc w:val="left"/>
            </w:pPr>
            <w:r>
              <w:t xml:space="preserve">High stability, long life</w:t>
            </w:r>
          </w:p>
        </w:tc>
        <w:tc>
          <w:p>
            <w:pPr>
              <w:pStyle w:val="Compact"/>
              <w:jc w:val="left"/>
            </w:pPr>
            <w:r>
              <w:t xml:space="preserve">Brittleness, high-temperature processing</w:t>
            </w:r>
          </w:p>
        </w:tc>
      </w:tr>
      <w:tr>
        <w:tc>
          <w:p>
            <w:pPr>
              <w:pStyle w:val="Compact"/>
              <w:jc w:val="left"/>
            </w:pPr>
            <w:r>
              <w:t xml:space="preserve">Polymer-based</w:t>
            </w:r>
          </w:p>
        </w:tc>
        <w:tc>
          <w:p>
            <w:pPr>
              <w:pStyle w:val="Compact"/>
              <w:jc w:val="left"/>
            </w:pPr>
            <w:r>
              <w:t xml:space="preserve">Flexible, easy processing</w:t>
            </w:r>
          </w:p>
        </w:tc>
        <w:tc>
          <w:p>
            <w:pPr>
              <w:pStyle w:val="Compact"/>
              <w:jc w:val="left"/>
            </w:pPr>
            <w:r>
              <w:t xml:space="preserve">Lower conductivity, requires heating</w:t>
            </w:r>
          </w:p>
        </w:tc>
      </w:tr>
    </w:tbl>
    <w:p>
      <w:pPr>
        <w:pStyle w:val="BodyText"/>
      </w:pPr>
      <w:r>
        <w:rPr>
          <w:b/>
        </w:rPr>
        <w:t xml:space="preserve">Commercialization Timeline</w:t>
      </w:r>
      <w:r>
        <w:t xml:space="preserve">:</w:t>
      </w:r>
    </w:p>
    <w:p>
      <w:pPr>
        <w:numPr>
          <w:ilvl w:val="0"/>
          <w:numId w:val="1008"/>
        </w:numPr>
        <w:pStyle w:val="Compact"/>
      </w:pPr>
      <w:r>
        <w:t xml:space="preserve">2025-2026: Limited production in premium vehicles (Toyota, BMW)</w:t>
      </w:r>
    </w:p>
    <w:p>
      <w:pPr>
        <w:numPr>
          <w:ilvl w:val="0"/>
          <w:numId w:val="1008"/>
        </w:numPr>
        <w:pStyle w:val="Compact"/>
      </w:pPr>
      <w:r>
        <w:t xml:space="preserve">2027-2028: Volume production begins</w:t>
      </w:r>
    </w:p>
    <w:p>
      <w:pPr>
        <w:numPr>
          <w:ilvl w:val="0"/>
          <w:numId w:val="1008"/>
        </w:numPr>
        <w:pStyle w:val="Compact"/>
      </w:pPr>
      <w:r>
        <w:t xml:space="preserve">2030+: Cost parity with lithium-ion</w:t>
      </w:r>
    </w:p>
    <w:p>
      <w:pPr>
        <w:pStyle w:val="Heading3"/>
      </w:pPr>
      <w:bookmarkStart w:id="38" w:name="sodium-ion-batteries-sib"/>
      <w:r>
        <w:t xml:space="preserve">Sodium-Ion Batteries (SIB)</w:t>
      </w:r>
      <w:bookmarkEnd w:id="38"/>
    </w:p>
    <w:p>
      <w:pPr>
        <w:pStyle w:val="FirstParagraph"/>
      </w:pPr>
      <w:r>
        <w:t xml:space="preserve">Sodium-ion technology is emerging as a cost-effective, sustainable alternative to lithium-ion:</w:t>
      </w:r>
    </w:p>
    <w:p>
      <w:pPr>
        <w:pStyle w:val="BodyText"/>
      </w:pPr>
      <w:r>
        <w:rPr>
          <w:b/>
        </w:rPr>
        <w:t xml:space="preserve">Advantages</w:t>
      </w:r>
      <w:r>
        <w:t xml:space="preserve">:</w:t>
      </w:r>
    </w:p>
    <w:p>
      <w:pPr>
        <w:numPr>
          <w:ilvl w:val="0"/>
          <w:numId w:val="1009"/>
        </w:numPr>
        <w:pStyle w:val="Compact"/>
      </w:pPr>
      <w:r>
        <w:t xml:space="preserve">Material abundance: Sodium is 500x more abundant than lithium</w:t>
      </w:r>
    </w:p>
    <w:p>
      <w:pPr>
        <w:numPr>
          <w:ilvl w:val="0"/>
          <w:numId w:val="1009"/>
        </w:numPr>
        <w:pStyle w:val="Compact"/>
      </w:pPr>
      <w:r>
        <w:t xml:space="preserve">Cost reduction: 30-40% lower than equivalent lithium-ion</w:t>
      </w:r>
    </w:p>
    <w:p>
      <w:pPr>
        <w:numPr>
          <w:ilvl w:val="0"/>
          <w:numId w:val="1009"/>
        </w:numPr>
        <w:pStyle w:val="Compact"/>
      </w:pPr>
      <w:r>
        <w:t xml:space="preserve">Cold performance: Retains &gt;90% capacity at -20°C</w:t>
      </w:r>
    </w:p>
    <w:p>
      <w:pPr>
        <w:numPr>
          <w:ilvl w:val="0"/>
          <w:numId w:val="1009"/>
        </w:numPr>
        <w:pStyle w:val="Compact"/>
      </w:pPr>
      <w:r>
        <w:t xml:space="preserve">Fast charging: 80% charge in 15 minutes</w:t>
      </w:r>
    </w:p>
    <w:p>
      <w:pPr>
        <w:numPr>
          <w:ilvl w:val="0"/>
          <w:numId w:val="1009"/>
        </w:numPr>
        <w:pStyle w:val="Compact"/>
      </w:pPr>
      <w:r>
        <w:t xml:space="preserve">Safety: No thermal runaway risk</w:t>
      </w:r>
    </w:p>
    <w:p>
      <w:pPr>
        <w:pStyle w:val="FirstParagraph"/>
      </w:pPr>
      <w:r>
        <w:rPr>
          <w:b/>
        </w:rPr>
        <w:t xml:space="preserve">Current Specifications</w:t>
      </w:r>
      <w:r>
        <w:t xml:space="preserve">:</w:t>
      </w:r>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Sodium-Ion</w:t>
            </w:r>
          </w:p>
        </w:tc>
        <w:tc>
          <w:tcPr>
            <w:tcBorders>
              <w:bottom w:val="single"/>
            </w:tcBorders>
            <w:vAlign w:val="bottom"/>
          </w:tcPr>
          <w:p>
            <w:pPr>
              <w:pStyle w:val="Compact"/>
              <w:jc w:val="left"/>
            </w:pPr>
            <w:r>
              <w:t xml:space="preserve">LFP (comparison)</w:t>
            </w:r>
          </w:p>
        </w:tc>
      </w:tr>
      <w:tr>
        <w:tc>
          <w:p>
            <w:pPr>
              <w:pStyle w:val="Compact"/>
              <w:jc w:val="left"/>
            </w:pPr>
            <w:r>
              <w:t xml:space="preserve">Energy Density</w:t>
            </w:r>
          </w:p>
        </w:tc>
        <w:tc>
          <w:p>
            <w:pPr>
              <w:pStyle w:val="Compact"/>
              <w:jc w:val="left"/>
            </w:pPr>
            <w:r>
              <w:t xml:space="preserve">140-160 Wh/kg</w:t>
            </w:r>
          </w:p>
        </w:tc>
        <w:tc>
          <w:p>
            <w:pPr>
              <w:pStyle w:val="Compact"/>
              <w:jc w:val="left"/>
            </w:pPr>
            <w:r>
              <w:t xml:space="preserve">150-180 Wh/kg</w:t>
            </w:r>
          </w:p>
        </w:tc>
      </w:tr>
      <w:tr>
        <w:tc>
          <w:p>
            <w:pPr>
              <w:pStyle w:val="Compact"/>
              <w:jc w:val="left"/>
            </w:pPr>
            <w:r>
              <w:t xml:space="preserve">Cycle Life</w:t>
            </w:r>
          </w:p>
        </w:tc>
        <w:tc>
          <w:p>
            <w:pPr>
              <w:pStyle w:val="Compact"/>
              <w:jc w:val="left"/>
            </w:pPr>
            <w:r>
              <w:t xml:space="preserve">3,000+ cycles</w:t>
            </w:r>
          </w:p>
        </w:tc>
        <w:tc>
          <w:p>
            <w:pPr>
              <w:pStyle w:val="Compact"/>
              <w:jc w:val="left"/>
            </w:pPr>
            <w:r>
              <w:t xml:space="preserve">3,000-5,000 cycles</w:t>
            </w:r>
          </w:p>
        </w:tc>
      </w:tr>
      <w:tr>
        <w:tc>
          <w:p>
            <w:pPr>
              <w:pStyle w:val="Compact"/>
              <w:jc w:val="left"/>
            </w:pPr>
            <w:r>
              <w:t xml:space="preserve">Cost Target</w:t>
            </w:r>
          </w:p>
        </w:tc>
        <w:tc>
          <w:p>
            <w:pPr>
              <w:pStyle w:val="Compact"/>
              <w:jc w:val="left"/>
            </w:pPr>
            <w:r>
              <w:t xml:space="preserve">$40-60/kWh</w:t>
            </w:r>
          </w:p>
        </w:tc>
        <w:tc>
          <w:p>
            <w:pPr>
              <w:pStyle w:val="Compact"/>
              <w:jc w:val="left"/>
            </w:pPr>
            <w:r>
              <w:t xml:space="preserve">$70-90/kWh</w:t>
            </w:r>
          </w:p>
        </w:tc>
      </w:tr>
      <w:tr>
        <w:tc>
          <w:p>
            <w:pPr>
              <w:pStyle w:val="Compact"/>
              <w:jc w:val="left"/>
            </w:pPr>
            <w:r>
              <w:t xml:space="preserve">Operating Temperature</w:t>
            </w:r>
          </w:p>
        </w:tc>
        <w:tc>
          <w:p>
            <w:pPr>
              <w:pStyle w:val="Compact"/>
              <w:jc w:val="left"/>
            </w:pPr>
            <w:r>
              <w:t xml:space="preserve">-40°C to 60°C</w:t>
            </w:r>
          </w:p>
        </w:tc>
        <w:tc>
          <w:p>
            <w:pPr>
              <w:pStyle w:val="Compact"/>
              <w:jc w:val="left"/>
            </w:pPr>
            <w:r>
              <w:t xml:space="preserve">-20°C to 55°C</w:t>
            </w:r>
          </w:p>
        </w:tc>
      </w:tr>
    </w:tbl>
    <w:p>
      <w:pPr>
        <w:pStyle w:val="BodyText"/>
      </w:pPr>
      <w:r>
        <w:rPr>
          <w:b/>
        </w:rPr>
        <w:t xml:space="preserve">Applications</w:t>
      </w:r>
      <w:r>
        <w:t xml:space="preserve">: Entry-level EVs, micro-mobility, urban delivery vehicles, stationary storage</w:t>
      </w:r>
    </w:p>
    <w:p>
      <w:pPr>
        <w:pStyle w:val="Heading3"/>
      </w:pPr>
      <w:bookmarkStart w:id="39" w:name="lithium-manganese-iron-phosphate-lmfp"/>
      <w:r>
        <w:t xml:space="preserve">Lithium Manganese Iron Phosphate (LMFP)</w:t>
      </w:r>
      <w:bookmarkEnd w:id="39"/>
    </w:p>
    <w:p>
      <w:pPr>
        <w:pStyle w:val="FirstParagraph"/>
      </w:pPr>
      <w:r>
        <w:t xml:space="preserve">LMFP represents an evolution of LFP technology, adding manganese to increase voltage and energy density:</w:t>
      </w:r>
    </w:p>
    <w:p>
      <w:pPr>
        <w:numPr>
          <w:ilvl w:val="0"/>
          <w:numId w:val="1010"/>
        </w:numPr>
        <w:pStyle w:val="Compact"/>
      </w:pPr>
      <w:r>
        <w:t xml:space="preserve">15-20% higher energy density than standard LFP</w:t>
      </w:r>
    </w:p>
    <w:p>
      <w:pPr>
        <w:numPr>
          <w:ilvl w:val="0"/>
          <w:numId w:val="1010"/>
        </w:numPr>
        <w:pStyle w:val="Compact"/>
      </w:pPr>
      <w:r>
        <w:t xml:space="preserve">Maintains LFP safety and longevity advantages</w:t>
      </w:r>
    </w:p>
    <w:p>
      <w:pPr>
        <w:numPr>
          <w:ilvl w:val="0"/>
          <w:numId w:val="1010"/>
        </w:numPr>
        <w:pStyle w:val="Compact"/>
      </w:pPr>
      <w:r>
        <w:t xml:space="preserve">Bridge technology while solid-state matures</w:t>
      </w:r>
    </w:p>
    <w:p>
      <w:pPr>
        <w:numPr>
          <w:ilvl w:val="0"/>
          <w:numId w:val="1010"/>
        </w:numPr>
        <w:pStyle w:val="Compact"/>
      </w:pPr>
      <w:r>
        <w:t xml:space="preserve">Expected in production vehicles by 2025-2026</w:t>
      </w:r>
    </w:p>
    <w:p>
      <w:pPr>
        <w:pStyle w:val="Heading3"/>
      </w:pPr>
      <w:bookmarkStart w:id="40" w:name="lithium-sulfur-li-s"/>
      <w:r>
        <w:t xml:space="preserve">Lithium-Sulfur (Li-S)</w:t>
      </w:r>
      <w:bookmarkEnd w:id="40"/>
    </w:p>
    <w:p>
      <w:pPr>
        <w:pStyle w:val="FirstParagraph"/>
      </w:pPr>
      <w:r>
        <w:t xml:space="preserve">Lithium-sulfur batteries offer theoretical energy densities 4-5x higher than current lithium-ion:</w:t>
      </w:r>
    </w:p>
    <w:p>
      <w:pPr>
        <w:numPr>
          <w:ilvl w:val="0"/>
          <w:numId w:val="1011"/>
        </w:numPr>
        <w:pStyle w:val="Compact"/>
      </w:pPr>
      <w:r>
        <w:t xml:space="preserve">Theoretical: 2,600 Wh/kg</w:t>
      </w:r>
    </w:p>
    <w:p>
      <w:pPr>
        <w:numPr>
          <w:ilvl w:val="0"/>
          <w:numId w:val="1011"/>
        </w:numPr>
        <w:pStyle w:val="Compact"/>
      </w:pPr>
      <w:r>
        <w:t xml:space="preserve">Practical target: 500-600 Wh/kg</w:t>
      </w:r>
    </w:p>
    <w:p>
      <w:pPr>
        <w:numPr>
          <w:ilvl w:val="0"/>
          <w:numId w:val="1011"/>
        </w:numPr>
        <w:pStyle w:val="Compact"/>
      </w:pPr>
      <w:r>
        <w:t xml:space="preserve">Current challenge: Polysulfide shuttle effect limits cycle life</w:t>
      </w:r>
    </w:p>
    <w:p>
      <w:pPr>
        <w:numPr>
          <w:ilvl w:val="0"/>
          <w:numId w:val="1011"/>
        </w:numPr>
        <w:pStyle w:val="Compact"/>
      </w:pPr>
      <w:r>
        <w:t xml:space="preserve">Timeline: 2030+ for commercial EV applications</w:t>
      </w:r>
    </w:p>
    <w:p>
      <w:pPr>
        <w:pStyle w:val="Heading1"/>
      </w:pPr>
      <w:bookmarkStart w:id="41" w:name="structural-architecture"/>
      <w:r>
        <w:t xml:space="preserve">Structural Architecture</w:t>
      </w:r>
      <w:bookmarkEnd w:id="41"/>
    </w:p>
    <w:p>
      <w:pPr>
        <w:pStyle w:val="Heading2"/>
      </w:pPr>
      <w:bookmarkStart w:id="42" w:name="evolution-of-battery-pack-design"/>
      <w:r>
        <w:t xml:space="preserve">Evolution of Battery Pack Design</w:t>
      </w:r>
      <w:bookmarkEnd w:id="42"/>
    </w:p>
    <w:p>
      <w:pPr>
        <w:pStyle w:val="FirstParagraph"/>
      </w:pPr>
      <w:r>
        <w:t xml:space="preserve">Battery pack architecture has evolved rapidly from modular designs to highly integrated structural components.</w:t>
      </w:r>
    </w:p>
    <w:p>
      <w:pPr>
        <w:pStyle w:val="Heading3"/>
      </w:pPr>
      <w:bookmarkStart w:id="43" w:name="traditional-module-based-design"/>
      <w:r>
        <w:t xml:space="preserve">Traditional Module-Based Design</w:t>
      </w:r>
      <w:bookmarkEnd w:id="43"/>
    </w:p>
    <w:p>
      <w:pPr>
        <w:pStyle w:val="FirstParagraph"/>
      </w:pPr>
      <w:r>
        <w:t xml:space="preserve">Early EV battery packs used a hierarchical structure:</w:t>
      </w:r>
    </w:p>
    <w:p>
      <w:pPr>
        <w:pStyle w:val="SourceCode"/>
      </w:pPr>
      <w:r>
        <w:rPr>
          <w:rStyle w:val="VerbatimChar"/>
        </w:rPr>
        <w:t xml:space="preserve">Cells → Modules → Pack → Vehicle</w:t>
      </w:r>
    </w:p>
    <w:p>
      <w:pPr>
        <w:pStyle w:val="FirstParagraph"/>
      </w:pPr>
      <w:r>
        <w:t xml:space="preserve">This approach offered serviceability and flexibility but sacrificed energy density and added weight through redundant structural elements.</w:t>
      </w:r>
    </w:p>
    <w:p>
      <w:pPr>
        <w:pStyle w:val="Heading3"/>
      </w:pPr>
      <w:bookmarkStart w:id="44" w:name="cell-to-pack-ctp"/>
      <w:r>
        <w:t xml:space="preserve">Cell-to-Pack (CTP)</w:t>
      </w:r>
      <w:bookmarkEnd w:id="44"/>
    </w:p>
    <w:p>
      <w:pPr>
        <w:pStyle w:val="FirstParagraph"/>
      </w:pPr>
      <w:r>
        <w:t xml:space="preserve">CTP technology eliminates intermediate modules, integrating cells directly into the battery pack:</w:t>
      </w:r>
    </w:p>
    <w:p>
      <w:pPr>
        <w:pStyle w:val="BodyText"/>
      </w:pPr>
      <w:r>
        <w:rPr>
          <w:b/>
        </w:rPr>
        <w:t xml:space="preserve">Benefits</w:t>
      </w:r>
      <w:r>
        <w:t xml:space="preserve">:</w:t>
      </w:r>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Traditional</w:t>
            </w:r>
          </w:p>
        </w:tc>
        <w:tc>
          <w:tcPr>
            <w:tcBorders>
              <w:bottom w:val="single"/>
            </w:tcBorders>
            <w:vAlign w:val="bottom"/>
          </w:tcPr>
          <w:p>
            <w:pPr>
              <w:pStyle w:val="Compact"/>
              <w:jc w:val="left"/>
            </w:pPr>
            <w:r>
              <w:t xml:space="preserve">CTP</w:t>
            </w:r>
          </w:p>
        </w:tc>
        <w:tc>
          <w:tcPr>
            <w:tcBorders>
              <w:bottom w:val="single"/>
            </w:tcBorders>
            <w:vAlign w:val="bottom"/>
          </w:tcPr>
          <w:p>
            <w:pPr>
              <w:pStyle w:val="Compact"/>
              <w:jc w:val="left"/>
            </w:pPr>
            <w:r>
              <w:t xml:space="preserve">Improvement</w:t>
            </w:r>
          </w:p>
        </w:tc>
      </w:tr>
      <w:tr>
        <w:tc>
          <w:p>
            <w:pPr>
              <w:pStyle w:val="Compact"/>
              <w:jc w:val="left"/>
            </w:pPr>
            <w:r>
              <w:t xml:space="preserve">Volume Utilization</w:t>
            </w:r>
          </w:p>
        </w:tc>
        <w:tc>
          <w:p>
            <w:pPr>
              <w:pStyle w:val="Compact"/>
              <w:jc w:val="left"/>
            </w:pPr>
            <w:r>
              <w:t xml:space="preserve">50-55%</w:t>
            </w:r>
          </w:p>
        </w:tc>
        <w:tc>
          <w:p>
            <w:pPr>
              <w:pStyle w:val="Compact"/>
              <w:jc w:val="left"/>
            </w:pPr>
            <w:r>
              <w:t xml:space="preserve">65-75%</w:t>
            </w:r>
          </w:p>
        </w:tc>
        <w:tc>
          <w:p>
            <w:pPr>
              <w:pStyle w:val="Compact"/>
              <w:jc w:val="left"/>
            </w:pPr>
            <w:r>
              <w:t xml:space="preserve">+15-20%</w:t>
            </w:r>
          </w:p>
        </w:tc>
      </w:tr>
      <w:tr>
        <w:tc>
          <w:p>
            <w:pPr>
              <w:pStyle w:val="Compact"/>
              <w:jc w:val="left"/>
            </w:pPr>
            <w:r>
              <w:t xml:space="preserve">Parts Count</w:t>
            </w:r>
          </w:p>
        </w:tc>
        <w:tc>
          <w:p>
            <w:pPr>
              <w:pStyle w:val="Compact"/>
              <w:jc w:val="left"/>
            </w:pPr>
            <w:r>
              <w:t xml:space="preserve">1,500+</w:t>
            </w:r>
          </w:p>
        </w:tc>
        <w:tc>
          <w:p>
            <w:pPr>
              <w:pStyle w:val="Compact"/>
              <w:jc w:val="left"/>
            </w:pPr>
            <w:r>
              <w:t xml:space="preserve">900</w:t>
            </w:r>
          </w:p>
        </w:tc>
        <w:tc>
          <w:p>
            <w:pPr>
              <w:pStyle w:val="Compact"/>
              <w:jc w:val="left"/>
            </w:pPr>
            <w:r>
              <w:t xml:space="preserve">-40%</w:t>
            </w:r>
          </w:p>
        </w:tc>
      </w:tr>
      <w:tr>
        <w:tc>
          <w:p>
            <w:pPr>
              <w:pStyle w:val="Compact"/>
              <w:jc w:val="left"/>
            </w:pPr>
            <w:r>
              <w:t xml:space="preserve">Energy Density</w:t>
            </w:r>
          </w:p>
        </w:tc>
        <w:tc>
          <w:p>
            <w:pPr>
              <w:pStyle w:val="Compact"/>
              <w:jc w:val="left"/>
            </w:pPr>
            <w:r>
              <w:t xml:space="preserve">Baseline</w:t>
            </w:r>
          </w:p>
        </w:tc>
        <w:tc>
          <w:p>
            <w:pPr>
              <w:pStyle w:val="Compact"/>
              <w:jc w:val="left"/>
            </w:pPr>
            <w:r>
              <w:t xml:space="preserve">+15-20%</w:t>
            </w:r>
          </w:p>
        </w:tc>
        <w:tc>
          <w:p>
            <w:pPr>
              <w:pStyle w:val="Compact"/>
              <w:jc w:val="left"/>
            </w:pPr>
            <w:r>
              <w:t xml:space="preserve">Significant</w:t>
            </w:r>
          </w:p>
        </w:tc>
      </w:tr>
      <w:tr>
        <w:tc>
          <w:p>
            <w:pPr>
              <w:pStyle w:val="Compact"/>
              <w:jc w:val="left"/>
            </w:pPr>
            <w:r>
              <w:t xml:space="preserve">Assembly Time</w:t>
            </w:r>
          </w:p>
        </w:tc>
        <w:tc>
          <w:p>
            <w:pPr>
              <w:pStyle w:val="Compact"/>
              <w:jc w:val="left"/>
            </w:pPr>
            <w:r>
              <w:t xml:space="preserve">Baseline</w:t>
            </w:r>
          </w:p>
        </w:tc>
        <w:tc>
          <w:p>
            <w:pPr>
              <w:pStyle w:val="Compact"/>
              <w:jc w:val="left"/>
            </w:pPr>
            <w:r>
              <w:t xml:space="preserve">-30%</w:t>
            </w:r>
          </w:p>
        </w:tc>
        <w:tc>
          <w:p>
            <w:pPr>
              <w:pStyle w:val="Compact"/>
              <w:jc w:val="left"/>
            </w:pPr>
            <w:r>
              <w:t xml:space="preserve">Faster</w:t>
            </w:r>
          </w:p>
        </w:tc>
      </w:tr>
    </w:tbl>
    <w:p>
      <w:pPr>
        <w:pStyle w:val="BodyText"/>
      </w:pPr>
      <w:r>
        <w:rPr>
          <w:b/>
        </w:rPr>
        <w:t xml:space="preserve">Leading Implementations</w:t>
      </w:r>
      <w:r>
        <w:t xml:space="preserve">:</w:t>
      </w:r>
    </w:p>
    <w:p>
      <w:pPr>
        <w:numPr>
          <w:ilvl w:val="0"/>
          <w:numId w:val="1012"/>
        </w:numPr>
        <w:pStyle w:val="Compact"/>
      </w:pPr>
      <w:r>
        <w:t xml:space="preserve">BYD Blade Battery: Long, thin prismatic LFP cells acting as structural beams</w:t>
      </w:r>
    </w:p>
    <w:p>
      <w:pPr>
        <w:numPr>
          <w:ilvl w:val="0"/>
          <w:numId w:val="1012"/>
        </w:numPr>
        <w:pStyle w:val="Compact"/>
      </w:pPr>
      <w:r>
        <w:t xml:space="preserve">CATL Qilin Battery: Advanced CTP with integrated cooling between cells</w:t>
      </w:r>
    </w:p>
    <w:p>
      <w:pPr>
        <w:pStyle w:val="Heading3"/>
      </w:pPr>
      <w:bookmarkStart w:id="45" w:name="cell-to-chassis-ctc-cell-to-body-ctb"/>
      <w:r>
        <w:t xml:space="preserve">Cell-to-Chassis (CTC) / Cell-to-Body (CTB)</w:t>
      </w:r>
      <w:bookmarkEnd w:id="45"/>
    </w:p>
    <w:p>
      <w:pPr>
        <w:pStyle w:val="FirstParagraph"/>
      </w:pPr>
      <w:r>
        <w:t xml:space="preserve">CTC takes integration further by making battery cells structural components of the vehicle chassis:</w:t>
      </w:r>
    </w:p>
    <w:p>
      <w:pPr>
        <w:pStyle w:val="BodyText"/>
      </w:pPr>
      <w:r>
        <w:rPr>
          <w:b/>
        </w:rPr>
        <w:t xml:space="preserve">Advantages</w:t>
      </w:r>
      <w:r>
        <w:t xml:space="preserve">:</w:t>
      </w:r>
    </w:p>
    <w:p>
      <w:pPr>
        <w:numPr>
          <w:ilvl w:val="0"/>
          <w:numId w:val="1013"/>
        </w:numPr>
        <w:pStyle w:val="Compact"/>
      </w:pPr>
      <w:r>
        <w:t xml:space="preserve">Battery pack becomes vehicle floor</w:t>
      </w:r>
    </w:p>
    <w:p>
      <w:pPr>
        <w:numPr>
          <w:ilvl w:val="0"/>
          <w:numId w:val="1013"/>
        </w:numPr>
        <w:pStyle w:val="Compact"/>
      </w:pPr>
      <w:r>
        <w:t xml:space="preserve">Cells contribute to torsional rigidity</w:t>
      </w:r>
    </w:p>
    <w:p>
      <w:pPr>
        <w:numPr>
          <w:ilvl w:val="0"/>
          <w:numId w:val="1013"/>
        </w:numPr>
        <w:pStyle w:val="Compact"/>
      </w:pPr>
      <w:r>
        <w:t xml:space="preserve">Further weight reduction</w:t>
      </w:r>
    </w:p>
    <w:p>
      <w:pPr>
        <w:numPr>
          <w:ilvl w:val="0"/>
          <w:numId w:val="1013"/>
        </w:numPr>
        <w:pStyle w:val="Compact"/>
      </w:pPr>
      <w:r>
        <w:t xml:space="preserve">Lower center of gravity</w:t>
      </w:r>
    </w:p>
    <w:p>
      <w:pPr>
        <w:numPr>
          <w:ilvl w:val="0"/>
          <w:numId w:val="1013"/>
        </w:numPr>
        <w:pStyle w:val="Compact"/>
      </w:pPr>
      <w:r>
        <w:t xml:space="preserve">Increased range</w:t>
      </w:r>
    </w:p>
    <w:p>
      <w:pPr>
        <w:pStyle w:val="FirstParagraph"/>
      </w:pPr>
      <w:r>
        <w:rPr>
          <w:b/>
        </w:rPr>
        <w:t xml:space="preserve">Trade-offs</w:t>
      </w:r>
      <w:r>
        <w:t xml:space="preserve">:</w:t>
      </w:r>
    </w:p>
    <w:p>
      <w:pPr>
        <w:numPr>
          <w:ilvl w:val="0"/>
          <w:numId w:val="1014"/>
        </w:numPr>
        <w:pStyle w:val="Compact"/>
      </w:pPr>
      <w:r>
        <w:t xml:space="preserve">Battery is permanent part of vehicle body</w:t>
      </w:r>
    </w:p>
    <w:p>
      <w:pPr>
        <w:numPr>
          <w:ilvl w:val="0"/>
          <w:numId w:val="1014"/>
        </w:numPr>
        <w:pStyle w:val="Compact"/>
      </w:pPr>
      <w:r>
        <w:t xml:space="preserve">Repair complexity increases significantly</w:t>
      </w:r>
    </w:p>
    <w:p>
      <w:pPr>
        <w:numPr>
          <w:ilvl w:val="0"/>
          <w:numId w:val="1014"/>
        </w:numPr>
        <w:pStyle w:val="Compact"/>
      </w:pPr>
      <w:r>
        <w:t xml:space="preserve">Single-cell replacement often impractical</w:t>
      </w:r>
    </w:p>
    <w:p>
      <w:pPr>
        <w:numPr>
          <w:ilvl w:val="0"/>
          <w:numId w:val="1014"/>
        </w:numPr>
        <w:pStyle w:val="Compact"/>
      </w:pPr>
      <w:r>
        <w:t xml:space="preserve">Insurance implications for accident damage</w:t>
      </w:r>
    </w:p>
    <w:p>
      <w:pPr>
        <w:pStyle w:val="Heading3"/>
      </w:pPr>
      <w:bookmarkStart w:id="46" w:name="architecture-comparison"/>
      <w:r>
        <w:t xml:space="preserve">Architecture Comparison</w:t>
      </w:r>
      <w:bookmarkEnd w:id="46"/>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Module-Based</w:t>
            </w:r>
          </w:p>
        </w:tc>
        <w:tc>
          <w:tcPr>
            <w:tcBorders>
              <w:bottom w:val="single"/>
            </w:tcBorders>
            <w:vAlign w:val="bottom"/>
          </w:tcPr>
          <w:p>
            <w:pPr>
              <w:pStyle w:val="Compact"/>
              <w:jc w:val="left"/>
            </w:pPr>
            <w:r>
              <w:t xml:space="preserve">CTP</w:t>
            </w:r>
          </w:p>
        </w:tc>
        <w:tc>
          <w:tcPr>
            <w:tcBorders>
              <w:bottom w:val="single"/>
            </w:tcBorders>
            <w:vAlign w:val="bottom"/>
          </w:tcPr>
          <w:p>
            <w:pPr>
              <w:pStyle w:val="Compact"/>
              <w:jc w:val="left"/>
            </w:pPr>
            <w:r>
              <w:t xml:space="preserve">CTC/CTB</w:t>
            </w:r>
          </w:p>
        </w:tc>
      </w:tr>
      <w:tr>
        <w:tc>
          <w:p>
            <w:pPr>
              <w:pStyle w:val="Compact"/>
              <w:jc w:val="left"/>
            </w:pPr>
            <w:r>
              <w:t xml:space="preserve">Serviceability</w:t>
            </w:r>
          </w:p>
        </w:tc>
        <w:tc>
          <w:p>
            <w:pPr>
              <w:pStyle w:val="Compact"/>
              <w:jc w:val="left"/>
            </w:pPr>
            <w:r>
              <w:t xml:space="preserve">High</w:t>
            </w:r>
          </w:p>
        </w:tc>
        <w:tc>
          <w:p>
            <w:pPr>
              <w:pStyle w:val="Compact"/>
              <w:jc w:val="left"/>
            </w:pPr>
            <w:r>
              <w:t xml:space="preserve">Moderate</w:t>
            </w:r>
          </w:p>
        </w:tc>
        <w:tc>
          <w:p>
            <w:pPr>
              <w:pStyle w:val="Compact"/>
              <w:jc w:val="left"/>
            </w:pPr>
            <w:r>
              <w:t xml:space="preserve">Low</w:t>
            </w:r>
          </w:p>
        </w:tc>
      </w:tr>
      <w:tr>
        <w:tc>
          <w:p>
            <w:pPr>
              <w:pStyle w:val="Compact"/>
              <w:jc w:val="left"/>
            </w:pPr>
            <w:r>
              <w:t xml:space="preserve">Energy Density</w:t>
            </w:r>
          </w:p>
        </w:tc>
        <w:tc>
          <w:p>
            <w:pPr>
              <w:pStyle w:val="Compact"/>
              <w:jc w:val="left"/>
            </w:pPr>
            <w:r>
              <w:t xml:space="preserve">Baseline</w:t>
            </w:r>
          </w:p>
        </w:tc>
        <w:tc>
          <w:p>
            <w:pPr>
              <w:pStyle w:val="Compact"/>
              <w:jc w:val="left"/>
            </w:pPr>
            <w:r>
              <w:t xml:space="preserve">+15-20%</w:t>
            </w:r>
          </w:p>
        </w:tc>
        <w:tc>
          <w:p>
            <w:pPr>
              <w:pStyle w:val="Compact"/>
              <w:jc w:val="left"/>
            </w:pPr>
            <w:r>
              <w:t xml:space="preserve">+20-30%</w:t>
            </w:r>
          </w:p>
        </w:tc>
      </w:tr>
      <w:tr>
        <w:tc>
          <w:p>
            <w:pPr>
              <w:pStyle w:val="Compact"/>
              <w:jc w:val="left"/>
            </w:pPr>
            <w:r>
              <w:t xml:space="preserve">Manufacturing Cost</w:t>
            </w:r>
          </w:p>
        </w:tc>
        <w:tc>
          <w:p>
            <w:pPr>
              <w:pStyle w:val="Compact"/>
              <w:jc w:val="left"/>
            </w:pPr>
            <w:r>
              <w:t xml:space="preserve">Higher</w:t>
            </w:r>
          </w:p>
        </w:tc>
        <w:tc>
          <w:p>
            <w:pPr>
              <w:pStyle w:val="Compact"/>
              <w:jc w:val="left"/>
            </w:pPr>
            <w:r>
              <w:t xml:space="preserve">Lower</w:t>
            </w:r>
          </w:p>
        </w:tc>
        <w:tc>
          <w:p>
            <w:pPr>
              <w:pStyle w:val="Compact"/>
              <w:jc w:val="left"/>
            </w:pPr>
            <w:r>
              <w:t xml:space="preserve">Lowest</w:t>
            </w:r>
          </w:p>
        </w:tc>
      </w:tr>
      <w:tr>
        <w:tc>
          <w:p>
            <w:pPr>
              <w:pStyle w:val="Compact"/>
              <w:jc w:val="left"/>
            </w:pPr>
            <w:r>
              <w:t xml:space="preserve">Repair Cost</w:t>
            </w:r>
          </w:p>
        </w:tc>
        <w:tc>
          <w:p>
            <w:pPr>
              <w:pStyle w:val="Compact"/>
              <w:jc w:val="left"/>
            </w:pPr>
            <w:r>
              <w:t xml:space="preserve">Lower</w:t>
            </w:r>
          </w:p>
        </w:tc>
        <w:tc>
          <w:p>
            <w:pPr>
              <w:pStyle w:val="Compact"/>
              <w:jc w:val="left"/>
            </w:pPr>
            <w:r>
              <w:t xml:space="preserve">Higher</w:t>
            </w:r>
          </w:p>
        </w:tc>
        <w:tc>
          <w:p>
            <w:pPr>
              <w:pStyle w:val="Compact"/>
              <w:jc w:val="left"/>
            </w:pPr>
            <w:r>
              <w:t xml:space="preserve">Highest</w:t>
            </w:r>
          </w:p>
        </w:tc>
      </w:tr>
      <w:tr>
        <w:tc>
          <w:p>
            <w:pPr>
              <w:pStyle w:val="Compact"/>
              <w:jc w:val="left"/>
            </w:pPr>
            <w:r>
              <w:t xml:space="preserve">Weight</w:t>
            </w:r>
          </w:p>
        </w:tc>
        <w:tc>
          <w:p>
            <w:pPr>
              <w:pStyle w:val="Compact"/>
              <w:jc w:val="left"/>
            </w:pPr>
            <w:r>
              <w:t xml:space="preserve">Higher</w:t>
            </w:r>
          </w:p>
        </w:tc>
        <w:tc>
          <w:p>
            <w:pPr>
              <w:pStyle w:val="Compact"/>
              <w:jc w:val="left"/>
            </w:pPr>
            <w:r>
              <w:t xml:space="preserve">Lower</w:t>
            </w:r>
          </w:p>
        </w:tc>
        <w:tc>
          <w:p>
            <w:pPr>
              <w:pStyle w:val="Compact"/>
              <w:jc w:val="left"/>
            </w:pPr>
            <w:r>
              <w:t xml:space="preserve">Lowest</w:t>
            </w:r>
          </w:p>
        </w:tc>
      </w:tr>
    </w:tbl>
    <w:p>
      <w:pPr>
        <w:pStyle w:val="Heading1"/>
      </w:pPr>
      <w:bookmarkStart w:id="47" w:name="battery-management-systems"/>
      <w:r>
        <w:t xml:space="preserve">Battery Management Systems</w:t>
      </w:r>
      <w:bookmarkEnd w:id="47"/>
    </w:p>
    <w:p>
      <w:pPr>
        <w:pStyle w:val="Heading2"/>
      </w:pPr>
      <w:bookmarkStart w:id="48" w:name="current-bms-technology"/>
      <w:r>
        <w:t xml:space="preserve">Current BMS Technology</w:t>
      </w:r>
      <w:bookmarkEnd w:id="48"/>
    </w:p>
    <w:p>
      <w:pPr>
        <w:pStyle w:val="FirstParagraph"/>
      </w:pPr>
      <w:r>
        <w:t xml:space="preserve">The Battery Management System (BMS) serves as the</w:t>
      </w:r>
      <w:r>
        <w:t xml:space="preserve"> </w:t>
      </w:r>
      <w:r>
        <w:t xml:space="preserve">“</w:t>
      </w:r>
      <w:r>
        <w:t xml:space="preserve">brain</w:t>
      </w:r>
      <w:r>
        <w:t xml:space="preserve">”</w:t>
      </w:r>
      <w:r>
        <w:t xml:space="preserve"> </w:t>
      </w:r>
      <w:r>
        <w:t xml:space="preserve">of the battery pack, continuously monitoring and controlling battery operation to ensure safety, longevity, and optimal performance.</w:t>
      </w:r>
    </w:p>
    <w:p>
      <w:pPr>
        <w:pStyle w:val="Heading3"/>
      </w:pPr>
      <w:bookmarkStart w:id="49" w:name="core-bms-functions"/>
      <w:r>
        <w:t xml:space="preserve">Core BMS Functions</w:t>
      </w:r>
      <w:bookmarkEnd w:id="49"/>
    </w:p>
    <w:tbl>
      <w:tblPr>
        <w:tblStyle w:val="Table"/>
        <w:tblW w:type="pct" w:w="50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2"/>
        <w:gridCol w:w="2941"/>
        <w:gridCol w:w="2715"/>
      </w:tblGrid>
      <w:tr>
        <w:trPr>
          <w:cnfStyle w:firstRow="1"/>
        </w:trPr>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Importance</w:t>
            </w:r>
          </w:p>
        </w:tc>
      </w:tr>
      <w:tr>
        <w:tc>
          <w:p>
            <w:pPr>
              <w:pStyle w:val="Compact"/>
              <w:jc w:val="left"/>
            </w:pPr>
            <w:r>
              <w:t xml:space="preserve">Cell Monitoring</w:t>
            </w:r>
          </w:p>
        </w:tc>
        <w:tc>
          <w:p>
            <w:pPr>
              <w:pStyle w:val="Compact"/>
              <w:jc w:val="left"/>
            </w:pPr>
            <w:r>
              <w:t xml:space="preserve">Voltage, current, temperature measurement for each cell</w:t>
            </w:r>
          </w:p>
        </w:tc>
        <w:tc>
          <w:p>
            <w:pPr>
              <w:pStyle w:val="Compact"/>
              <w:jc w:val="left"/>
            </w:pPr>
            <w:r>
              <w:t xml:space="preserve">Safety and performance</w:t>
            </w:r>
          </w:p>
        </w:tc>
      </w:tr>
      <w:tr>
        <w:tc>
          <w:p>
            <w:pPr>
              <w:pStyle w:val="Compact"/>
              <w:jc w:val="left"/>
            </w:pPr>
            <w:r>
              <w:t xml:space="preserve">State Estimation</w:t>
            </w:r>
          </w:p>
        </w:tc>
        <w:tc>
          <w:p>
            <w:pPr>
              <w:pStyle w:val="Compact"/>
              <w:jc w:val="left"/>
            </w:pPr>
            <w:r>
              <w:t xml:space="preserve">SoC, SoH, remaining range calculation</w:t>
            </w:r>
          </w:p>
        </w:tc>
        <w:tc>
          <w:p>
            <w:pPr>
              <w:pStyle w:val="Compact"/>
              <w:jc w:val="left"/>
            </w:pPr>
            <w:r>
              <w:t xml:space="preserve">User experience</w:t>
            </w:r>
          </w:p>
        </w:tc>
      </w:tr>
      <w:tr>
        <w:tc>
          <w:p>
            <w:pPr>
              <w:pStyle w:val="Compact"/>
              <w:jc w:val="left"/>
            </w:pPr>
            <w:r>
              <w:t xml:space="preserve">Cell Balancing</w:t>
            </w:r>
          </w:p>
        </w:tc>
        <w:tc>
          <w:p>
            <w:pPr>
              <w:pStyle w:val="Compact"/>
              <w:jc w:val="left"/>
            </w:pPr>
            <w:r>
              <w:t xml:space="preserve">Equalizing charge across cells</w:t>
            </w:r>
          </w:p>
        </w:tc>
        <w:tc>
          <w:p>
            <w:pPr>
              <w:pStyle w:val="Compact"/>
              <w:jc w:val="left"/>
            </w:pPr>
            <w:r>
              <w:t xml:space="preserve">Longevity</w:t>
            </w:r>
          </w:p>
        </w:tc>
      </w:tr>
      <w:tr>
        <w:tc>
          <w:p>
            <w:pPr>
              <w:pStyle w:val="Compact"/>
              <w:jc w:val="left"/>
            </w:pPr>
            <w:r>
              <w:t xml:space="preserve">Thermal Management</w:t>
            </w:r>
          </w:p>
        </w:tc>
        <w:tc>
          <w:p>
            <w:pPr>
              <w:pStyle w:val="Compact"/>
              <w:jc w:val="left"/>
            </w:pPr>
            <w:r>
              <w:t xml:space="preserve">Temperature regulation and control</w:t>
            </w:r>
          </w:p>
        </w:tc>
        <w:tc>
          <w:p>
            <w:pPr>
              <w:pStyle w:val="Compact"/>
              <w:jc w:val="left"/>
            </w:pPr>
            <w:r>
              <w:t xml:space="preserve">Safety and life</w:t>
            </w:r>
          </w:p>
        </w:tc>
      </w:tr>
      <w:tr>
        <w:tc>
          <w:p>
            <w:pPr>
              <w:pStyle w:val="Compact"/>
              <w:jc w:val="left"/>
            </w:pPr>
            <w:r>
              <w:t xml:space="preserve">Charging Control</w:t>
            </w:r>
          </w:p>
        </w:tc>
        <w:tc>
          <w:p>
            <w:pPr>
              <w:pStyle w:val="Compact"/>
              <w:jc w:val="left"/>
            </w:pPr>
            <w:r>
              <w:t xml:space="preserve">Managing charge rate and protocols</w:t>
            </w:r>
          </w:p>
        </w:tc>
        <w:tc>
          <w:p>
            <w:pPr>
              <w:pStyle w:val="Compact"/>
              <w:jc w:val="left"/>
            </w:pPr>
            <w:r>
              <w:t xml:space="preserve">Battery health</w:t>
            </w:r>
          </w:p>
        </w:tc>
      </w:tr>
      <w:tr>
        <w:tc>
          <w:p>
            <w:pPr>
              <w:pStyle w:val="Compact"/>
              <w:jc w:val="left"/>
            </w:pPr>
            <w:r>
              <w:t xml:space="preserve">Safety Protection</w:t>
            </w:r>
          </w:p>
        </w:tc>
        <w:tc>
          <w:p>
            <w:pPr>
              <w:pStyle w:val="Compact"/>
              <w:jc w:val="left"/>
            </w:pPr>
            <w:r>
              <w:t xml:space="preserve">Over-voltage, over-current, thermal protection</w:t>
            </w:r>
          </w:p>
        </w:tc>
        <w:tc>
          <w:p>
            <w:pPr>
              <w:pStyle w:val="Compact"/>
              <w:jc w:val="left"/>
            </w:pPr>
            <w:r>
              <w:t xml:space="preserve">Critical safety</w:t>
            </w:r>
          </w:p>
        </w:tc>
      </w:tr>
    </w:tbl>
    <w:p>
      <w:pPr>
        <w:pStyle w:val="Heading2"/>
      </w:pPr>
      <w:bookmarkStart w:id="50" w:name="next-generation-bms-technologies"/>
      <w:r>
        <w:t xml:space="preserve">Next-Generation BMS Technologies</w:t>
      </w:r>
      <w:bookmarkEnd w:id="50"/>
    </w:p>
    <w:p>
      <w:pPr>
        <w:pStyle w:val="Heading3"/>
      </w:pPr>
      <w:bookmarkStart w:id="51" w:name="wireless-bms-wbms"/>
      <w:r>
        <w:t xml:space="preserve">Wireless BMS (wBMS)</w:t>
      </w:r>
      <w:bookmarkEnd w:id="51"/>
    </w:p>
    <w:p>
      <w:pPr>
        <w:pStyle w:val="FirstParagraph"/>
      </w:pPr>
      <w:r>
        <w:t xml:space="preserve">Traditional BMS relies on complex wiring harnesses connecting every cell. Wireless BMS uses RF communication to eliminate most physical connections:</w:t>
      </w:r>
    </w:p>
    <w:p>
      <w:pPr>
        <w:pStyle w:val="BodyText"/>
      </w:pPr>
      <w:r>
        <w:rPr>
          <w:b/>
        </w:rPr>
        <w:t xml:space="preserve">Advantages</w:t>
      </w:r>
      <w:r>
        <w:t xml:space="preserve">:</w:t>
      </w:r>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Benefit</w:t>
            </w:r>
          </w:p>
        </w:tc>
        <w:tc>
          <w:tcPr>
            <w:tcBorders>
              <w:bottom w:val="single"/>
            </w:tcBorders>
            <w:vAlign w:val="bottom"/>
          </w:tcPr>
          <w:p>
            <w:pPr>
              <w:pStyle w:val="Compact"/>
              <w:jc w:val="left"/>
            </w:pPr>
            <w:r>
              <w:t xml:space="preserve">Impact</w:t>
            </w:r>
          </w:p>
        </w:tc>
      </w:tr>
      <w:tr>
        <w:tc>
          <w:p>
            <w:pPr>
              <w:pStyle w:val="Compact"/>
              <w:jc w:val="left"/>
            </w:pPr>
            <w:r>
              <w:t xml:space="preserve">Weight Reduction</w:t>
            </w:r>
          </w:p>
        </w:tc>
        <w:tc>
          <w:p>
            <w:pPr>
              <w:pStyle w:val="Compact"/>
              <w:jc w:val="left"/>
            </w:pPr>
            <w:r>
              <w:t xml:space="preserve">90% less wiring, 15% pack weight reduction</w:t>
            </w:r>
          </w:p>
        </w:tc>
      </w:tr>
      <w:tr>
        <w:tc>
          <w:p>
            <w:pPr>
              <w:pStyle w:val="Compact"/>
              <w:jc w:val="left"/>
            </w:pPr>
            <w:r>
              <w:t xml:space="preserve">Assembly Simplification</w:t>
            </w:r>
          </w:p>
        </w:tc>
        <w:tc>
          <w:p>
            <w:pPr>
              <w:pStyle w:val="Compact"/>
              <w:jc w:val="left"/>
            </w:pPr>
            <w:r>
              <w:t xml:space="preserve">Enables automated robotic manufacturing</w:t>
            </w:r>
          </w:p>
        </w:tc>
      </w:tr>
      <w:tr>
        <w:tc>
          <w:p>
            <w:pPr>
              <w:pStyle w:val="Compact"/>
              <w:jc w:val="left"/>
            </w:pPr>
            <w:r>
              <w:t xml:space="preserve">Reliability</w:t>
            </w:r>
          </w:p>
        </w:tc>
        <w:tc>
          <w:p>
            <w:pPr>
              <w:pStyle w:val="Compact"/>
              <w:jc w:val="left"/>
            </w:pPr>
            <w:r>
              <w:t xml:space="preserve">Fewer mechanical failure points</w:t>
            </w:r>
          </w:p>
        </w:tc>
      </w:tr>
      <w:tr>
        <w:tc>
          <w:p>
            <w:pPr>
              <w:pStyle w:val="Compact"/>
              <w:jc w:val="left"/>
            </w:pPr>
            <w:r>
              <w:t xml:space="preserve">Flexibility</w:t>
            </w:r>
          </w:p>
        </w:tc>
        <w:tc>
          <w:p>
            <w:pPr>
              <w:pStyle w:val="Compact"/>
              <w:jc w:val="left"/>
            </w:pPr>
            <w:r>
              <w:t xml:space="preserve">Easier pack configuration changes</w:t>
            </w:r>
          </w:p>
        </w:tc>
      </w:tr>
    </w:tbl>
    <w:p>
      <w:pPr>
        <w:pStyle w:val="BodyText"/>
      </w:pPr>
      <w:r>
        <w:rPr>
          <w:b/>
        </w:rPr>
        <w:t xml:space="preserve">Challenges</w:t>
      </w:r>
      <w:r>
        <w:t xml:space="preserve">:</w:t>
      </w:r>
    </w:p>
    <w:p>
      <w:pPr>
        <w:numPr>
          <w:ilvl w:val="0"/>
          <w:numId w:val="1015"/>
        </w:numPr>
        <w:pStyle w:val="Compact"/>
      </w:pPr>
      <w:r>
        <w:t xml:space="preserve">Cybersecurity requirements</w:t>
      </w:r>
    </w:p>
    <w:p>
      <w:pPr>
        <w:numPr>
          <w:ilvl w:val="0"/>
          <w:numId w:val="1015"/>
        </w:numPr>
        <w:pStyle w:val="Compact"/>
      </w:pPr>
      <w:r>
        <w:t xml:space="preserve">Signal interference in vehicle EMI environment</w:t>
      </w:r>
    </w:p>
    <w:p>
      <w:pPr>
        <w:numPr>
          <w:ilvl w:val="0"/>
          <w:numId w:val="1015"/>
        </w:numPr>
        <w:pStyle w:val="Compact"/>
      </w:pPr>
      <w:r>
        <w:t xml:space="preserve">Latency management for safety-critical functions</w:t>
      </w:r>
    </w:p>
    <w:p>
      <w:pPr>
        <w:pStyle w:val="Heading3"/>
      </w:pPr>
      <w:bookmarkStart w:id="52" w:name="ai-integrated-bms"/>
      <w:r>
        <w:t xml:space="preserve">AI-Integrated BMS</w:t>
      </w:r>
      <w:bookmarkEnd w:id="52"/>
    </w:p>
    <w:p>
      <w:pPr>
        <w:pStyle w:val="FirstParagraph"/>
      </w:pPr>
      <w:r>
        <w:t xml:space="preserve">Future BMS will leverage artificial intelligence for predictive management:</w:t>
      </w:r>
    </w:p>
    <w:p>
      <w:pPr>
        <w:pStyle w:val="BodyText"/>
      </w:pPr>
      <w:r>
        <w:rPr>
          <w:b/>
        </w:rPr>
        <w:t xml:space="preserve">Capabilities</w:t>
      </w:r>
      <w:r>
        <w:t xml:space="preserve">:</w:t>
      </w:r>
    </w:p>
    <w:tbl>
      <w:tblPr>
        <w:tblStyle w:val="Table"/>
        <w:tblW w:type="pct" w:w="50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41"/>
        <w:gridCol w:w="2741"/>
        <w:gridCol w:w="2436"/>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Benefit</w:t>
            </w:r>
          </w:p>
        </w:tc>
        <w:tc>
          <w:tcPr>
            <w:tcBorders>
              <w:bottom w:val="single"/>
            </w:tcBorders>
            <w:vAlign w:val="bottom"/>
          </w:tcPr>
          <w:p>
            <w:pPr>
              <w:pStyle w:val="Compact"/>
              <w:jc w:val="left"/>
            </w:pPr>
            <w:r>
              <w:t xml:space="preserve">Impact</w:t>
            </w:r>
          </w:p>
        </w:tc>
      </w:tr>
      <w:tr>
        <w:tc>
          <w:p>
            <w:pPr>
              <w:pStyle w:val="Compact"/>
              <w:jc w:val="left"/>
            </w:pPr>
            <w:r>
              <w:t xml:space="preserve">Predictive SoH</w:t>
            </w:r>
          </w:p>
        </w:tc>
        <w:tc>
          <w:p>
            <w:pPr>
              <w:pStyle w:val="Compact"/>
              <w:jc w:val="left"/>
            </w:pPr>
            <w:r>
              <w:t xml:space="preserve">Accurate degradation forecasting</w:t>
            </w:r>
          </w:p>
        </w:tc>
        <w:tc>
          <w:p>
            <w:pPr>
              <w:pStyle w:val="Compact"/>
              <w:jc w:val="left"/>
            </w:pPr>
            <w:r>
              <w:t xml:space="preserve">20-30% life extension</w:t>
            </w:r>
          </w:p>
        </w:tc>
      </w:tr>
      <w:tr>
        <w:tc>
          <w:p>
            <w:pPr>
              <w:pStyle w:val="Compact"/>
              <w:jc w:val="left"/>
            </w:pPr>
            <w:r>
              <w:t xml:space="preserve">Optimal Charging</w:t>
            </w:r>
          </w:p>
        </w:tc>
        <w:tc>
          <w:p>
            <w:pPr>
              <w:pStyle w:val="Compact"/>
              <w:jc w:val="left"/>
            </w:pPr>
            <w:r>
              <w:t xml:space="preserve">Adaptive charge curves per cell condition</w:t>
            </w:r>
          </w:p>
        </w:tc>
        <w:tc>
          <w:p>
            <w:pPr>
              <w:pStyle w:val="Compact"/>
              <w:jc w:val="left"/>
            </w:pPr>
            <w:r>
              <w:t xml:space="preserve">Faster charging, less degradation</w:t>
            </w:r>
          </w:p>
        </w:tc>
      </w:tr>
      <w:tr>
        <w:tc>
          <w:p>
            <w:pPr>
              <w:pStyle w:val="Compact"/>
              <w:jc w:val="left"/>
            </w:pPr>
            <w:r>
              <w:t xml:space="preserve">Anomaly Detection</w:t>
            </w:r>
          </w:p>
        </w:tc>
        <w:tc>
          <w:p>
            <w:pPr>
              <w:pStyle w:val="Compact"/>
              <w:jc w:val="left"/>
            </w:pPr>
            <w:r>
              <w:t xml:space="preserve">Early warning of cell issues</w:t>
            </w:r>
          </w:p>
        </w:tc>
        <w:tc>
          <w:p>
            <w:pPr>
              <w:pStyle w:val="Compact"/>
              <w:jc w:val="left"/>
            </w:pPr>
            <w:r>
              <w:t xml:space="preserve">Prevent failures</w:t>
            </w:r>
          </w:p>
        </w:tc>
      </w:tr>
      <w:tr>
        <w:tc>
          <w:p>
            <w:pPr>
              <w:pStyle w:val="Compact"/>
              <w:jc w:val="left"/>
            </w:pPr>
            <w:r>
              <w:t xml:space="preserve">Digital Twin</w:t>
            </w:r>
          </w:p>
        </w:tc>
        <w:tc>
          <w:p>
            <w:pPr>
              <w:pStyle w:val="Compact"/>
              <w:jc w:val="left"/>
            </w:pPr>
            <w:r>
              <w:t xml:space="preserve">Cloud-based battery model</w:t>
            </w:r>
          </w:p>
        </w:tc>
        <w:tc>
          <w:p>
            <w:pPr>
              <w:pStyle w:val="Compact"/>
              <w:jc w:val="left"/>
            </w:pPr>
            <w:r>
              <w:t xml:space="preserve">Continuous optimization</w:t>
            </w:r>
          </w:p>
        </w:tc>
      </w:tr>
    </w:tbl>
    <w:p>
      <w:pPr>
        <w:pStyle w:val="BodyText"/>
      </w:pPr>
      <w:r>
        <w:rPr>
          <w:b/>
        </w:rPr>
        <w:t xml:space="preserve">AI Algorithms</w:t>
      </w:r>
      <w:r>
        <w:t xml:space="preserve">:</w:t>
      </w:r>
    </w:p>
    <w:p>
      <w:pPr>
        <w:numPr>
          <w:ilvl w:val="0"/>
          <w:numId w:val="1016"/>
        </w:numPr>
        <w:pStyle w:val="Compact"/>
      </w:pPr>
      <w:r>
        <w:t xml:space="preserve">Recurrent Neural Networks (RNN) for temporal pattern recognition</w:t>
      </w:r>
    </w:p>
    <w:p>
      <w:pPr>
        <w:numPr>
          <w:ilvl w:val="0"/>
          <w:numId w:val="1016"/>
        </w:numPr>
        <w:pStyle w:val="Compact"/>
      </w:pPr>
      <w:r>
        <w:t xml:space="preserve">Long Short-Term Memory (LSTM) for degradation prediction</w:t>
      </w:r>
    </w:p>
    <w:p>
      <w:pPr>
        <w:numPr>
          <w:ilvl w:val="0"/>
          <w:numId w:val="1016"/>
        </w:numPr>
        <w:pStyle w:val="Compact"/>
      </w:pPr>
      <w:r>
        <w:t xml:space="preserve">Edge AI for real-time on-vehicle processing</w:t>
      </w:r>
    </w:p>
    <w:p>
      <w:pPr>
        <w:numPr>
          <w:ilvl w:val="0"/>
          <w:numId w:val="1016"/>
        </w:numPr>
        <w:pStyle w:val="Compact"/>
      </w:pPr>
      <w:r>
        <w:t xml:space="preserve">Cloud integration for fleet-wide learning</w:t>
      </w:r>
    </w:p>
    <w:p>
      <w:pPr>
        <w:pStyle w:val="Heading1"/>
      </w:pPr>
      <w:bookmarkStart w:id="53" w:name="thermal-management-1"/>
      <w:r>
        <w:t xml:space="preserve">Thermal Management</w:t>
      </w:r>
      <w:bookmarkEnd w:id="53"/>
    </w:p>
    <w:p>
      <w:pPr>
        <w:pStyle w:val="Heading2"/>
      </w:pPr>
      <w:bookmarkStart w:id="54" w:name="importance-of-thermal-control"/>
      <w:r>
        <w:t xml:space="preserve">Importance of Thermal Control</w:t>
      </w:r>
      <w:bookmarkEnd w:id="54"/>
    </w:p>
    <w:p>
      <w:pPr>
        <w:pStyle w:val="FirstParagraph"/>
      </w:pPr>
      <w:r>
        <w:t xml:space="preserve">Battery temperature directly impacts performance, safety, and longevity:</w:t>
      </w:r>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Temperature</w:t>
            </w:r>
          </w:p>
        </w:tc>
        <w:tc>
          <w:tcPr>
            <w:tcBorders>
              <w:bottom w:val="single"/>
            </w:tcBorders>
            <w:vAlign w:val="bottom"/>
          </w:tcPr>
          <w:p>
            <w:pPr>
              <w:pStyle w:val="Compact"/>
              <w:jc w:val="left"/>
            </w:pPr>
            <w:r>
              <w:t xml:space="preserve">Effect</w:t>
            </w:r>
          </w:p>
        </w:tc>
      </w:tr>
      <w:tr>
        <w:tc>
          <w:p>
            <w:pPr>
              <w:pStyle w:val="Compact"/>
              <w:jc w:val="left"/>
            </w:pPr>
            <w:r>
              <w:t xml:space="preserve">Below 0°C</w:t>
            </w:r>
          </w:p>
        </w:tc>
        <w:tc>
          <w:p>
            <w:pPr>
              <w:pStyle w:val="Compact"/>
              <w:jc w:val="left"/>
            </w:pPr>
            <w:r>
              <w:t xml:space="preserve">Reduced capacity, charging restrictions</w:t>
            </w:r>
          </w:p>
        </w:tc>
      </w:tr>
      <w:tr>
        <w:tc>
          <w:p>
            <w:pPr>
              <w:pStyle w:val="Compact"/>
              <w:jc w:val="left"/>
            </w:pPr>
            <w:r>
              <w:t xml:space="preserve">0-15°C</w:t>
            </w:r>
          </w:p>
        </w:tc>
        <w:tc>
          <w:p>
            <w:pPr>
              <w:pStyle w:val="Compact"/>
              <w:jc w:val="left"/>
            </w:pPr>
            <w:r>
              <w:t xml:space="preserve">Slower charging, reduced range</w:t>
            </w:r>
          </w:p>
        </w:tc>
      </w:tr>
      <w:tr>
        <w:tc>
          <w:p>
            <w:pPr>
              <w:pStyle w:val="Compact"/>
              <w:jc w:val="left"/>
            </w:pPr>
            <w:r>
              <w:t xml:space="preserve">15-35°C</w:t>
            </w:r>
          </w:p>
        </w:tc>
        <w:tc>
          <w:p>
            <w:pPr>
              <w:pStyle w:val="Compact"/>
              <w:jc w:val="left"/>
            </w:pPr>
            <w:r>
              <w:t xml:space="preserve">Optimal operation</w:t>
            </w:r>
          </w:p>
        </w:tc>
      </w:tr>
      <w:tr>
        <w:tc>
          <w:p>
            <w:pPr>
              <w:pStyle w:val="Compact"/>
              <w:jc w:val="left"/>
            </w:pPr>
            <w:r>
              <w:t xml:space="preserve">35-45°C</w:t>
            </w:r>
          </w:p>
        </w:tc>
        <w:tc>
          <w:p>
            <w:pPr>
              <w:pStyle w:val="Compact"/>
              <w:jc w:val="left"/>
            </w:pPr>
            <w:r>
              <w:t xml:space="preserve">Accelerated degradation begins</w:t>
            </w:r>
          </w:p>
        </w:tc>
      </w:tr>
      <w:tr>
        <w:tc>
          <w:p>
            <w:pPr>
              <w:pStyle w:val="Compact"/>
              <w:jc w:val="left"/>
            </w:pPr>
            <w:r>
              <w:t xml:space="preserve">Above 45°C</w:t>
            </w:r>
          </w:p>
        </w:tc>
        <w:tc>
          <w:p>
            <w:pPr>
              <w:pStyle w:val="Compact"/>
              <w:jc w:val="left"/>
            </w:pPr>
            <w:r>
              <w:t xml:space="preserve">Significant life reduction, safety concern</w:t>
            </w:r>
          </w:p>
        </w:tc>
      </w:tr>
    </w:tbl>
    <w:p>
      <w:pPr>
        <w:pStyle w:val="Heading2"/>
      </w:pPr>
      <w:bookmarkStart w:id="55" w:name="thermal-management-technologies"/>
      <w:r>
        <w:t xml:space="preserve">Thermal Management Technologies</w:t>
      </w:r>
      <w:bookmarkEnd w:id="55"/>
    </w:p>
    <w:p>
      <w:pPr>
        <w:pStyle w:val="Heading3"/>
      </w:pPr>
      <w:bookmarkStart w:id="56" w:name="liquid-cooling-systems"/>
      <w:r>
        <w:t xml:space="preserve">Liquid Cooling Systems</w:t>
      </w:r>
      <w:bookmarkEnd w:id="56"/>
    </w:p>
    <w:p>
      <w:pPr>
        <w:pStyle w:val="FirstParagraph"/>
      </w:pPr>
      <w:r>
        <w:t xml:space="preserve">Most modern EVs use liquid cooling with dedicated coolant loops:</w:t>
      </w:r>
    </w:p>
    <w:p>
      <w:pPr>
        <w:pStyle w:val="BodyText"/>
      </w:pPr>
      <w:r>
        <w:rPr>
          <w:b/>
        </w:rPr>
        <w:t xml:space="preserve">Components</w:t>
      </w:r>
      <w:r>
        <w:t xml:space="preserve">:</w:t>
      </w:r>
    </w:p>
    <w:p>
      <w:pPr>
        <w:numPr>
          <w:ilvl w:val="0"/>
          <w:numId w:val="1017"/>
        </w:numPr>
        <w:pStyle w:val="Compact"/>
      </w:pPr>
      <w:r>
        <w:t xml:space="preserve">Cold plates contacting cell surfaces</w:t>
      </w:r>
    </w:p>
    <w:p>
      <w:pPr>
        <w:numPr>
          <w:ilvl w:val="0"/>
          <w:numId w:val="1017"/>
        </w:numPr>
        <w:pStyle w:val="Compact"/>
      </w:pPr>
      <w:r>
        <w:t xml:space="preserve">Coolant channels through pack structure</w:t>
      </w:r>
    </w:p>
    <w:p>
      <w:pPr>
        <w:numPr>
          <w:ilvl w:val="0"/>
          <w:numId w:val="1017"/>
        </w:numPr>
        <w:pStyle w:val="Compact"/>
      </w:pPr>
      <w:r>
        <w:t xml:space="preserve">Radiator for heat rejection</w:t>
      </w:r>
    </w:p>
    <w:p>
      <w:pPr>
        <w:numPr>
          <w:ilvl w:val="0"/>
          <w:numId w:val="1017"/>
        </w:numPr>
        <w:pStyle w:val="Compact"/>
      </w:pPr>
      <w:r>
        <w:t xml:space="preserve">Electric pump for circulation</w:t>
      </w:r>
    </w:p>
    <w:p>
      <w:pPr>
        <w:numPr>
          <w:ilvl w:val="0"/>
          <w:numId w:val="1017"/>
        </w:numPr>
        <w:pStyle w:val="Compact"/>
      </w:pPr>
      <w:r>
        <w:t xml:space="preserve">Chiller for active cooling</w:t>
      </w:r>
    </w:p>
    <w:p>
      <w:pPr>
        <w:pStyle w:val="Heading3"/>
      </w:pPr>
      <w:bookmarkStart w:id="57" w:name="immersion-cooling"/>
      <w:r>
        <w:t xml:space="preserve">Immersion Cooling</w:t>
      </w:r>
      <w:bookmarkEnd w:id="57"/>
    </w:p>
    <w:p>
      <w:pPr>
        <w:pStyle w:val="FirstParagraph"/>
      </w:pPr>
      <w:r>
        <w:t xml:space="preserve">Next-generation systems submerge cells directly in dielectric fluid:</w:t>
      </w:r>
    </w:p>
    <w:p>
      <w:pPr>
        <w:pStyle w:val="BodyText"/>
      </w:pPr>
      <w:r>
        <w:rPr>
          <w:b/>
        </w:rPr>
        <w:t xml:space="preserve">Performance Comparison</w:t>
      </w:r>
      <w:r>
        <w:t xml:space="preserve">:</w:t>
      </w:r>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Cold Plate</w:t>
            </w:r>
          </w:p>
        </w:tc>
        <w:tc>
          <w:tcPr>
            <w:tcBorders>
              <w:bottom w:val="single"/>
            </w:tcBorders>
            <w:vAlign w:val="bottom"/>
          </w:tcPr>
          <w:p>
            <w:pPr>
              <w:pStyle w:val="Compact"/>
              <w:jc w:val="left"/>
            </w:pPr>
            <w:r>
              <w:t xml:space="preserve">Immersion</w:t>
            </w:r>
          </w:p>
        </w:tc>
      </w:tr>
      <w:tr>
        <w:tc>
          <w:p>
            <w:pPr>
              <w:pStyle w:val="Compact"/>
              <w:jc w:val="left"/>
            </w:pPr>
            <w:r>
              <w:t xml:space="preserve">Heat Dissipation</w:t>
            </w:r>
          </w:p>
        </w:tc>
        <w:tc>
          <w:p>
            <w:pPr>
              <w:pStyle w:val="Compact"/>
              <w:jc w:val="left"/>
            </w:pPr>
            <w:r>
              <w:t xml:space="preserve">Baseline</w:t>
            </w:r>
          </w:p>
        </w:tc>
        <w:tc>
          <w:p>
            <w:pPr>
              <w:pStyle w:val="Compact"/>
              <w:jc w:val="left"/>
            </w:pPr>
            <w:r>
              <w:t xml:space="preserve">+40-50%</w:t>
            </w:r>
          </w:p>
        </w:tc>
      </w:tr>
      <w:tr>
        <w:tc>
          <w:p>
            <w:pPr>
              <w:pStyle w:val="Compact"/>
              <w:jc w:val="left"/>
            </w:pPr>
            <w:r>
              <w:t xml:space="preserve">Temperature Uniformity</w:t>
            </w:r>
          </w:p>
        </w:tc>
        <w:tc>
          <w:p>
            <w:pPr>
              <w:pStyle w:val="Compact"/>
              <w:jc w:val="left"/>
            </w:pPr>
            <w:r>
              <w:t xml:space="preserve">±5°C</w:t>
            </w:r>
          </w:p>
        </w:tc>
        <w:tc>
          <w:p>
            <w:pPr>
              <w:pStyle w:val="Compact"/>
              <w:jc w:val="left"/>
            </w:pPr>
            <w:r>
              <w:t xml:space="preserve">±2°C</w:t>
            </w:r>
          </w:p>
        </w:tc>
      </w:tr>
      <w:tr>
        <w:tc>
          <w:p>
            <w:pPr>
              <w:pStyle w:val="Compact"/>
              <w:jc w:val="left"/>
            </w:pPr>
            <w:r>
              <w:t xml:space="preserve">Ultra-fast Charging Support</w:t>
            </w:r>
          </w:p>
        </w:tc>
        <w:tc>
          <w:p>
            <w:pPr>
              <w:pStyle w:val="Compact"/>
              <w:jc w:val="left"/>
            </w:pPr>
            <w:r>
              <w:t xml:space="preserve">Limited</w:t>
            </w:r>
          </w:p>
        </w:tc>
        <w:tc>
          <w:p>
            <w:pPr>
              <w:pStyle w:val="Compact"/>
              <w:jc w:val="left"/>
            </w:pPr>
            <w:r>
              <w:t xml:space="preserve">Full</w:t>
            </w:r>
          </w:p>
        </w:tc>
      </w:tr>
      <w:tr>
        <w:tc>
          <w:p>
            <w:pPr>
              <w:pStyle w:val="Compact"/>
              <w:jc w:val="left"/>
            </w:pPr>
            <w:r>
              <w:t xml:space="preserve">Complexity</w:t>
            </w:r>
          </w:p>
        </w:tc>
        <w:tc>
          <w:p>
            <w:pPr>
              <w:pStyle w:val="Compact"/>
              <w:jc w:val="left"/>
            </w:pPr>
            <w:r>
              <w:t xml:space="preserve">Lower</w:t>
            </w:r>
          </w:p>
        </w:tc>
        <w:tc>
          <w:p>
            <w:pPr>
              <w:pStyle w:val="Compact"/>
              <w:jc w:val="left"/>
            </w:pPr>
            <w:r>
              <w:t xml:space="preserve">Higher</w:t>
            </w:r>
          </w:p>
        </w:tc>
      </w:tr>
      <w:tr>
        <w:tc>
          <w:p>
            <w:pPr>
              <w:pStyle w:val="Compact"/>
              <w:jc w:val="left"/>
            </w:pPr>
            <w:r>
              <w:t xml:space="preserve">Weight Impact</w:t>
            </w:r>
          </w:p>
        </w:tc>
        <w:tc>
          <w:p>
            <w:pPr>
              <w:pStyle w:val="Compact"/>
              <w:jc w:val="left"/>
            </w:pPr>
            <w:r>
              <w:t xml:space="preserve">Baseline</w:t>
            </w:r>
          </w:p>
        </w:tc>
        <w:tc>
          <w:p>
            <w:pPr>
              <w:pStyle w:val="Compact"/>
              <w:jc w:val="left"/>
            </w:pPr>
            <w:r>
              <w:t xml:space="preserve">+5-10%</w:t>
            </w:r>
          </w:p>
        </w:tc>
      </w:tr>
    </w:tbl>
    <w:p>
      <w:pPr>
        <w:pStyle w:val="Heading3"/>
      </w:pPr>
      <w:bookmarkStart w:id="58" w:name="pre-conditioning"/>
      <w:r>
        <w:t xml:space="preserve">Pre-conditioning</w:t>
      </w:r>
      <w:bookmarkEnd w:id="58"/>
    </w:p>
    <w:p>
      <w:pPr>
        <w:pStyle w:val="FirstParagraph"/>
      </w:pPr>
      <w:r>
        <w:t xml:space="preserve">Modern EVs can pre-heat or pre-cool the battery before charging or driving:</w:t>
      </w:r>
    </w:p>
    <w:p>
      <w:pPr>
        <w:numPr>
          <w:ilvl w:val="0"/>
          <w:numId w:val="1018"/>
        </w:numPr>
        <w:pStyle w:val="Compact"/>
      </w:pPr>
      <w:r>
        <w:t xml:space="preserve">Optimizes battery temperature for DC fast charging</w:t>
      </w:r>
    </w:p>
    <w:p>
      <w:pPr>
        <w:numPr>
          <w:ilvl w:val="0"/>
          <w:numId w:val="1018"/>
        </w:numPr>
        <w:pStyle w:val="Compact"/>
      </w:pPr>
      <w:r>
        <w:t xml:space="preserve">Improves cold-weather range</w:t>
      </w:r>
    </w:p>
    <w:p>
      <w:pPr>
        <w:numPr>
          <w:ilvl w:val="0"/>
          <w:numId w:val="1018"/>
        </w:numPr>
        <w:pStyle w:val="Compact"/>
      </w:pPr>
      <w:r>
        <w:t xml:space="preserve">Reduces degradation from temperature extremes</w:t>
      </w:r>
    </w:p>
    <w:p>
      <w:pPr>
        <w:numPr>
          <w:ilvl w:val="0"/>
          <w:numId w:val="1018"/>
        </w:numPr>
        <w:pStyle w:val="Compact"/>
      </w:pPr>
      <w:r>
        <w:t xml:space="preserve">Often integrated with navigation and charging network apps</w:t>
      </w:r>
    </w:p>
    <w:p>
      <w:pPr>
        <w:pStyle w:val="Heading1"/>
      </w:pPr>
      <w:bookmarkStart w:id="59" w:name="getting-started"/>
      <w:r>
        <w:t xml:space="preserve">Getting Started</w:t>
      </w:r>
      <w:bookmarkEnd w:id="59"/>
    </w:p>
    <w:p>
      <w:pPr>
        <w:pStyle w:val="Heading2"/>
      </w:pPr>
      <w:bookmarkStart w:id="60" w:name="prerequisites"/>
      <w:r>
        <w:t xml:space="preserve">Prerequisites</w:t>
      </w:r>
      <w:bookmarkEnd w:id="60"/>
    </w:p>
    <w:p>
      <w:pPr>
        <w:pStyle w:val="FirstParagraph"/>
      </w:pPr>
      <w:r>
        <w:t xml:space="preserve">Before exploring EV battery technology in depth, users should have:</w:t>
      </w:r>
    </w:p>
    <w:p>
      <w:pPr>
        <w:numPr>
          <w:ilvl w:val="0"/>
          <w:numId w:val="1019"/>
        </w:numPr>
        <w:pStyle w:val="Compact"/>
      </w:pPr>
      <w:r>
        <w:t xml:space="preserve">Basic understanding of electric vehicle operation</w:t>
      </w:r>
    </w:p>
    <w:p>
      <w:pPr>
        <w:numPr>
          <w:ilvl w:val="0"/>
          <w:numId w:val="1019"/>
        </w:numPr>
        <w:pStyle w:val="Compact"/>
      </w:pPr>
      <w:r>
        <w:t xml:space="preserve">Familiarity with vehicle charging concepts</w:t>
      </w:r>
    </w:p>
    <w:p>
      <w:pPr>
        <w:numPr>
          <w:ilvl w:val="0"/>
          <w:numId w:val="1019"/>
        </w:numPr>
        <w:pStyle w:val="Compact"/>
      </w:pPr>
      <w:r>
        <w:t xml:space="preserve">Access to an EV or active interest in EV technology</w:t>
      </w:r>
    </w:p>
    <w:p>
      <w:pPr>
        <w:pStyle w:val="Heading2"/>
      </w:pPr>
      <w:bookmarkStart w:id="61" w:name="quick-start-guide"/>
      <w:r>
        <w:t xml:space="preserve">Quick Start Guide</w:t>
      </w:r>
      <w:bookmarkEnd w:id="61"/>
    </w:p>
    <w:p>
      <w:pPr>
        <w:pStyle w:val="Heading3"/>
      </w:pPr>
      <w:bookmarkStart w:id="62" w:name="Xc1c60c8b3895883efb713f5e5fa461428dcb0b6"/>
      <w:r>
        <w:t xml:space="preserve">Step 1: Understand Your Current Battery Technology</w:t>
      </w:r>
      <w:bookmarkEnd w:id="62"/>
    </w:p>
    <w:p>
      <w:pPr>
        <w:pStyle w:val="FirstParagraph"/>
      </w:pPr>
      <w:r>
        <w:t xml:space="preserve">Identify your EV’s battery chemistry and specifications:</w:t>
      </w:r>
    </w:p>
    <w:p>
      <w:pPr>
        <w:numPr>
          <w:ilvl w:val="0"/>
          <w:numId w:val="1020"/>
        </w:numPr>
        <w:pStyle w:val="Compact"/>
      </w:pPr>
      <w:r>
        <w:t xml:space="preserve">Check vehicle documentation or specifications sheet</w:t>
      </w:r>
    </w:p>
    <w:p>
      <w:pPr>
        <w:numPr>
          <w:ilvl w:val="0"/>
          <w:numId w:val="1020"/>
        </w:numPr>
        <w:pStyle w:val="Compact"/>
      </w:pPr>
      <w:r>
        <w:t xml:space="preserve">Note battery capacity (kWh), chemistry type, and warranty terms</w:t>
      </w:r>
    </w:p>
    <w:p>
      <w:pPr>
        <w:numPr>
          <w:ilvl w:val="0"/>
          <w:numId w:val="1020"/>
        </w:numPr>
        <w:pStyle w:val="Compact"/>
      </w:pPr>
      <w:r>
        <w:t xml:space="preserve">Understand your vehicle’s thermal management system</w:t>
      </w:r>
    </w:p>
    <w:p>
      <w:pPr>
        <w:pStyle w:val="Heading3"/>
      </w:pPr>
      <w:bookmarkStart w:id="63" w:name="step-2-learn-battery-care-best-practices"/>
      <w:r>
        <w:t xml:space="preserve">Step 2: Learn Battery Care Best Practices</w:t>
      </w:r>
      <w:bookmarkEnd w:id="63"/>
    </w:p>
    <w:p>
      <w:pPr>
        <w:pStyle w:val="FirstParagraph"/>
      </w:pPr>
      <w:r>
        <w:t xml:space="preserve">Adopt habits that maximize battery longevity:</w:t>
      </w:r>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Practice</w:t>
            </w:r>
          </w:p>
        </w:tc>
        <w:tc>
          <w:tcPr>
            <w:tcBorders>
              <w:bottom w:val="single"/>
            </w:tcBorders>
            <w:vAlign w:val="bottom"/>
          </w:tcPr>
          <w:p>
            <w:pPr>
              <w:pStyle w:val="Compact"/>
              <w:jc w:val="left"/>
            </w:pPr>
            <w:r>
              <w:t xml:space="preserve">Recommendation</w:t>
            </w:r>
          </w:p>
        </w:tc>
        <w:tc>
          <w:tcPr>
            <w:tcBorders>
              <w:bottom w:val="single"/>
            </w:tcBorders>
            <w:vAlign w:val="bottom"/>
          </w:tcPr>
          <w:p>
            <w:pPr>
              <w:pStyle w:val="Compact"/>
              <w:jc w:val="left"/>
            </w:pPr>
            <w:r>
              <w:t xml:space="preserve">Rationale</w:t>
            </w:r>
          </w:p>
        </w:tc>
      </w:tr>
      <w:tr>
        <w:tc>
          <w:p>
            <w:pPr>
              <w:pStyle w:val="Compact"/>
              <w:jc w:val="left"/>
            </w:pPr>
            <w:r>
              <w:t xml:space="preserve">Daily SoC Range</w:t>
            </w:r>
          </w:p>
        </w:tc>
        <w:tc>
          <w:p>
            <w:pPr>
              <w:pStyle w:val="Compact"/>
              <w:jc w:val="left"/>
            </w:pPr>
            <w:r>
              <w:t xml:space="preserve">20-80%</w:t>
            </w:r>
          </w:p>
        </w:tc>
        <w:tc>
          <w:p>
            <w:pPr>
              <w:pStyle w:val="Compact"/>
              <w:jc w:val="left"/>
            </w:pPr>
            <w:r>
              <w:t xml:space="preserve">Reduces stress on cells</w:t>
            </w:r>
          </w:p>
        </w:tc>
      </w:tr>
      <w:tr>
        <w:tc>
          <w:p>
            <w:pPr>
              <w:pStyle w:val="Compact"/>
              <w:jc w:val="left"/>
            </w:pPr>
            <w:r>
              <w:t xml:space="preserve">Fast Charging</w:t>
            </w:r>
          </w:p>
        </w:tc>
        <w:tc>
          <w:p>
            <w:pPr>
              <w:pStyle w:val="Compact"/>
              <w:jc w:val="left"/>
            </w:pPr>
            <w:r>
              <w:t xml:space="preserve">Limit to when necessary</w:t>
            </w:r>
          </w:p>
        </w:tc>
        <w:tc>
          <w:p>
            <w:pPr>
              <w:pStyle w:val="Compact"/>
              <w:jc w:val="left"/>
            </w:pPr>
            <w:r>
              <w:t xml:space="preserve">Minimizes heat stress</w:t>
            </w:r>
          </w:p>
        </w:tc>
      </w:tr>
      <w:tr>
        <w:tc>
          <w:p>
            <w:pPr>
              <w:pStyle w:val="Compact"/>
              <w:jc w:val="left"/>
            </w:pPr>
            <w:r>
              <w:t xml:space="preserve">Temperature</w:t>
            </w:r>
          </w:p>
        </w:tc>
        <w:tc>
          <w:p>
            <w:pPr>
              <w:pStyle w:val="Compact"/>
              <w:jc w:val="left"/>
            </w:pPr>
            <w:r>
              <w:t xml:space="preserve">Avoid extreme heat exposure</w:t>
            </w:r>
          </w:p>
        </w:tc>
        <w:tc>
          <w:p>
            <w:pPr>
              <w:pStyle w:val="Compact"/>
              <w:jc w:val="left"/>
            </w:pPr>
            <w:r>
              <w:t xml:space="preserve">Preserves capacity</w:t>
            </w:r>
          </w:p>
        </w:tc>
      </w:tr>
      <w:tr>
        <w:tc>
          <w:p>
            <w:pPr>
              <w:pStyle w:val="Compact"/>
              <w:jc w:val="left"/>
            </w:pPr>
            <w:r>
              <w:t xml:space="preserve">Charging Equipment</w:t>
            </w:r>
          </w:p>
        </w:tc>
        <w:tc>
          <w:p>
            <w:pPr>
              <w:pStyle w:val="Compact"/>
              <w:jc w:val="left"/>
            </w:pPr>
            <w:r>
              <w:t xml:space="preserve">Use manufacturer-recommended</w:t>
            </w:r>
          </w:p>
        </w:tc>
        <w:tc>
          <w:p>
            <w:pPr>
              <w:pStyle w:val="Compact"/>
              <w:jc w:val="left"/>
            </w:pPr>
            <w:r>
              <w:t xml:space="preserve">Ensures optimal protocols</w:t>
            </w:r>
          </w:p>
        </w:tc>
      </w:tr>
    </w:tbl>
    <w:p>
      <w:pPr>
        <w:pStyle w:val="Heading3"/>
      </w:pPr>
      <w:bookmarkStart w:id="64" w:name="step-3-monitor-battery-health"/>
      <w:r>
        <w:t xml:space="preserve">Step 3: Monitor Battery Health</w:t>
      </w:r>
      <w:bookmarkEnd w:id="64"/>
    </w:p>
    <w:p>
      <w:pPr>
        <w:pStyle w:val="FirstParagraph"/>
      </w:pPr>
      <w:r>
        <w:t xml:space="preserve">Track your battery’s condition over time:</w:t>
      </w:r>
    </w:p>
    <w:p>
      <w:pPr>
        <w:numPr>
          <w:ilvl w:val="0"/>
          <w:numId w:val="1021"/>
        </w:numPr>
        <w:pStyle w:val="Compact"/>
      </w:pPr>
      <w:r>
        <w:t xml:space="preserve">Use vehicle dashboard or app for SoH indicators</w:t>
      </w:r>
    </w:p>
    <w:p>
      <w:pPr>
        <w:numPr>
          <w:ilvl w:val="0"/>
          <w:numId w:val="1021"/>
        </w:numPr>
        <w:pStyle w:val="Compact"/>
      </w:pPr>
      <w:r>
        <w:t xml:space="preserve">Note any range reduction patterns</w:t>
      </w:r>
    </w:p>
    <w:p>
      <w:pPr>
        <w:numPr>
          <w:ilvl w:val="0"/>
          <w:numId w:val="1021"/>
        </w:numPr>
        <w:pStyle w:val="Compact"/>
      </w:pPr>
      <w:r>
        <w:t xml:space="preserve">Schedule periodic dealer diagnostics if available</w:t>
      </w:r>
    </w:p>
    <w:p>
      <w:pPr>
        <w:pStyle w:val="Heading3"/>
      </w:pPr>
      <w:bookmarkStart w:id="65" w:name="step-4-plan-for-future-technologies"/>
      <w:r>
        <w:t xml:space="preserve">Step 4: Plan for Future Technologies</w:t>
      </w:r>
      <w:bookmarkEnd w:id="65"/>
    </w:p>
    <w:p>
      <w:pPr>
        <w:pStyle w:val="FirstParagraph"/>
      </w:pPr>
      <w:r>
        <w:t xml:space="preserve">Stay informed about emerging developments:</w:t>
      </w:r>
    </w:p>
    <w:p>
      <w:pPr>
        <w:numPr>
          <w:ilvl w:val="0"/>
          <w:numId w:val="1022"/>
        </w:numPr>
        <w:pStyle w:val="Compact"/>
      </w:pPr>
      <w:r>
        <w:t xml:space="preserve">Follow manufacturer roadmaps for battery upgrades</w:t>
      </w:r>
    </w:p>
    <w:p>
      <w:pPr>
        <w:numPr>
          <w:ilvl w:val="0"/>
          <w:numId w:val="1022"/>
        </w:numPr>
        <w:pStyle w:val="Compact"/>
      </w:pPr>
      <w:r>
        <w:t xml:space="preserve">Monitor charging infrastructure expansion</w:t>
      </w:r>
    </w:p>
    <w:p>
      <w:pPr>
        <w:numPr>
          <w:ilvl w:val="0"/>
          <w:numId w:val="1022"/>
        </w:numPr>
        <w:pStyle w:val="Compact"/>
      </w:pPr>
      <w:r>
        <w:t xml:space="preserve">Understand trade-in and upgrade timing</w:t>
      </w:r>
    </w:p>
    <w:p>
      <w:pPr>
        <w:pStyle w:val="Heading1"/>
      </w:pPr>
      <w:bookmarkStart w:id="66" w:name="how-to-guides"/>
      <w:r>
        <w:t xml:space="preserve">How-To Guides</w:t>
      </w:r>
      <w:bookmarkEnd w:id="66"/>
    </w:p>
    <w:p>
      <w:pPr>
        <w:pStyle w:val="Heading2"/>
      </w:pPr>
      <w:bookmarkStart w:id="67" w:name="understanding-new-battery-technologies"/>
      <w:r>
        <w:t xml:space="preserve">Understanding New Battery Technologies</w:t>
      </w:r>
      <w:bookmarkEnd w:id="67"/>
    </w:p>
    <w:p>
      <w:pPr>
        <w:pStyle w:val="Heading3"/>
      </w:pPr>
      <w:bookmarkStart w:id="68" w:name="purpose"/>
      <w:r>
        <w:t xml:space="preserve">Purpose</w:t>
      </w:r>
      <w:bookmarkEnd w:id="68"/>
    </w:p>
    <w:p>
      <w:pPr>
        <w:pStyle w:val="FirstParagraph"/>
      </w:pPr>
      <w:r>
        <w:t xml:space="preserve">This guide helps users evaluate emerging battery technologies to make informed decisions about current purchases and future expectations.</w:t>
      </w:r>
    </w:p>
    <w:p>
      <w:pPr>
        <w:pStyle w:val="Heading3"/>
      </w:pPr>
      <w:bookmarkStart w:id="69" w:name="evaluating-battery-chemistries"/>
      <w:r>
        <w:t xml:space="preserve">Evaluating Battery Chemistries</w:t>
      </w:r>
      <w:bookmarkEnd w:id="69"/>
    </w:p>
    <w:tbl>
      <w:tblPr>
        <w:tblStyle w:val="Table"/>
        <w:tblW w:type="pct" w:w="50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66"/>
        <w:gridCol w:w="2754"/>
        <w:gridCol w:w="3099"/>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Outcome</w:t>
            </w:r>
          </w:p>
        </w:tc>
      </w:tr>
      <w:tr>
        <w:tc>
          <w:p>
            <w:pPr>
              <w:pStyle w:val="Compact"/>
              <w:jc w:val="left"/>
            </w:pPr>
            <w:r>
              <w:t xml:space="preserve">1</w:t>
            </w:r>
          </w:p>
        </w:tc>
        <w:tc>
          <w:p>
            <w:pPr>
              <w:pStyle w:val="Compact"/>
              <w:jc w:val="left"/>
            </w:pPr>
            <w:r>
              <w:t xml:space="preserve">Identify available chemistries for target vehicle</w:t>
            </w:r>
          </w:p>
        </w:tc>
        <w:tc>
          <w:p>
            <w:pPr>
              <w:pStyle w:val="Compact"/>
              <w:jc w:val="left"/>
            </w:pPr>
            <w:r>
              <w:t xml:space="preserve">Know your options</w:t>
            </w:r>
          </w:p>
        </w:tc>
      </w:tr>
      <w:tr>
        <w:tc>
          <w:p>
            <w:pPr>
              <w:pStyle w:val="Compact"/>
              <w:jc w:val="left"/>
            </w:pPr>
            <w:r>
              <w:t xml:space="preserve">2</w:t>
            </w:r>
          </w:p>
        </w:tc>
        <w:tc>
          <w:p>
            <w:pPr>
              <w:pStyle w:val="Compact"/>
              <w:jc w:val="left"/>
            </w:pPr>
            <w:r>
              <w:t xml:space="preserve">Compare energy density and range specifications</w:t>
            </w:r>
          </w:p>
        </w:tc>
        <w:tc>
          <w:p>
            <w:pPr>
              <w:pStyle w:val="Compact"/>
              <w:jc w:val="left"/>
            </w:pPr>
            <w:r>
              <w:t xml:space="preserve">Understand performance</w:t>
            </w:r>
          </w:p>
        </w:tc>
      </w:tr>
      <w:tr>
        <w:tc>
          <w:p>
            <w:pPr>
              <w:pStyle w:val="Compact"/>
              <w:jc w:val="left"/>
            </w:pPr>
            <w:r>
              <w:t xml:space="preserve">3</w:t>
            </w:r>
          </w:p>
        </w:tc>
        <w:tc>
          <w:p>
            <w:pPr>
              <w:pStyle w:val="Compact"/>
              <w:jc w:val="left"/>
            </w:pPr>
            <w:r>
              <w:t xml:space="preserve">Review safety characteristics and testing results</w:t>
            </w:r>
          </w:p>
        </w:tc>
        <w:tc>
          <w:p>
            <w:pPr>
              <w:pStyle w:val="Compact"/>
              <w:jc w:val="left"/>
            </w:pPr>
            <w:r>
              <w:t xml:space="preserve">Assess safety profile</w:t>
            </w:r>
          </w:p>
        </w:tc>
      </w:tr>
      <w:tr>
        <w:tc>
          <w:p>
            <w:pPr>
              <w:pStyle w:val="Compact"/>
              <w:jc w:val="left"/>
            </w:pPr>
            <w:r>
              <w:t xml:space="preserve">4</w:t>
            </w:r>
          </w:p>
        </w:tc>
        <w:tc>
          <w:p>
            <w:pPr>
              <w:pStyle w:val="Compact"/>
              <w:jc w:val="left"/>
            </w:pPr>
            <w:r>
              <w:t xml:space="preserve">Evaluate warranty terms and cycle life ratings</w:t>
            </w:r>
          </w:p>
        </w:tc>
        <w:tc>
          <w:p>
            <w:pPr>
              <w:pStyle w:val="Compact"/>
              <w:jc w:val="left"/>
            </w:pPr>
            <w:r>
              <w:t xml:space="preserve">Predict longevity</w:t>
            </w:r>
          </w:p>
        </w:tc>
      </w:tr>
      <w:tr>
        <w:tc>
          <w:p>
            <w:pPr>
              <w:pStyle w:val="Compact"/>
              <w:jc w:val="left"/>
            </w:pPr>
            <w:r>
              <w:t xml:space="preserve">5</w:t>
            </w:r>
          </w:p>
        </w:tc>
        <w:tc>
          <w:p>
            <w:pPr>
              <w:pStyle w:val="Compact"/>
              <w:jc w:val="left"/>
            </w:pPr>
            <w:r>
              <w:t xml:space="preserve">Consider environmental factors (temperature, recycling)</w:t>
            </w:r>
          </w:p>
        </w:tc>
        <w:tc>
          <w:p>
            <w:pPr>
              <w:pStyle w:val="Compact"/>
              <w:jc w:val="left"/>
            </w:pPr>
            <w:r>
              <w:t xml:space="preserve">Sustainability impact</w:t>
            </w:r>
          </w:p>
        </w:tc>
      </w:tr>
    </w:tbl>
    <w:p>
      <w:pPr>
        <w:pStyle w:val="Heading3"/>
      </w:pPr>
      <w:bookmarkStart w:id="70" w:name="chemistry-selection-guide"/>
      <w:r>
        <w:t xml:space="preserve">Chemistry Selection Guide</w:t>
      </w:r>
      <w:bookmarkEnd w:id="70"/>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Recommended Chemistry</w:t>
            </w:r>
          </w:p>
        </w:tc>
        <w:tc>
          <w:tcPr>
            <w:tcBorders>
              <w:bottom w:val="single"/>
            </w:tcBorders>
            <w:vAlign w:val="bottom"/>
          </w:tcPr>
          <w:p>
            <w:pPr>
              <w:pStyle w:val="Compact"/>
              <w:jc w:val="left"/>
            </w:pPr>
            <w:r>
              <w:t xml:space="preserve">Rationale</w:t>
            </w:r>
          </w:p>
        </w:tc>
      </w:tr>
      <w:tr>
        <w:tc>
          <w:p>
            <w:pPr>
              <w:pStyle w:val="Compact"/>
              <w:jc w:val="left"/>
            </w:pPr>
            <w:r>
              <w:t xml:space="preserve">Maximum Range</w:t>
            </w:r>
          </w:p>
        </w:tc>
        <w:tc>
          <w:p>
            <w:pPr>
              <w:pStyle w:val="Compact"/>
              <w:jc w:val="left"/>
            </w:pPr>
            <w:r>
              <w:t xml:space="preserve">NMC/NCA or Solid-State</w:t>
            </w:r>
          </w:p>
        </w:tc>
        <w:tc>
          <w:p>
            <w:pPr>
              <w:pStyle w:val="Compact"/>
              <w:jc w:val="left"/>
            </w:pPr>
            <w:r>
              <w:t xml:space="preserve">Highest energy density</w:t>
            </w:r>
          </w:p>
        </w:tc>
      </w:tr>
      <w:tr>
        <w:tc>
          <w:p>
            <w:pPr>
              <w:pStyle w:val="Compact"/>
              <w:jc w:val="left"/>
            </w:pPr>
            <w:r>
              <w:t xml:space="preserve">Lowest Cost</w:t>
            </w:r>
          </w:p>
        </w:tc>
        <w:tc>
          <w:p>
            <w:pPr>
              <w:pStyle w:val="Compact"/>
              <w:jc w:val="left"/>
            </w:pPr>
            <w:r>
              <w:t xml:space="preserve">LFP or Sodium-Ion</w:t>
            </w:r>
          </w:p>
        </w:tc>
        <w:tc>
          <w:p>
            <w:pPr>
              <w:pStyle w:val="Compact"/>
              <w:jc w:val="left"/>
            </w:pPr>
            <w:r>
              <w:t xml:space="preserve">Best value proposition</w:t>
            </w:r>
          </w:p>
        </w:tc>
      </w:tr>
      <w:tr>
        <w:tc>
          <w:p>
            <w:pPr>
              <w:pStyle w:val="Compact"/>
              <w:jc w:val="left"/>
            </w:pPr>
            <w:r>
              <w:t xml:space="preserve">Longest Life</w:t>
            </w:r>
          </w:p>
        </w:tc>
        <w:tc>
          <w:p>
            <w:pPr>
              <w:pStyle w:val="Compact"/>
              <w:jc w:val="left"/>
            </w:pPr>
            <w:r>
              <w:t xml:space="preserve">LFP</w:t>
            </w:r>
          </w:p>
        </w:tc>
        <w:tc>
          <w:p>
            <w:pPr>
              <w:pStyle w:val="Compact"/>
              <w:jc w:val="left"/>
            </w:pPr>
            <w:r>
              <w:t xml:space="preserve">Superior cycle life</w:t>
            </w:r>
          </w:p>
        </w:tc>
      </w:tr>
      <w:tr>
        <w:tc>
          <w:p>
            <w:pPr>
              <w:pStyle w:val="Compact"/>
              <w:jc w:val="left"/>
            </w:pPr>
            <w:r>
              <w:t xml:space="preserve">Cold Climate</w:t>
            </w:r>
          </w:p>
        </w:tc>
        <w:tc>
          <w:p>
            <w:pPr>
              <w:pStyle w:val="Compact"/>
              <w:jc w:val="left"/>
            </w:pPr>
            <w:r>
              <w:t xml:space="preserve">Sodium-Ion or LFP</w:t>
            </w:r>
          </w:p>
        </w:tc>
        <w:tc>
          <w:p>
            <w:pPr>
              <w:pStyle w:val="Compact"/>
              <w:jc w:val="left"/>
            </w:pPr>
            <w:r>
              <w:t xml:space="preserve">Better cold performance</w:t>
            </w:r>
          </w:p>
        </w:tc>
      </w:tr>
      <w:tr>
        <w:tc>
          <w:p>
            <w:pPr>
              <w:pStyle w:val="Compact"/>
              <w:jc w:val="left"/>
            </w:pPr>
            <w:r>
              <w:t xml:space="preserve">Fast Charging</w:t>
            </w:r>
          </w:p>
        </w:tc>
        <w:tc>
          <w:p>
            <w:pPr>
              <w:pStyle w:val="Compact"/>
              <w:jc w:val="left"/>
            </w:pPr>
            <w:r>
              <w:t xml:space="preserve">Solid-State (future) or NMC</w:t>
            </w:r>
          </w:p>
        </w:tc>
        <w:tc>
          <w:p>
            <w:pPr>
              <w:pStyle w:val="Compact"/>
              <w:jc w:val="left"/>
            </w:pPr>
            <w:r>
              <w:t xml:space="preserve">Higher C-rate capability</w:t>
            </w:r>
          </w:p>
        </w:tc>
      </w:tr>
    </w:tbl>
    <w:p>
      <w:pPr>
        <w:pStyle w:val="Heading3"/>
      </w:pPr>
      <w:bookmarkStart w:id="71" w:name="expected-results"/>
      <w:r>
        <w:t xml:space="preserve">Expected Results</w:t>
      </w:r>
      <w:bookmarkEnd w:id="71"/>
    </w:p>
    <w:p>
      <w:pPr>
        <w:pStyle w:val="FirstParagraph"/>
      </w:pPr>
      <w:r>
        <w:t xml:space="preserve">Users completing this evaluation will be able to identify which battery technology best aligns with their driving patterns, budget, and long-term ownership plans.</w:t>
      </w:r>
    </w:p>
    <w:p>
      <w:pPr>
        <w:pStyle w:val="Heading2"/>
      </w:pPr>
      <w:bookmarkStart w:id="72" w:name="maximizing-battery-life"/>
      <w:r>
        <w:t xml:space="preserve">Maximizing Battery Life</w:t>
      </w:r>
      <w:bookmarkEnd w:id="72"/>
    </w:p>
    <w:p>
      <w:pPr>
        <w:pStyle w:val="Heading3"/>
      </w:pPr>
      <w:bookmarkStart w:id="73" w:name="purpose-1"/>
      <w:r>
        <w:t xml:space="preserve">Purpose</w:t>
      </w:r>
      <w:bookmarkEnd w:id="73"/>
    </w:p>
    <w:p>
      <w:pPr>
        <w:pStyle w:val="FirstParagraph"/>
      </w:pPr>
      <w:r>
        <w:t xml:space="preserve">This guide provides actionable steps to extend EV battery lifespan and maintain optimal performance.</w:t>
      </w:r>
    </w:p>
    <w:p>
      <w:pPr>
        <w:pStyle w:val="Heading3"/>
      </w:pPr>
      <w:bookmarkStart w:id="74" w:name="daily-charging-practices"/>
      <w:r>
        <w:t xml:space="preserve">Daily Charging Practices</w:t>
      </w:r>
      <w:bookmarkEnd w:id="74"/>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Practice</w:t>
            </w:r>
          </w:p>
        </w:tc>
        <w:tc>
          <w:tcPr>
            <w:tcBorders>
              <w:bottom w:val="single"/>
            </w:tcBorders>
            <w:vAlign w:val="bottom"/>
          </w:tcPr>
          <w:p>
            <w:pPr>
              <w:pStyle w:val="Compact"/>
              <w:jc w:val="left"/>
            </w:pPr>
            <w:r>
              <w:t xml:space="preserve">Recommendation</w:t>
            </w:r>
          </w:p>
        </w:tc>
        <w:tc>
          <w:tcPr>
            <w:tcBorders>
              <w:bottom w:val="single"/>
            </w:tcBorders>
            <w:vAlign w:val="bottom"/>
          </w:tcPr>
          <w:p>
            <w:pPr>
              <w:pStyle w:val="Compact"/>
              <w:jc w:val="left"/>
            </w:pPr>
            <w:r>
              <w:t xml:space="preserve">Impact on Battery Life</w:t>
            </w:r>
          </w:p>
        </w:tc>
      </w:tr>
      <w:tr>
        <w:tc>
          <w:p>
            <w:pPr>
              <w:pStyle w:val="Compact"/>
              <w:jc w:val="left"/>
            </w:pPr>
            <w:r>
              <w:t xml:space="preserve">Target SoC</w:t>
            </w:r>
          </w:p>
        </w:tc>
        <w:tc>
          <w:p>
            <w:pPr>
              <w:pStyle w:val="Compact"/>
              <w:jc w:val="left"/>
            </w:pPr>
            <w:r>
              <w:t xml:space="preserve">80% for daily use</w:t>
            </w:r>
          </w:p>
        </w:tc>
        <w:tc>
          <w:p>
            <w:pPr>
              <w:pStyle w:val="Compact"/>
              <w:jc w:val="left"/>
            </w:pPr>
            <w:r>
              <w:t xml:space="preserve">+20-30% life extension</w:t>
            </w:r>
          </w:p>
        </w:tc>
      </w:tr>
      <w:tr>
        <w:tc>
          <w:p>
            <w:pPr>
              <w:pStyle w:val="Compact"/>
              <w:jc w:val="left"/>
            </w:pPr>
            <w:r>
              <w:t xml:space="preserve">Minimum SoC</w:t>
            </w:r>
          </w:p>
        </w:tc>
        <w:tc>
          <w:p>
            <w:pPr>
              <w:pStyle w:val="Compact"/>
              <w:jc w:val="left"/>
            </w:pPr>
            <w:r>
              <w:t xml:space="preserve">Keep above 20%</w:t>
            </w:r>
          </w:p>
        </w:tc>
        <w:tc>
          <w:p>
            <w:pPr>
              <w:pStyle w:val="Compact"/>
              <w:jc w:val="left"/>
            </w:pPr>
            <w:r>
              <w:t xml:space="preserve">Prevents deep discharge stress</w:t>
            </w:r>
          </w:p>
        </w:tc>
      </w:tr>
      <w:tr>
        <w:tc>
          <w:p>
            <w:pPr>
              <w:pStyle w:val="Compact"/>
              <w:jc w:val="left"/>
            </w:pPr>
            <w:r>
              <w:t xml:space="preserve">Full Charge</w:t>
            </w:r>
          </w:p>
        </w:tc>
        <w:tc>
          <w:p>
            <w:pPr>
              <w:pStyle w:val="Compact"/>
              <w:jc w:val="left"/>
            </w:pPr>
            <w:r>
              <w:t xml:space="preserve">Only for long trips</w:t>
            </w:r>
          </w:p>
        </w:tc>
        <w:tc>
          <w:p>
            <w:pPr>
              <w:pStyle w:val="Compact"/>
              <w:jc w:val="left"/>
            </w:pPr>
            <w:r>
              <w:t xml:space="preserve">Minimize time at 100%</w:t>
            </w:r>
          </w:p>
        </w:tc>
      </w:tr>
      <w:tr>
        <w:tc>
          <w:p>
            <w:pPr>
              <w:pStyle w:val="Compact"/>
              <w:jc w:val="left"/>
            </w:pPr>
            <w:r>
              <w:t xml:space="preserve">Charging Speed</w:t>
            </w:r>
          </w:p>
        </w:tc>
        <w:tc>
          <w:p>
            <w:pPr>
              <w:pStyle w:val="Compact"/>
              <w:jc w:val="left"/>
            </w:pPr>
            <w:r>
              <w:t xml:space="preserve">Level 2 for daily, DCFC when needed</w:t>
            </w:r>
          </w:p>
        </w:tc>
        <w:tc>
          <w:p>
            <w:pPr>
              <w:pStyle w:val="Compact"/>
              <w:jc w:val="left"/>
            </w:pPr>
            <w:r>
              <w:t xml:space="preserve">Reduces thermal stress</w:t>
            </w:r>
          </w:p>
        </w:tc>
      </w:tr>
    </w:tbl>
    <w:p>
      <w:pPr>
        <w:pStyle w:val="Heading3"/>
      </w:pPr>
      <w:bookmarkStart w:id="75" w:name="environmental-considerations"/>
      <w:r>
        <w:t xml:space="preserve">Environmental Considerations</w:t>
      </w:r>
      <w:bookmarkEnd w:id="75"/>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Best Practice</w:t>
            </w:r>
          </w:p>
        </w:tc>
        <w:tc>
          <w:tcPr>
            <w:tcBorders>
              <w:bottom w:val="single"/>
            </w:tcBorders>
            <w:vAlign w:val="bottom"/>
          </w:tcPr>
          <w:p>
            <w:pPr>
              <w:pStyle w:val="Compact"/>
              <w:jc w:val="left"/>
            </w:pPr>
            <w:r>
              <w:t xml:space="preserve">Why It Matters</w:t>
            </w:r>
          </w:p>
        </w:tc>
      </w:tr>
      <w:tr>
        <w:tc>
          <w:p>
            <w:pPr>
              <w:pStyle w:val="Compact"/>
              <w:jc w:val="left"/>
            </w:pPr>
            <w:r>
              <w:t xml:space="preserve">Parking</w:t>
            </w:r>
          </w:p>
        </w:tc>
        <w:tc>
          <w:p>
            <w:pPr>
              <w:pStyle w:val="Compact"/>
              <w:jc w:val="left"/>
            </w:pPr>
            <w:r>
              <w:t xml:space="preserve">Shade or garage when possible</w:t>
            </w:r>
          </w:p>
        </w:tc>
        <w:tc>
          <w:p>
            <w:pPr>
              <w:pStyle w:val="Compact"/>
              <w:jc w:val="left"/>
            </w:pPr>
            <w:r>
              <w:t xml:space="preserve">Heat accelerates degradation</w:t>
            </w:r>
          </w:p>
        </w:tc>
      </w:tr>
      <w:tr>
        <w:tc>
          <w:p>
            <w:pPr>
              <w:pStyle w:val="Compact"/>
              <w:jc w:val="left"/>
            </w:pPr>
            <w:r>
              <w:t xml:space="preserve">Pre-conditioning</w:t>
            </w:r>
          </w:p>
        </w:tc>
        <w:tc>
          <w:p>
            <w:pPr>
              <w:pStyle w:val="Compact"/>
              <w:jc w:val="left"/>
            </w:pPr>
            <w:r>
              <w:t xml:space="preserve">Use while plugged in</w:t>
            </w:r>
          </w:p>
        </w:tc>
        <w:tc>
          <w:p>
            <w:pPr>
              <w:pStyle w:val="Compact"/>
              <w:jc w:val="left"/>
            </w:pPr>
            <w:r>
              <w:t xml:space="preserve">Preserves battery energy</w:t>
            </w:r>
          </w:p>
        </w:tc>
      </w:tr>
      <w:tr>
        <w:tc>
          <w:p>
            <w:pPr>
              <w:pStyle w:val="Compact"/>
              <w:jc w:val="left"/>
            </w:pPr>
            <w:r>
              <w:t xml:space="preserve">Winter</w:t>
            </w:r>
          </w:p>
        </w:tc>
        <w:tc>
          <w:p>
            <w:pPr>
              <w:pStyle w:val="Compact"/>
              <w:jc w:val="left"/>
            </w:pPr>
            <w:r>
              <w:t xml:space="preserve">Pre-heat battery before driving</w:t>
            </w:r>
          </w:p>
        </w:tc>
        <w:tc>
          <w:p>
            <w:pPr>
              <w:pStyle w:val="Compact"/>
              <w:jc w:val="left"/>
            </w:pPr>
            <w:r>
              <w:t xml:space="preserve">Improves efficiency</w:t>
            </w:r>
          </w:p>
        </w:tc>
      </w:tr>
      <w:tr>
        <w:tc>
          <w:p>
            <w:pPr>
              <w:pStyle w:val="Compact"/>
              <w:jc w:val="left"/>
            </w:pPr>
            <w:r>
              <w:t xml:space="preserve">Summer</w:t>
            </w:r>
          </w:p>
        </w:tc>
        <w:tc>
          <w:p>
            <w:pPr>
              <w:pStyle w:val="Compact"/>
              <w:jc w:val="left"/>
            </w:pPr>
            <w:r>
              <w:t xml:space="preserve">Pre-cool before fast charging</w:t>
            </w:r>
          </w:p>
        </w:tc>
        <w:tc>
          <w:p>
            <w:pPr>
              <w:pStyle w:val="Compact"/>
              <w:jc w:val="left"/>
            </w:pPr>
            <w:r>
              <w:t xml:space="preserve">Enables full charge rate</w:t>
            </w:r>
          </w:p>
        </w:tc>
      </w:tr>
    </w:tbl>
    <w:p>
      <w:pPr>
        <w:pStyle w:val="Heading3"/>
      </w:pPr>
      <w:bookmarkStart w:id="76" w:name="monitoring-and-maintenance"/>
      <w:r>
        <w:t xml:space="preserve">Monitoring and Maintenance</w:t>
      </w:r>
      <w:bookmarkEnd w:id="76"/>
    </w:p>
    <w:p>
      <w:pPr>
        <w:numPr>
          <w:ilvl w:val="0"/>
          <w:numId w:val="1023"/>
        </w:numPr>
        <w:pStyle w:val="Compact"/>
      </w:pPr>
      <w:r>
        <w:t xml:space="preserve">Check battery health indicators monthly</w:t>
      </w:r>
    </w:p>
    <w:p>
      <w:pPr>
        <w:numPr>
          <w:ilvl w:val="0"/>
          <w:numId w:val="1023"/>
        </w:numPr>
        <w:pStyle w:val="Compact"/>
      </w:pPr>
      <w:r>
        <w:t xml:space="preserve">Note any unusual behavior (reduced range, slow charging)</w:t>
      </w:r>
    </w:p>
    <w:p>
      <w:pPr>
        <w:numPr>
          <w:ilvl w:val="0"/>
          <w:numId w:val="1023"/>
        </w:numPr>
        <w:pStyle w:val="Compact"/>
      </w:pPr>
      <w:r>
        <w:t xml:space="preserve">Keep software updated for latest BMS improvements</w:t>
      </w:r>
    </w:p>
    <w:p>
      <w:pPr>
        <w:numPr>
          <w:ilvl w:val="0"/>
          <w:numId w:val="1023"/>
        </w:numPr>
        <w:pStyle w:val="Compact"/>
      </w:pPr>
      <w:r>
        <w:t xml:space="preserve">Schedule annual battery diagnostic if available</w:t>
      </w:r>
    </w:p>
    <w:p>
      <w:pPr>
        <w:pStyle w:val="Heading3"/>
      </w:pPr>
      <w:bookmarkStart w:id="77" w:name="expected-outcomes"/>
      <w:r>
        <w:t xml:space="preserve">Expected Outcomes</w:t>
      </w:r>
      <w:bookmarkEnd w:id="77"/>
    </w:p>
    <w:p>
      <w:pPr>
        <w:pStyle w:val="FirstParagraph"/>
      </w:pPr>
      <w:r>
        <w:t xml:space="preserve">Following these practices can extend battery life by 20-30% beyond baseline, maintaining higher resale value and reducing total ownership costs.</w:t>
      </w:r>
    </w:p>
    <w:p>
      <w:pPr>
        <w:pStyle w:val="Heading2"/>
      </w:pPr>
      <w:bookmarkStart w:id="78" w:name="preparing-for-next-generation-charging"/>
      <w:r>
        <w:t xml:space="preserve">Preparing for Next-Generation Charging</w:t>
      </w:r>
      <w:bookmarkEnd w:id="78"/>
    </w:p>
    <w:p>
      <w:pPr>
        <w:pStyle w:val="Heading3"/>
      </w:pPr>
      <w:bookmarkStart w:id="79" w:name="purpose-2"/>
      <w:r>
        <w:t xml:space="preserve">Purpose</w:t>
      </w:r>
      <w:bookmarkEnd w:id="79"/>
    </w:p>
    <w:p>
      <w:pPr>
        <w:pStyle w:val="FirstParagraph"/>
      </w:pPr>
      <w:r>
        <w:t xml:space="preserve">This guide helps users prepare for ultra-fast charging infrastructure and emerging charging technologies.</w:t>
      </w:r>
    </w:p>
    <w:p>
      <w:pPr>
        <w:pStyle w:val="Heading3"/>
      </w:pPr>
      <w:bookmarkStart w:id="80" w:name="current-charging-landscape"/>
      <w:r>
        <w:t xml:space="preserve">Current Charging Landscape</w:t>
      </w:r>
      <w:bookmarkEnd w:id="80"/>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Power</w:t>
            </w:r>
          </w:p>
        </w:tc>
        <w:tc>
          <w:tcPr>
            <w:tcBorders>
              <w:bottom w:val="single"/>
            </w:tcBorders>
            <w:vAlign w:val="bottom"/>
          </w:tcPr>
          <w:p>
            <w:pPr>
              <w:pStyle w:val="Compact"/>
              <w:jc w:val="left"/>
            </w:pPr>
            <w:r>
              <w:t xml:space="preserve">Typical Charge Time (10-80%)</w:t>
            </w:r>
          </w:p>
        </w:tc>
        <w:tc>
          <w:tcPr>
            <w:tcBorders>
              <w:bottom w:val="single"/>
            </w:tcBorders>
            <w:vAlign w:val="bottom"/>
          </w:tcPr>
          <w:p>
            <w:pPr>
              <w:pStyle w:val="Compact"/>
              <w:jc w:val="left"/>
            </w:pPr>
            <w:r>
              <w:t xml:space="preserve">Use Case</w:t>
            </w:r>
          </w:p>
        </w:tc>
      </w:tr>
      <w:tr>
        <w:tc>
          <w:p>
            <w:pPr>
              <w:pStyle w:val="Compact"/>
              <w:jc w:val="left"/>
            </w:pPr>
            <w:r>
              <w:t xml:space="preserve">Level 1 (120V)</w:t>
            </w:r>
          </w:p>
        </w:tc>
        <w:tc>
          <w:p>
            <w:pPr>
              <w:pStyle w:val="Compact"/>
              <w:jc w:val="left"/>
            </w:pPr>
            <w:r>
              <w:t xml:space="preserve">1.4 kW</w:t>
            </w:r>
          </w:p>
        </w:tc>
        <w:tc>
          <w:p>
            <w:pPr>
              <w:pStyle w:val="Compact"/>
              <w:jc w:val="left"/>
            </w:pPr>
            <w:r>
              <w:t xml:space="preserve">24-48 hours</w:t>
            </w:r>
          </w:p>
        </w:tc>
        <w:tc>
          <w:p>
            <w:pPr>
              <w:pStyle w:val="Compact"/>
              <w:jc w:val="left"/>
            </w:pPr>
            <w:r>
              <w:t xml:space="preserve">Emergency backup</w:t>
            </w:r>
          </w:p>
        </w:tc>
      </w:tr>
      <w:tr>
        <w:tc>
          <w:p>
            <w:pPr>
              <w:pStyle w:val="Compact"/>
              <w:jc w:val="left"/>
            </w:pPr>
            <w:r>
              <w:t xml:space="preserve">Level 2 (240V)</w:t>
            </w:r>
          </w:p>
        </w:tc>
        <w:tc>
          <w:p>
            <w:pPr>
              <w:pStyle w:val="Compact"/>
              <w:jc w:val="left"/>
            </w:pPr>
            <w:r>
              <w:t xml:space="preserve">7-19 kW</w:t>
            </w:r>
          </w:p>
        </w:tc>
        <w:tc>
          <w:p>
            <w:pPr>
              <w:pStyle w:val="Compact"/>
              <w:jc w:val="left"/>
            </w:pPr>
            <w:r>
              <w:t xml:space="preserve">4-10 hours</w:t>
            </w:r>
          </w:p>
        </w:tc>
        <w:tc>
          <w:p>
            <w:pPr>
              <w:pStyle w:val="Compact"/>
              <w:jc w:val="left"/>
            </w:pPr>
            <w:r>
              <w:t xml:space="preserve">Home/workplace daily</w:t>
            </w:r>
          </w:p>
        </w:tc>
      </w:tr>
      <w:tr>
        <w:tc>
          <w:p>
            <w:pPr>
              <w:pStyle w:val="Compact"/>
              <w:jc w:val="left"/>
            </w:pPr>
            <w:r>
              <w:t xml:space="preserve">DC Fast (Level 3)</w:t>
            </w:r>
          </w:p>
        </w:tc>
        <w:tc>
          <w:p>
            <w:pPr>
              <w:pStyle w:val="Compact"/>
              <w:jc w:val="left"/>
            </w:pPr>
            <w:r>
              <w:t xml:space="preserve">50-350 kW</w:t>
            </w:r>
          </w:p>
        </w:tc>
        <w:tc>
          <w:p>
            <w:pPr>
              <w:pStyle w:val="Compact"/>
              <w:jc w:val="left"/>
            </w:pPr>
            <w:r>
              <w:t xml:space="preserve">15-45 minutes</w:t>
            </w:r>
          </w:p>
        </w:tc>
        <w:tc>
          <w:p>
            <w:pPr>
              <w:pStyle w:val="Compact"/>
              <w:jc w:val="left"/>
            </w:pPr>
            <w:r>
              <w:t xml:space="preserve">Road trips, rapid refuel</w:t>
            </w:r>
          </w:p>
        </w:tc>
      </w:tr>
    </w:tbl>
    <w:p>
      <w:pPr>
        <w:pStyle w:val="Heading3"/>
      </w:pPr>
      <w:bookmarkStart w:id="81" w:name="preparing-for-ultra-fast-charging"/>
      <w:r>
        <w:t xml:space="preserve">Preparing for Ultra-Fast Charging</w:t>
      </w:r>
      <w:bookmarkEnd w:id="81"/>
    </w:p>
    <w:p>
      <w:pPr>
        <w:pStyle w:val="FirstParagraph"/>
      </w:pPr>
      <w:r>
        <w:rPr>
          <w:b/>
        </w:rPr>
        <w:t xml:space="preserve">Vehicle Considerations</w:t>
      </w:r>
      <w:r>
        <w:t xml:space="preserve">:</w:t>
      </w:r>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Benefit</w:t>
            </w:r>
          </w:p>
        </w:tc>
      </w:tr>
      <w:tr>
        <w:tc>
          <w:p>
            <w:pPr>
              <w:pStyle w:val="Compact"/>
              <w:jc w:val="left"/>
            </w:pPr>
            <w:r>
              <w:t xml:space="preserve">Battery Pre-conditioning</w:t>
            </w:r>
          </w:p>
        </w:tc>
        <w:tc>
          <w:p>
            <w:pPr>
              <w:pStyle w:val="Compact"/>
              <w:jc w:val="left"/>
            </w:pPr>
            <w:r>
              <w:t xml:space="preserve">Enable in navigation</w:t>
            </w:r>
          </w:p>
        </w:tc>
        <w:tc>
          <w:p>
            <w:pPr>
              <w:pStyle w:val="Compact"/>
              <w:jc w:val="left"/>
            </w:pPr>
            <w:r>
              <w:t xml:space="preserve">Full charge rate access</w:t>
            </w:r>
          </w:p>
        </w:tc>
      </w:tr>
      <w:tr>
        <w:tc>
          <w:p>
            <w:pPr>
              <w:pStyle w:val="Compact"/>
              <w:jc w:val="left"/>
            </w:pPr>
            <w:r>
              <w:t xml:space="preserve">Software Updates</w:t>
            </w:r>
          </w:p>
        </w:tc>
        <w:tc>
          <w:p>
            <w:pPr>
              <w:pStyle w:val="Compact"/>
              <w:jc w:val="left"/>
            </w:pPr>
            <w:r>
              <w:t xml:space="preserve">Keep current</w:t>
            </w:r>
          </w:p>
        </w:tc>
        <w:tc>
          <w:p>
            <w:pPr>
              <w:pStyle w:val="Compact"/>
              <w:jc w:val="left"/>
            </w:pPr>
            <w:r>
              <w:t xml:space="preserve">Latest charging protocols</w:t>
            </w:r>
          </w:p>
        </w:tc>
      </w:tr>
      <w:tr>
        <w:tc>
          <w:p>
            <w:pPr>
              <w:pStyle w:val="Compact"/>
              <w:jc w:val="left"/>
            </w:pPr>
            <w:r>
              <w:t xml:space="preserve">Compatible Charging</w:t>
            </w:r>
          </w:p>
        </w:tc>
        <w:tc>
          <w:p>
            <w:pPr>
              <w:pStyle w:val="Compact"/>
              <w:jc w:val="left"/>
            </w:pPr>
            <w:r>
              <w:t xml:space="preserve">Identify 350kW+ stations</w:t>
            </w:r>
          </w:p>
        </w:tc>
        <w:tc>
          <w:p>
            <w:pPr>
              <w:pStyle w:val="Compact"/>
              <w:jc w:val="left"/>
            </w:pPr>
            <w:r>
              <w:t xml:space="preserve">Fastest possible charging</w:t>
            </w:r>
          </w:p>
        </w:tc>
      </w:tr>
    </w:tbl>
    <w:p>
      <w:pPr>
        <w:pStyle w:val="BodyText"/>
      </w:pPr>
      <w:r>
        <w:rPr>
          <w:b/>
        </w:rPr>
        <w:t xml:space="preserve">Infrastructure Awareness</w:t>
      </w:r>
      <w:r>
        <w:t xml:space="preserve">:</w:t>
      </w:r>
    </w:p>
    <w:p>
      <w:pPr>
        <w:numPr>
          <w:ilvl w:val="0"/>
          <w:numId w:val="1024"/>
        </w:numPr>
        <w:pStyle w:val="Compact"/>
      </w:pPr>
      <w:r>
        <w:t xml:space="preserve">Map charging networks along common routes</w:t>
      </w:r>
    </w:p>
    <w:p>
      <w:pPr>
        <w:numPr>
          <w:ilvl w:val="0"/>
          <w:numId w:val="1024"/>
        </w:numPr>
        <w:pStyle w:val="Compact"/>
      </w:pPr>
      <w:r>
        <w:t xml:space="preserve">Note station power levels and compatibility</w:t>
      </w:r>
    </w:p>
    <w:p>
      <w:pPr>
        <w:numPr>
          <w:ilvl w:val="0"/>
          <w:numId w:val="1024"/>
        </w:numPr>
        <w:pStyle w:val="Compact"/>
      </w:pPr>
      <w:r>
        <w:t xml:space="preserve">Use apps to monitor station availability</w:t>
      </w:r>
    </w:p>
    <w:p>
      <w:pPr>
        <w:numPr>
          <w:ilvl w:val="0"/>
          <w:numId w:val="1024"/>
        </w:numPr>
        <w:pStyle w:val="Compact"/>
      </w:pPr>
      <w:r>
        <w:t xml:space="preserve">Plan charging stops with buffer time</w:t>
      </w:r>
    </w:p>
    <w:p>
      <w:pPr>
        <w:pStyle w:val="Heading3"/>
      </w:pPr>
      <w:bookmarkStart w:id="82" w:name="future-technologies"/>
      <w:r>
        <w:t xml:space="preserve">Future Technologies</w:t>
      </w:r>
      <w:bookmarkEnd w:id="82"/>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Timeline</w:t>
            </w:r>
          </w:p>
        </w:tc>
        <w:tc>
          <w:tcPr>
            <w:tcBorders>
              <w:bottom w:val="single"/>
            </w:tcBorders>
            <w:vAlign w:val="bottom"/>
          </w:tcPr>
          <w:p>
            <w:pPr>
              <w:pStyle w:val="Compact"/>
              <w:jc w:val="left"/>
            </w:pPr>
            <w:r>
              <w:t xml:space="preserve">Impact</w:t>
            </w:r>
          </w:p>
        </w:tc>
      </w:tr>
      <w:tr>
        <w:tc>
          <w:p>
            <w:pPr>
              <w:pStyle w:val="Compact"/>
              <w:jc w:val="left"/>
            </w:pPr>
            <w:r>
              <w:t xml:space="preserve">500kW+ Charging</w:t>
            </w:r>
          </w:p>
        </w:tc>
        <w:tc>
          <w:p>
            <w:pPr>
              <w:pStyle w:val="Compact"/>
              <w:jc w:val="left"/>
            </w:pPr>
            <w:r>
              <w:t xml:space="preserve">2026-2028</w:t>
            </w:r>
          </w:p>
        </w:tc>
        <w:tc>
          <w:p>
            <w:pPr>
              <w:pStyle w:val="Compact"/>
              <w:jc w:val="left"/>
            </w:pPr>
            <w:r>
              <w:t xml:space="preserve">Sub-10 minute charging</w:t>
            </w:r>
          </w:p>
        </w:tc>
      </w:tr>
      <w:tr>
        <w:tc>
          <w:p>
            <w:pPr>
              <w:pStyle w:val="Compact"/>
              <w:jc w:val="left"/>
            </w:pPr>
            <w:r>
              <w:t xml:space="preserve">Wireless Charging</w:t>
            </w:r>
          </w:p>
        </w:tc>
        <w:tc>
          <w:p>
            <w:pPr>
              <w:pStyle w:val="Compact"/>
              <w:jc w:val="left"/>
            </w:pPr>
            <w:r>
              <w:t xml:space="preserve">2025-2027</w:t>
            </w:r>
          </w:p>
        </w:tc>
        <w:tc>
          <w:p>
            <w:pPr>
              <w:pStyle w:val="Compact"/>
              <w:jc w:val="left"/>
            </w:pPr>
            <w:r>
              <w:t xml:space="preserve">Automated parking lot charging</w:t>
            </w:r>
          </w:p>
        </w:tc>
      </w:tr>
      <w:tr>
        <w:tc>
          <w:p>
            <w:pPr>
              <w:pStyle w:val="Compact"/>
              <w:jc w:val="left"/>
            </w:pPr>
            <w:r>
              <w:t xml:space="preserve">V2G (Vehicle-to-Grid)</w:t>
            </w:r>
          </w:p>
        </w:tc>
        <w:tc>
          <w:p>
            <w:pPr>
              <w:pStyle w:val="Compact"/>
              <w:jc w:val="left"/>
            </w:pPr>
            <w:r>
              <w:t xml:space="preserve">Available now</w:t>
            </w:r>
          </w:p>
        </w:tc>
        <w:tc>
          <w:p>
            <w:pPr>
              <w:pStyle w:val="Compact"/>
              <w:jc w:val="left"/>
            </w:pPr>
            <w:r>
              <w:t xml:space="preserve">Earn revenue from grid services</w:t>
            </w:r>
          </w:p>
        </w:tc>
      </w:tr>
      <w:tr>
        <w:tc>
          <w:p>
            <w:pPr>
              <w:pStyle w:val="Compact"/>
              <w:jc w:val="left"/>
            </w:pPr>
            <w:r>
              <w:t xml:space="preserve">Bidirectional Charging</w:t>
            </w:r>
          </w:p>
        </w:tc>
        <w:tc>
          <w:p>
            <w:pPr>
              <w:pStyle w:val="Compact"/>
              <w:jc w:val="left"/>
            </w:pPr>
            <w:r>
              <w:t xml:space="preserve">Expanding</w:t>
            </w:r>
          </w:p>
        </w:tc>
        <w:tc>
          <w:p>
            <w:pPr>
              <w:pStyle w:val="Compact"/>
              <w:jc w:val="left"/>
            </w:pPr>
            <w:r>
              <w:t xml:space="preserve">Home backup power capability</w:t>
            </w:r>
          </w:p>
        </w:tc>
      </w:tr>
    </w:tbl>
    <w:p>
      <w:pPr>
        <w:pStyle w:val="Heading1"/>
      </w:pPr>
      <w:bookmarkStart w:id="83" w:name="workflows-and-scenarios"/>
      <w:r>
        <w:t xml:space="preserve">Workflows and Scenarios</w:t>
      </w:r>
      <w:bookmarkEnd w:id="83"/>
    </w:p>
    <w:p>
      <w:pPr>
        <w:pStyle w:val="Heading2"/>
      </w:pPr>
      <w:bookmarkStart w:id="84" w:name="Xe68d8e32da9021ae770a6983a45c51f0c9cc73b"/>
      <w:r>
        <w:t xml:space="preserve">Scenario 1: Choosing an EV Based on Battery Technology</w:t>
      </w:r>
      <w:bookmarkEnd w:id="84"/>
    </w:p>
    <w:p>
      <w:pPr>
        <w:pStyle w:val="Heading3"/>
      </w:pPr>
      <w:bookmarkStart w:id="85" w:name="context"/>
      <w:r>
        <w:t xml:space="preserve">Context</w:t>
      </w:r>
      <w:bookmarkEnd w:id="85"/>
    </w:p>
    <w:p>
      <w:pPr>
        <w:pStyle w:val="FirstParagraph"/>
      </w:pPr>
      <w:r>
        <w:t xml:space="preserve">A prospective buyer wants to select an EV that will meet their needs for the next 7-10 years while accounting for battery technology evolution.</w:t>
      </w:r>
    </w:p>
    <w:p>
      <w:pPr>
        <w:pStyle w:val="Heading3"/>
      </w:pPr>
      <w:bookmarkStart w:id="86" w:name="decision-workflow"/>
      <w:r>
        <w:t xml:space="preserve">Decision Workflow</w:t>
      </w:r>
      <w:bookmarkEnd w:id="86"/>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Consideration</w:t>
            </w:r>
          </w:p>
        </w:tc>
      </w:tr>
      <w:tr>
        <w:tc>
          <w:p>
            <w:pPr>
              <w:pStyle w:val="Compact"/>
              <w:jc w:val="left"/>
            </w:pPr>
            <w:r>
              <w:t xml:space="preserve">1</w:t>
            </w:r>
          </w:p>
        </w:tc>
        <w:tc>
          <w:p>
            <w:pPr>
              <w:pStyle w:val="Compact"/>
              <w:jc w:val="left"/>
            </w:pPr>
            <w:r>
              <w:t xml:space="preserve">Define primary use case</w:t>
            </w:r>
          </w:p>
        </w:tc>
        <w:tc>
          <w:p>
            <w:pPr>
              <w:pStyle w:val="Compact"/>
              <w:jc w:val="left"/>
            </w:pPr>
            <w:r>
              <w:t xml:space="preserve">Commute distance, trip patterns</w:t>
            </w:r>
          </w:p>
        </w:tc>
      </w:tr>
      <w:tr>
        <w:tc>
          <w:p>
            <w:pPr>
              <w:pStyle w:val="Compact"/>
              <w:jc w:val="left"/>
            </w:pPr>
            <w:r>
              <w:t xml:space="preserve">2</w:t>
            </w:r>
          </w:p>
        </w:tc>
        <w:tc>
          <w:p>
            <w:pPr>
              <w:pStyle w:val="Compact"/>
              <w:jc w:val="left"/>
            </w:pPr>
            <w:r>
              <w:t xml:space="preserve">Assess charging access</w:t>
            </w:r>
          </w:p>
        </w:tc>
        <w:tc>
          <w:p>
            <w:pPr>
              <w:pStyle w:val="Compact"/>
              <w:jc w:val="left"/>
            </w:pPr>
            <w:r>
              <w:t xml:space="preserve">Home charging, workplace, public network</w:t>
            </w:r>
          </w:p>
        </w:tc>
      </w:tr>
      <w:tr>
        <w:tc>
          <w:p>
            <w:pPr>
              <w:pStyle w:val="Compact"/>
              <w:jc w:val="left"/>
            </w:pPr>
            <w:r>
              <w:t xml:space="preserve">3</w:t>
            </w:r>
          </w:p>
        </w:tc>
        <w:tc>
          <w:p>
            <w:pPr>
              <w:pStyle w:val="Compact"/>
              <w:jc w:val="left"/>
            </w:pPr>
            <w:r>
              <w:t xml:space="preserve">Determine range requirements</w:t>
            </w:r>
          </w:p>
        </w:tc>
        <w:tc>
          <w:p>
            <w:pPr>
              <w:pStyle w:val="Compact"/>
              <w:jc w:val="left"/>
            </w:pPr>
            <w:r>
              <w:t xml:space="preserve">Daily needs plus buffer</w:t>
            </w:r>
          </w:p>
        </w:tc>
      </w:tr>
      <w:tr>
        <w:tc>
          <w:p>
            <w:pPr>
              <w:pStyle w:val="Compact"/>
              <w:jc w:val="left"/>
            </w:pPr>
            <w:r>
              <w:t xml:space="preserve">4</w:t>
            </w:r>
          </w:p>
        </w:tc>
        <w:tc>
          <w:p>
            <w:pPr>
              <w:pStyle w:val="Compact"/>
              <w:jc w:val="left"/>
            </w:pPr>
            <w:r>
              <w:t xml:space="preserve">Evaluate budget constraints</w:t>
            </w:r>
          </w:p>
        </w:tc>
        <w:tc>
          <w:p>
            <w:pPr>
              <w:pStyle w:val="Compact"/>
              <w:jc w:val="left"/>
            </w:pPr>
            <w:r>
              <w:t xml:space="preserve">Purchase price, TCO</w:t>
            </w:r>
          </w:p>
        </w:tc>
      </w:tr>
      <w:tr>
        <w:tc>
          <w:p>
            <w:pPr>
              <w:pStyle w:val="Compact"/>
              <w:jc w:val="left"/>
            </w:pPr>
            <w:r>
              <w:t xml:space="preserve">5</w:t>
            </w:r>
          </w:p>
        </w:tc>
        <w:tc>
          <w:p>
            <w:pPr>
              <w:pStyle w:val="Compact"/>
              <w:jc w:val="left"/>
            </w:pPr>
            <w:r>
              <w:t xml:space="preserve">Research available chemistries</w:t>
            </w:r>
          </w:p>
        </w:tc>
        <w:tc>
          <w:p>
            <w:pPr>
              <w:pStyle w:val="Compact"/>
              <w:jc w:val="left"/>
            </w:pPr>
            <w:r>
              <w:t xml:space="preserve">Performance vs. longevity trade-offs</w:t>
            </w:r>
          </w:p>
        </w:tc>
      </w:tr>
      <w:tr>
        <w:tc>
          <w:p>
            <w:pPr>
              <w:pStyle w:val="Compact"/>
              <w:jc w:val="left"/>
            </w:pPr>
            <w:r>
              <w:t xml:space="preserve">6</w:t>
            </w:r>
          </w:p>
        </w:tc>
        <w:tc>
          <w:p>
            <w:pPr>
              <w:pStyle w:val="Compact"/>
              <w:jc w:val="left"/>
            </w:pPr>
            <w:r>
              <w:t xml:space="preserve">Check manufacturer roadmap</w:t>
            </w:r>
          </w:p>
        </w:tc>
        <w:tc>
          <w:p>
            <w:pPr>
              <w:pStyle w:val="Compact"/>
              <w:jc w:val="left"/>
            </w:pPr>
            <w:r>
              <w:t xml:space="preserve">Future update potential</w:t>
            </w:r>
          </w:p>
        </w:tc>
      </w:tr>
      <w:tr>
        <w:tc>
          <w:p>
            <w:pPr>
              <w:pStyle w:val="Compact"/>
              <w:jc w:val="left"/>
            </w:pPr>
            <w:r>
              <w:t xml:space="preserve">7</w:t>
            </w:r>
          </w:p>
        </w:tc>
        <w:tc>
          <w:p>
            <w:pPr>
              <w:pStyle w:val="Compact"/>
              <w:jc w:val="left"/>
            </w:pPr>
            <w:r>
              <w:t xml:space="preserve">Review warranty terms</w:t>
            </w:r>
          </w:p>
        </w:tc>
        <w:tc>
          <w:p>
            <w:pPr>
              <w:pStyle w:val="Compact"/>
              <w:jc w:val="left"/>
            </w:pPr>
            <w:r>
              <w:t xml:space="preserve">Battery coverage period and terms</w:t>
            </w:r>
          </w:p>
        </w:tc>
      </w:tr>
    </w:tbl>
    <w:p>
      <w:pPr>
        <w:pStyle w:val="Heading3"/>
      </w:pPr>
      <w:bookmarkStart w:id="87" w:name="use-case-matrix"/>
      <w:r>
        <w:t xml:space="preserve">Use Case Matrix</w:t>
      </w:r>
      <w:bookmarkEnd w:id="87"/>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Use Case</w:t>
            </w:r>
          </w:p>
        </w:tc>
        <w:tc>
          <w:tcPr>
            <w:tcBorders>
              <w:bottom w:val="single"/>
            </w:tcBorders>
            <w:vAlign w:val="bottom"/>
          </w:tcPr>
          <w:p>
            <w:pPr>
              <w:pStyle w:val="Compact"/>
              <w:jc w:val="left"/>
            </w:pPr>
            <w:r>
              <w:t xml:space="preserve">Recommended Chemistry</w:t>
            </w:r>
          </w:p>
        </w:tc>
        <w:tc>
          <w:tcPr>
            <w:tcBorders>
              <w:bottom w:val="single"/>
            </w:tcBorders>
            <w:vAlign w:val="bottom"/>
          </w:tcPr>
          <w:p>
            <w:pPr>
              <w:pStyle w:val="Compact"/>
              <w:jc w:val="left"/>
            </w:pPr>
            <w:r>
              <w:t xml:space="preserve">Key Consideration</w:t>
            </w:r>
          </w:p>
        </w:tc>
      </w:tr>
      <w:tr>
        <w:tc>
          <w:p>
            <w:pPr>
              <w:pStyle w:val="Compact"/>
              <w:jc w:val="left"/>
            </w:pPr>
            <w:r>
              <w:t xml:space="preserve">Urban commuter (&lt;50 mi/day)</w:t>
            </w:r>
          </w:p>
        </w:tc>
        <w:tc>
          <w:p>
            <w:pPr>
              <w:pStyle w:val="Compact"/>
              <w:jc w:val="left"/>
            </w:pPr>
            <w:r>
              <w:t xml:space="preserve">LFP or Sodium-Ion</w:t>
            </w:r>
          </w:p>
        </w:tc>
        <w:tc>
          <w:p>
            <w:pPr>
              <w:pStyle w:val="Compact"/>
              <w:jc w:val="left"/>
            </w:pPr>
            <w:r>
              <w:t xml:space="preserve">Cost-effective, long-lasting</w:t>
            </w:r>
          </w:p>
        </w:tc>
      </w:tr>
      <w:tr>
        <w:tc>
          <w:p>
            <w:pPr>
              <w:pStyle w:val="Compact"/>
              <w:jc w:val="left"/>
            </w:pPr>
            <w:r>
              <w:t xml:space="preserve">Mixed use (50-150 mi/day)</w:t>
            </w:r>
          </w:p>
        </w:tc>
        <w:tc>
          <w:p>
            <w:pPr>
              <w:pStyle w:val="Compact"/>
              <w:jc w:val="left"/>
            </w:pPr>
            <w:r>
              <w:t xml:space="preserve">LFP or NMC</w:t>
            </w:r>
          </w:p>
        </w:tc>
        <w:tc>
          <w:p>
            <w:pPr>
              <w:pStyle w:val="Compact"/>
              <w:jc w:val="left"/>
            </w:pPr>
            <w:r>
              <w:t xml:space="preserve">Balance of range and longevity</w:t>
            </w:r>
          </w:p>
        </w:tc>
      </w:tr>
      <w:tr>
        <w:tc>
          <w:p>
            <w:pPr>
              <w:pStyle w:val="Compact"/>
              <w:jc w:val="left"/>
            </w:pPr>
            <w:r>
              <w:t xml:space="preserve">Long-distance travel (&gt;150 mi)</w:t>
            </w:r>
          </w:p>
        </w:tc>
        <w:tc>
          <w:p>
            <w:pPr>
              <w:pStyle w:val="Compact"/>
              <w:jc w:val="left"/>
            </w:pPr>
            <w:r>
              <w:t xml:space="preserve">NMC/NCA</w:t>
            </w:r>
          </w:p>
        </w:tc>
        <w:tc>
          <w:p>
            <w:pPr>
              <w:pStyle w:val="Compact"/>
              <w:jc w:val="left"/>
            </w:pPr>
            <w:r>
              <w:t xml:space="preserve">Maximum range efficiency</w:t>
            </w:r>
          </w:p>
        </w:tc>
      </w:tr>
      <w:tr>
        <w:tc>
          <w:p>
            <w:pPr>
              <w:pStyle w:val="Compact"/>
              <w:jc w:val="left"/>
            </w:pPr>
            <w:r>
              <w:t xml:space="preserve">Fleet/commercial</w:t>
            </w:r>
          </w:p>
        </w:tc>
        <w:tc>
          <w:p>
            <w:pPr>
              <w:pStyle w:val="Compact"/>
              <w:jc w:val="left"/>
            </w:pPr>
            <w:r>
              <w:t xml:space="preserve">LFP</w:t>
            </w:r>
          </w:p>
        </w:tc>
        <w:tc>
          <w:p>
            <w:pPr>
              <w:pStyle w:val="Compact"/>
              <w:jc w:val="left"/>
            </w:pPr>
            <w:r>
              <w:t xml:space="preserve">Durability, fast charging tolerance</w:t>
            </w:r>
          </w:p>
        </w:tc>
      </w:tr>
      <w:tr>
        <w:tc>
          <w:p>
            <w:pPr>
              <w:pStyle w:val="Compact"/>
              <w:jc w:val="left"/>
            </w:pPr>
            <w:r>
              <w:t xml:space="preserve">Performance-oriented</w:t>
            </w:r>
          </w:p>
        </w:tc>
        <w:tc>
          <w:p>
            <w:pPr>
              <w:pStyle w:val="Compact"/>
              <w:jc w:val="left"/>
            </w:pPr>
            <w:r>
              <w:t xml:space="preserve">NMC/NCA or SSB</w:t>
            </w:r>
          </w:p>
        </w:tc>
        <w:tc>
          <w:p>
            <w:pPr>
              <w:pStyle w:val="Compact"/>
              <w:jc w:val="left"/>
            </w:pPr>
            <w:r>
              <w:t xml:space="preserve">Power density, charging speed</w:t>
            </w:r>
          </w:p>
        </w:tc>
      </w:tr>
    </w:tbl>
    <w:p>
      <w:pPr>
        <w:pStyle w:val="Heading2"/>
      </w:pPr>
      <w:bookmarkStart w:id="88" w:name="scenario-2-managing-battery-degradation"/>
      <w:r>
        <w:t xml:space="preserve">Scenario 2: Managing Battery Degradation</w:t>
      </w:r>
      <w:bookmarkEnd w:id="88"/>
    </w:p>
    <w:p>
      <w:pPr>
        <w:pStyle w:val="Heading3"/>
      </w:pPr>
      <w:bookmarkStart w:id="89" w:name="context-1"/>
      <w:r>
        <w:t xml:space="preserve">Context</w:t>
      </w:r>
      <w:bookmarkEnd w:id="89"/>
    </w:p>
    <w:p>
      <w:pPr>
        <w:pStyle w:val="FirstParagraph"/>
      </w:pPr>
      <w:r>
        <w:t xml:space="preserve">An EV owner notices reduced range after 3 years of ownership and wants to assess battery health and optimize remaining performance.</w:t>
      </w:r>
    </w:p>
    <w:p>
      <w:pPr>
        <w:pStyle w:val="Heading3"/>
      </w:pPr>
      <w:bookmarkStart w:id="90" w:name="assessment-workflow"/>
      <w:r>
        <w:t xml:space="preserve">Assessment Workflow</w:t>
      </w:r>
      <w:bookmarkEnd w:id="90"/>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Expected Information</w:t>
            </w:r>
          </w:p>
        </w:tc>
      </w:tr>
      <w:tr>
        <w:tc>
          <w:p>
            <w:pPr>
              <w:pStyle w:val="Compact"/>
              <w:jc w:val="left"/>
            </w:pPr>
            <w:r>
              <w:t xml:space="preserve">1</w:t>
            </w:r>
          </w:p>
        </w:tc>
        <w:tc>
          <w:p>
            <w:pPr>
              <w:pStyle w:val="Compact"/>
              <w:jc w:val="left"/>
            </w:pPr>
            <w:r>
              <w:t xml:space="preserve">Check vehicle SoH display</w:t>
            </w:r>
          </w:p>
        </w:tc>
        <w:tc>
          <w:p>
            <w:pPr>
              <w:pStyle w:val="Compact"/>
              <w:jc w:val="left"/>
            </w:pPr>
            <w:r>
              <w:t xml:space="preserve">Current capacity percentage</w:t>
            </w:r>
          </w:p>
        </w:tc>
      </w:tr>
      <w:tr>
        <w:tc>
          <w:p>
            <w:pPr>
              <w:pStyle w:val="Compact"/>
              <w:jc w:val="left"/>
            </w:pPr>
            <w:r>
              <w:t xml:space="preserve">2</w:t>
            </w:r>
          </w:p>
        </w:tc>
        <w:tc>
          <w:p>
            <w:pPr>
              <w:pStyle w:val="Compact"/>
              <w:jc w:val="left"/>
            </w:pPr>
            <w:r>
              <w:t xml:space="preserve">Compare to warranty threshold</w:t>
            </w:r>
          </w:p>
        </w:tc>
        <w:tc>
          <w:p>
            <w:pPr>
              <w:pStyle w:val="Compact"/>
              <w:jc w:val="left"/>
            </w:pPr>
            <w:r>
              <w:t xml:space="preserve">70-80% typically warranted</w:t>
            </w:r>
          </w:p>
        </w:tc>
      </w:tr>
      <w:tr>
        <w:tc>
          <w:p>
            <w:pPr>
              <w:pStyle w:val="Compact"/>
              <w:jc w:val="left"/>
            </w:pPr>
            <w:r>
              <w:t xml:space="preserve">3</w:t>
            </w:r>
          </w:p>
        </w:tc>
        <w:tc>
          <w:p>
            <w:pPr>
              <w:pStyle w:val="Compact"/>
              <w:jc w:val="left"/>
            </w:pPr>
            <w:r>
              <w:t xml:space="preserve">Review charging history</w:t>
            </w:r>
          </w:p>
        </w:tc>
        <w:tc>
          <w:p>
            <w:pPr>
              <w:pStyle w:val="Compact"/>
              <w:jc w:val="left"/>
            </w:pPr>
            <w:r>
              <w:t xml:space="preserve">Pattern of fast charging, SoC levels</w:t>
            </w:r>
          </w:p>
        </w:tc>
      </w:tr>
      <w:tr>
        <w:tc>
          <w:p>
            <w:pPr>
              <w:pStyle w:val="Compact"/>
              <w:jc w:val="left"/>
            </w:pPr>
            <w:r>
              <w:t xml:space="preserve">4</w:t>
            </w:r>
          </w:p>
        </w:tc>
        <w:tc>
          <w:p>
            <w:pPr>
              <w:pStyle w:val="Compact"/>
              <w:jc w:val="left"/>
            </w:pPr>
            <w:r>
              <w:t xml:space="preserve">Assess environmental factors</w:t>
            </w:r>
          </w:p>
        </w:tc>
        <w:tc>
          <w:p>
            <w:pPr>
              <w:pStyle w:val="Compact"/>
              <w:jc w:val="left"/>
            </w:pPr>
            <w:r>
              <w:t xml:space="preserve">Climate, parking conditions</w:t>
            </w:r>
          </w:p>
        </w:tc>
      </w:tr>
      <w:tr>
        <w:tc>
          <w:p>
            <w:pPr>
              <w:pStyle w:val="Compact"/>
              <w:jc w:val="left"/>
            </w:pPr>
            <w:r>
              <w:t xml:space="preserve">5</w:t>
            </w:r>
          </w:p>
        </w:tc>
        <w:tc>
          <w:p>
            <w:pPr>
              <w:pStyle w:val="Compact"/>
              <w:jc w:val="left"/>
            </w:pPr>
            <w:r>
              <w:t xml:space="preserve">Schedule dealer diagnostic</w:t>
            </w:r>
          </w:p>
        </w:tc>
        <w:tc>
          <w:p>
            <w:pPr>
              <w:pStyle w:val="Compact"/>
              <w:jc w:val="left"/>
            </w:pPr>
            <w:r>
              <w:t xml:space="preserve">Detailed cell-level analysis</w:t>
            </w:r>
          </w:p>
        </w:tc>
      </w:tr>
      <w:tr>
        <w:tc>
          <w:p>
            <w:pPr>
              <w:pStyle w:val="Compact"/>
              <w:jc w:val="left"/>
            </w:pPr>
            <w:r>
              <w:t xml:space="preserve">6</w:t>
            </w:r>
          </w:p>
        </w:tc>
        <w:tc>
          <w:p>
            <w:pPr>
              <w:pStyle w:val="Compact"/>
              <w:jc w:val="left"/>
            </w:pPr>
            <w:r>
              <w:t xml:space="preserve">Evaluate options</w:t>
            </w:r>
          </w:p>
        </w:tc>
        <w:tc>
          <w:p>
            <w:pPr>
              <w:pStyle w:val="Compact"/>
              <w:jc w:val="left"/>
            </w:pPr>
            <w:r>
              <w:t xml:space="preserve">Warranty claim, behavior change, replacement</w:t>
            </w:r>
          </w:p>
        </w:tc>
      </w:tr>
    </w:tbl>
    <w:p>
      <w:pPr>
        <w:pStyle w:val="Heading3"/>
      </w:pPr>
      <w:bookmarkStart w:id="91" w:name="degradation-benchmarks"/>
      <w:r>
        <w:t xml:space="preserve">Degradation Benchmarks</w:t>
      </w:r>
      <w:bookmarkEnd w:id="91"/>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Age</w:t>
            </w:r>
          </w:p>
        </w:tc>
        <w:tc>
          <w:tcPr>
            <w:tcBorders>
              <w:bottom w:val="single"/>
            </w:tcBorders>
            <w:vAlign w:val="bottom"/>
          </w:tcPr>
          <w:p>
            <w:pPr>
              <w:pStyle w:val="Compact"/>
              <w:jc w:val="left"/>
            </w:pPr>
            <w:r>
              <w:t xml:space="preserve">Expected SoH (Good Care)</w:t>
            </w:r>
          </w:p>
        </w:tc>
        <w:tc>
          <w:tcPr>
            <w:tcBorders>
              <w:bottom w:val="single"/>
            </w:tcBorders>
            <w:vAlign w:val="bottom"/>
          </w:tcPr>
          <w:p>
            <w:pPr>
              <w:pStyle w:val="Compact"/>
              <w:jc w:val="left"/>
            </w:pPr>
            <w:r>
              <w:t xml:space="preserve">Expected SoH (Typical)</w:t>
            </w:r>
          </w:p>
        </w:tc>
        <w:tc>
          <w:tcPr>
            <w:tcBorders>
              <w:bottom w:val="single"/>
            </w:tcBorders>
            <w:vAlign w:val="bottom"/>
          </w:tcPr>
          <w:p>
            <w:pPr>
              <w:pStyle w:val="Compact"/>
              <w:jc w:val="left"/>
            </w:pPr>
            <w:r>
              <w:t xml:space="preserve">Concern Threshold</w:t>
            </w:r>
          </w:p>
        </w:tc>
      </w:tr>
      <w:tr>
        <w:tc>
          <w:p>
            <w:pPr>
              <w:pStyle w:val="Compact"/>
              <w:jc w:val="left"/>
            </w:pPr>
            <w:r>
              <w:t xml:space="preserve">1 year</w:t>
            </w:r>
          </w:p>
        </w:tc>
        <w:tc>
          <w:p>
            <w:pPr>
              <w:pStyle w:val="Compact"/>
              <w:jc w:val="left"/>
            </w:pPr>
            <w:r>
              <w:t xml:space="preserve">98-100%</w:t>
            </w:r>
          </w:p>
        </w:tc>
        <w:tc>
          <w:p>
            <w:pPr>
              <w:pStyle w:val="Compact"/>
              <w:jc w:val="left"/>
            </w:pPr>
            <w:r>
              <w:t xml:space="preserve">96-98%</w:t>
            </w:r>
          </w:p>
        </w:tc>
        <w:tc>
          <w:p>
            <w:pPr>
              <w:pStyle w:val="Compact"/>
              <w:jc w:val="left"/>
            </w:pPr>
            <w:r>
              <w:t xml:space="preserve">&lt;95%</w:t>
            </w:r>
          </w:p>
        </w:tc>
      </w:tr>
      <w:tr>
        <w:tc>
          <w:p>
            <w:pPr>
              <w:pStyle w:val="Compact"/>
              <w:jc w:val="left"/>
            </w:pPr>
            <w:r>
              <w:t xml:space="preserve">3 years</w:t>
            </w:r>
          </w:p>
        </w:tc>
        <w:tc>
          <w:p>
            <w:pPr>
              <w:pStyle w:val="Compact"/>
              <w:jc w:val="left"/>
            </w:pPr>
            <w:r>
              <w:t xml:space="preserve">94-97%</w:t>
            </w:r>
          </w:p>
        </w:tc>
        <w:tc>
          <w:p>
            <w:pPr>
              <w:pStyle w:val="Compact"/>
              <w:jc w:val="left"/>
            </w:pPr>
            <w:r>
              <w:t xml:space="preserve">90-94%</w:t>
            </w:r>
          </w:p>
        </w:tc>
        <w:tc>
          <w:p>
            <w:pPr>
              <w:pStyle w:val="Compact"/>
              <w:jc w:val="left"/>
            </w:pPr>
            <w:r>
              <w:t xml:space="preserve">&lt;88%</w:t>
            </w:r>
          </w:p>
        </w:tc>
      </w:tr>
      <w:tr>
        <w:tc>
          <w:p>
            <w:pPr>
              <w:pStyle w:val="Compact"/>
              <w:jc w:val="left"/>
            </w:pPr>
            <w:r>
              <w:t xml:space="preserve">5 years</w:t>
            </w:r>
          </w:p>
        </w:tc>
        <w:tc>
          <w:p>
            <w:pPr>
              <w:pStyle w:val="Compact"/>
              <w:jc w:val="left"/>
            </w:pPr>
            <w:r>
              <w:t xml:space="preserve">90-95%</w:t>
            </w:r>
          </w:p>
        </w:tc>
        <w:tc>
          <w:p>
            <w:pPr>
              <w:pStyle w:val="Compact"/>
              <w:jc w:val="left"/>
            </w:pPr>
            <w:r>
              <w:t xml:space="preserve">85-90%</w:t>
            </w:r>
          </w:p>
        </w:tc>
        <w:tc>
          <w:p>
            <w:pPr>
              <w:pStyle w:val="Compact"/>
              <w:jc w:val="left"/>
            </w:pPr>
            <w:r>
              <w:t xml:space="preserve">&lt;82%</w:t>
            </w:r>
          </w:p>
        </w:tc>
      </w:tr>
      <w:tr>
        <w:tc>
          <w:p>
            <w:pPr>
              <w:pStyle w:val="Compact"/>
              <w:jc w:val="left"/>
            </w:pPr>
            <w:r>
              <w:t xml:space="preserve">8 years</w:t>
            </w:r>
          </w:p>
        </w:tc>
        <w:tc>
          <w:p>
            <w:pPr>
              <w:pStyle w:val="Compact"/>
              <w:jc w:val="left"/>
            </w:pPr>
            <w:r>
              <w:t xml:space="preserve">85-92%</w:t>
            </w:r>
          </w:p>
        </w:tc>
        <w:tc>
          <w:p>
            <w:pPr>
              <w:pStyle w:val="Compact"/>
              <w:jc w:val="left"/>
            </w:pPr>
            <w:r>
              <w:t xml:space="preserve">80-85%</w:t>
            </w:r>
          </w:p>
        </w:tc>
        <w:tc>
          <w:p>
            <w:pPr>
              <w:pStyle w:val="Compact"/>
              <w:jc w:val="left"/>
            </w:pPr>
            <w:r>
              <w:t xml:space="preserve">&lt;78%</w:t>
            </w:r>
          </w:p>
        </w:tc>
      </w:tr>
    </w:tbl>
    <w:p>
      <w:pPr>
        <w:pStyle w:val="Heading3"/>
      </w:pPr>
      <w:bookmarkStart w:id="92" w:name="recovery-actions"/>
      <w:r>
        <w:t xml:space="preserve">Recovery Actions</w:t>
      </w:r>
      <w:bookmarkEnd w:id="92"/>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Expected Outcome</w:t>
            </w:r>
          </w:p>
        </w:tc>
      </w:tr>
      <w:tr>
        <w:tc>
          <w:p>
            <w:pPr>
              <w:pStyle w:val="Compact"/>
              <w:jc w:val="left"/>
            </w:pPr>
            <w:r>
              <w:t xml:space="preserve">Normal degradation</w:t>
            </w:r>
          </w:p>
        </w:tc>
        <w:tc>
          <w:p>
            <w:pPr>
              <w:pStyle w:val="Compact"/>
              <w:jc w:val="left"/>
            </w:pPr>
            <w:r>
              <w:t xml:space="preserve">Continue best practices</w:t>
            </w:r>
          </w:p>
        </w:tc>
        <w:tc>
          <w:p>
            <w:pPr>
              <w:pStyle w:val="Compact"/>
              <w:jc w:val="left"/>
            </w:pPr>
            <w:r>
              <w:t xml:space="preserve">Stable decline rate</w:t>
            </w:r>
          </w:p>
        </w:tc>
      </w:tr>
      <w:tr>
        <w:tc>
          <w:p>
            <w:pPr>
              <w:pStyle w:val="Compact"/>
              <w:jc w:val="left"/>
            </w:pPr>
            <w:r>
              <w:t xml:space="preserve">Accelerated degradation</w:t>
            </w:r>
          </w:p>
        </w:tc>
        <w:tc>
          <w:p>
            <w:pPr>
              <w:pStyle w:val="Compact"/>
              <w:jc w:val="left"/>
            </w:pPr>
            <w:r>
              <w:t xml:space="preserve">Modify charging habits</w:t>
            </w:r>
          </w:p>
        </w:tc>
        <w:tc>
          <w:p>
            <w:pPr>
              <w:pStyle w:val="Compact"/>
              <w:jc w:val="left"/>
            </w:pPr>
            <w:r>
              <w:t xml:space="preserve">Slow further decline</w:t>
            </w:r>
          </w:p>
        </w:tc>
      </w:tr>
      <w:tr>
        <w:tc>
          <w:p>
            <w:pPr>
              <w:pStyle w:val="Compact"/>
              <w:jc w:val="left"/>
            </w:pPr>
            <w:r>
              <w:t xml:space="preserve">Significant capacity loss</w:t>
            </w:r>
          </w:p>
        </w:tc>
        <w:tc>
          <w:p>
            <w:pPr>
              <w:pStyle w:val="Compact"/>
              <w:jc w:val="left"/>
            </w:pPr>
            <w:r>
              <w:t xml:space="preserve">Pursue warranty review</w:t>
            </w:r>
          </w:p>
        </w:tc>
        <w:tc>
          <w:p>
            <w:pPr>
              <w:pStyle w:val="Compact"/>
              <w:jc w:val="left"/>
            </w:pPr>
            <w:r>
              <w:t xml:space="preserve">Potential replacement</w:t>
            </w:r>
          </w:p>
        </w:tc>
      </w:tr>
      <w:tr>
        <w:tc>
          <w:p>
            <w:pPr>
              <w:pStyle w:val="Compact"/>
              <w:jc w:val="left"/>
            </w:pPr>
            <w:r>
              <w:t xml:space="preserve">Cell imbalance</w:t>
            </w:r>
          </w:p>
        </w:tc>
        <w:tc>
          <w:p>
            <w:pPr>
              <w:pStyle w:val="Compact"/>
              <w:jc w:val="left"/>
            </w:pPr>
            <w:r>
              <w:t xml:space="preserve">BMS recalibration</w:t>
            </w:r>
          </w:p>
        </w:tc>
        <w:tc>
          <w:p>
            <w:pPr>
              <w:pStyle w:val="Compact"/>
              <w:jc w:val="left"/>
            </w:pPr>
            <w:r>
              <w:t xml:space="preserve">Improved range accuracy</w:t>
            </w:r>
          </w:p>
        </w:tc>
      </w:tr>
    </w:tbl>
    <w:p>
      <w:pPr>
        <w:pStyle w:val="Heading2"/>
      </w:pPr>
      <w:bookmarkStart w:id="93" w:name="scenario-3-extreme-climate-operation"/>
      <w:r>
        <w:t xml:space="preserve">Scenario 3: Extreme Climate Operation</w:t>
      </w:r>
      <w:bookmarkEnd w:id="93"/>
    </w:p>
    <w:p>
      <w:pPr>
        <w:pStyle w:val="Heading3"/>
      </w:pPr>
      <w:bookmarkStart w:id="94" w:name="cold-climate-below--10c"/>
      <w:r>
        <w:t xml:space="preserve">Cold Climate (Below -10°C)</w:t>
      </w:r>
      <w:bookmarkEnd w:id="94"/>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Challenge</w:t>
            </w:r>
          </w:p>
        </w:tc>
        <w:tc>
          <w:tcPr>
            <w:tcBorders>
              <w:bottom w:val="single"/>
            </w:tcBorders>
            <w:vAlign w:val="bottom"/>
          </w:tcPr>
          <w:p>
            <w:pPr>
              <w:pStyle w:val="Compact"/>
              <w:jc w:val="left"/>
            </w:pPr>
            <w:r>
              <w:t xml:space="preserve">Solution</w:t>
            </w:r>
          </w:p>
        </w:tc>
        <w:tc>
          <w:tcPr>
            <w:tcBorders>
              <w:bottom w:val="single"/>
            </w:tcBorders>
            <w:vAlign w:val="bottom"/>
          </w:tcPr>
          <w:p>
            <w:pPr>
              <w:pStyle w:val="Compact"/>
              <w:jc w:val="left"/>
            </w:pPr>
            <w:r>
              <w:t xml:space="preserve">Implementation</w:t>
            </w:r>
          </w:p>
        </w:tc>
      </w:tr>
      <w:tr>
        <w:tc>
          <w:p>
            <w:pPr>
              <w:pStyle w:val="Compact"/>
              <w:jc w:val="left"/>
            </w:pPr>
            <w:r>
              <w:t xml:space="preserve">Reduced range</w:t>
            </w:r>
          </w:p>
        </w:tc>
        <w:tc>
          <w:p>
            <w:pPr>
              <w:pStyle w:val="Compact"/>
              <w:jc w:val="left"/>
            </w:pPr>
            <w:r>
              <w:t xml:space="preserve">Pre-condition battery</w:t>
            </w:r>
          </w:p>
        </w:tc>
        <w:tc>
          <w:p>
            <w:pPr>
              <w:pStyle w:val="Compact"/>
              <w:jc w:val="left"/>
            </w:pPr>
            <w:r>
              <w:t xml:space="preserve">Start 30 min before departure</w:t>
            </w:r>
          </w:p>
        </w:tc>
      </w:tr>
      <w:tr>
        <w:tc>
          <w:p>
            <w:pPr>
              <w:pStyle w:val="Compact"/>
              <w:jc w:val="left"/>
            </w:pPr>
            <w:r>
              <w:t xml:space="preserve">Slow charging</w:t>
            </w:r>
          </w:p>
        </w:tc>
        <w:tc>
          <w:p>
            <w:pPr>
              <w:pStyle w:val="Compact"/>
              <w:jc w:val="left"/>
            </w:pPr>
            <w:r>
              <w:t xml:space="preserve">Use pre-heating</w:t>
            </w:r>
          </w:p>
        </w:tc>
        <w:tc>
          <w:p>
            <w:pPr>
              <w:pStyle w:val="Compact"/>
              <w:jc w:val="left"/>
            </w:pPr>
            <w:r>
              <w:t xml:space="preserve">Activate via app before arrival</w:t>
            </w:r>
          </w:p>
        </w:tc>
      </w:tr>
      <w:tr>
        <w:tc>
          <w:p>
            <w:pPr>
              <w:pStyle w:val="Compact"/>
              <w:jc w:val="left"/>
            </w:pPr>
            <w:r>
              <w:t xml:space="preserve">Regenerative braking limits</w:t>
            </w:r>
          </w:p>
        </w:tc>
        <w:tc>
          <w:p>
            <w:pPr>
              <w:pStyle w:val="Compact"/>
              <w:jc w:val="left"/>
            </w:pPr>
            <w:r>
              <w:t xml:space="preserve">Plan for longer stops</w:t>
            </w:r>
          </w:p>
        </w:tc>
        <w:tc>
          <w:p>
            <w:pPr>
              <w:pStyle w:val="Compact"/>
              <w:jc w:val="left"/>
            </w:pPr>
            <w:r>
              <w:t xml:space="preserve">Allow battery to warm</w:t>
            </w:r>
          </w:p>
        </w:tc>
      </w:tr>
    </w:tbl>
    <w:p>
      <w:pPr>
        <w:pStyle w:val="Heading3"/>
      </w:pPr>
      <w:bookmarkStart w:id="95" w:name="hot-climate-above-35c"/>
      <w:r>
        <w:t xml:space="preserve">Hot Climate (Above 35°C)</w:t>
      </w:r>
      <w:bookmarkEnd w:id="95"/>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Challenge</w:t>
            </w:r>
          </w:p>
        </w:tc>
        <w:tc>
          <w:tcPr>
            <w:tcBorders>
              <w:bottom w:val="single"/>
            </w:tcBorders>
            <w:vAlign w:val="bottom"/>
          </w:tcPr>
          <w:p>
            <w:pPr>
              <w:pStyle w:val="Compact"/>
              <w:jc w:val="left"/>
            </w:pPr>
            <w:r>
              <w:t xml:space="preserve">Solution</w:t>
            </w:r>
          </w:p>
        </w:tc>
        <w:tc>
          <w:tcPr>
            <w:tcBorders>
              <w:bottom w:val="single"/>
            </w:tcBorders>
            <w:vAlign w:val="bottom"/>
          </w:tcPr>
          <w:p>
            <w:pPr>
              <w:pStyle w:val="Compact"/>
              <w:jc w:val="left"/>
            </w:pPr>
            <w:r>
              <w:t xml:space="preserve">Implementation</w:t>
            </w:r>
          </w:p>
        </w:tc>
      </w:tr>
      <w:tr>
        <w:tc>
          <w:p>
            <w:pPr>
              <w:pStyle w:val="Compact"/>
              <w:jc w:val="left"/>
            </w:pPr>
            <w:r>
              <w:t xml:space="preserve">Accelerated degradation</w:t>
            </w:r>
          </w:p>
        </w:tc>
        <w:tc>
          <w:p>
            <w:pPr>
              <w:pStyle w:val="Compact"/>
              <w:jc w:val="left"/>
            </w:pPr>
            <w:r>
              <w:t xml:space="preserve">Park in shade/garage</w:t>
            </w:r>
          </w:p>
        </w:tc>
        <w:tc>
          <w:p>
            <w:pPr>
              <w:pStyle w:val="Compact"/>
              <w:jc w:val="left"/>
            </w:pPr>
            <w:r>
              <w:t xml:space="preserve">Reduce heat exposure</w:t>
            </w:r>
          </w:p>
        </w:tc>
      </w:tr>
      <w:tr>
        <w:tc>
          <w:p>
            <w:pPr>
              <w:pStyle w:val="Compact"/>
              <w:jc w:val="left"/>
            </w:pPr>
            <w:r>
              <w:t xml:space="preserve">Charging restrictions</w:t>
            </w:r>
          </w:p>
        </w:tc>
        <w:tc>
          <w:p>
            <w:pPr>
              <w:pStyle w:val="Compact"/>
              <w:jc w:val="left"/>
            </w:pPr>
            <w:r>
              <w:t xml:space="preserve">Pre-cool before charging</w:t>
            </w:r>
          </w:p>
        </w:tc>
        <w:tc>
          <w:p>
            <w:pPr>
              <w:pStyle w:val="Compact"/>
              <w:jc w:val="left"/>
            </w:pPr>
            <w:r>
              <w:t xml:space="preserve">Use scheduled departure</w:t>
            </w:r>
          </w:p>
        </w:tc>
      </w:tr>
      <w:tr>
        <w:tc>
          <w:p>
            <w:pPr>
              <w:pStyle w:val="Compact"/>
              <w:jc w:val="left"/>
            </w:pPr>
            <w:r>
              <w:t xml:space="preserve">Thermal throttling</w:t>
            </w:r>
          </w:p>
        </w:tc>
        <w:tc>
          <w:p>
            <w:pPr>
              <w:pStyle w:val="Compact"/>
              <w:jc w:val="left"/>
            </w:pPr>
            <w:r>
              <w:t xml:space="preserve">Limit aggressive driving</w:t>
            </w:r>
          </w:p>
        </w:tc>
        <w:tc>
          <w:p>
            <w:pPr>
              <w:pStyle w:val="Compact"/>
              <w:jc w:val="left"/>
            </w:pPr>
            <w:r>
              <w:t xml:space="preserve">Reduce heat generation</w:t>
            </w:r>
          </w:p>
        </w:tc>
      </w:tr>
    </w:tbl>
    <w:p>
      <w:pPr>
        <w:pStyle w:val="Heading2"/>
      </w:pPr>
      <w:bookmarkStart w:id="96" w:name="edge-case-charging-infrastructure-gaps"/>
      <w:r>
        <w:t xml:space="preserve">Edge Case: Charging Infrastructure Gaps</w:t>
      </w:r>
      <w:bookmarkEnd w:id="96"/>
    </w:p>
    <w:p>
      <w:pPr>
        <w:pStyle w:val="Heading3"/>
      </w:pPr>
      <w:bookmarkStart w:id="97" w:name="scenario"/>
      <w:r>
        <w:t xml:space="preserve">Scenario</w:t>
      </w:r>
      <w:bookmarkEnd w:id="97"/>
    </w:p>
    <w:p>
      <w:pPr>
        <w:pStyle w:val="FirstParagraph"/>
      </w:pPr>
      <w:r>
        <w:t xml:space="preserve">Traveling through areas with limited charging infrastructure.</w:t>
      </w:r>
    </w:p>
    <w:p>
      <w:pPr>
        <w:pStyle w:val="Heading3"/>
      </w:pPr>
      <w:bookmarkStart w:id="98" w:name="mitigation-strategies"/>
      <w:r>
        <w:t xml:space="preserve">Mitigation Strategies</w:t>
      </w:r>
      <w:bookmarkEnd w:id="98"/>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Strategy</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Benefit</w:t>
            </w:r>
          </w:p>
        </w:tc>
      </w:tr>
      <w:tr>
        <w:tc>
          <w:p>
            <w:pPr>
              <w:pStyle w:val="Compact"/>
              <w:jc w:val="left"/>
            </w:pPr>
            <w:r>
              <w:t xml:space="preserve">Route planning</w:t>
            </w:r>
          </w:p>
        </w:tc>
        <w:tc>
          <w:p>
            <w:pPr>
              <w:pStyle w:val="Compact"/>
              <w:jc w:val="left"/>
            </w:pPr>
            <w:r>
              <w:t xml:space="preserve">Use multiple mapping apps</w:t>
            </w:r>
          </w:p>
        </w:tc>
        <w:tc>
          <w:p>
            <w:pPr>
              <w:pStyle w:val="Compact"/>
              <w:jc w:val="left"/>
            </w:pPr>
            <w:r>
              <w:t xml:space="preserve">Identify all available stations</w:t>
            </w:r>
          </w:p>
        </w:tc>
      </w:tr>
      <w:tr>
        <w:tc>
          <w:p>
            <w:pPr>
              <w:pStyle w:val="Compact"/>
              <w:jc w:val="left"/>
            </w:pPr>
            <w:r>
              <w:t xml:space="preserve">Buffer capacity</w:t>
            </w:r>
          </w:p>
        </w:tc>
        <w:tc>
          <w:p>
            <w:pPr>
              <w:pStyle w:val="Compact"/>
              <w:jc w:val="left"/>
            </w:pPr>
            <w:r>
              <w:t xml:space="preserve">Maintain higher SoC</w:t>
            </w:r>
          </w:p>
        </w:tc>
        <w:tc>
          <w:p>
            <w:pPr>
              <w:pStyle w:val="Compact"/>
              <w:jc w:val="left"/>
            </w:pPr>
            <w:r>
              <w:t xml:space="preserve">Safety margin for detours</w:t>
            </w:r>
          </w:p>
        </w:tc>
      </w:tr>
      <w:tr>
        <w:tc>
          <w:p>
            <w:pPr>
              <w:pStyle w:val="Compact"/>
              <w:jc w:val="left"/>
            </w:pPr>
            <w:r>
              <w:t xml:space="preserve">Alternative charging</w:t>
            </w:r>
          </w:p>
        </w:tc>
        <w:tc>
          <w:p>
            <w:pPr>
              <w:pStyle w:val="Compact"/>
              <w:jc w:val="left"/>
            </w:pPr>
            <w:r>
              <w:t xml:space="preserve">Locate Level 2 stations</w:t>
            </w:r>
          </w:p>
        </w:tc>
        <w:tc>
          <w:p>
            <w:pPr>
              <w:pStyle w:val="Compact"/>
              <w:jc w:val="left"/>
            </w:pPr>
            <w:r>
              <w:t xml:space="preserve">Slower but more available</w:t>
            </w:r>
          </w:p>
        </w:tc>
      </w:tr>
      <w:tr>
        <w:tc>
          <w:p>
            <w:pPr>
              <w:pStyle w:val="Compact"/>
              <w:jc w:val="left"/>
            </w:pPr>
            <w:r>
              <w:t xml:space="preserve">Emergency options</w:t>
            </w:r>
          </w:p>
        </w:tc>
        <w:tc>
          <w:p>
            <w:pPr>
              <w:pStyle w:val="Compact"/>
              <w:jc w:val="left"/>
            </w:pPr>
            <w:r>
              <w:t xml:space="preserve">Carry portable EVSE</w:t>
            </w:r>
          </w:p>
        </w:tc>
        <w:tc>
          <w:p>
            <w:pPr>
              <w:pStyle w:val="Compact"/>
              <w:jc w:val="left"/>
            </w:pPr>
            <w:r>
              <w:t xml:space="preserve">Use any 120V outlet</w:t>
            </w:r>
          </w:p>
        </w:tc>
      </w:tr>
      <w:tr>
        <w:tc>
          <w:p>
            <w:pPr>
              <w:pStyle w:val="Compact"/>
              <w:jc w:val="left"/>
            </w:pPr>
            <w:r>
              <w:t xml:space="preserve">Local knowledge</w:t>
            </w:r>
          </w:p>
        </w:tc>
        <w:tc>
          <w:p>
            <w:pPr>
              <w:pStyle w:val="Compact"/>
              <w:jc w:val="left"/>
            </w:pPr>
            <w:r>
              <w:t xml:space="preserve">Join EV owner forums</w:t>
            </w:r>
          </w:p>
        </w:tc>
        <w:tc>
          <w:p>
            <w:pPr>
              <w:pStyle w:val="Compact"/>
              <w:jc w:val="left"/>
            </w:pPr>
            <w:r>
              <w:t xml:space="preserve">Discover unlisted options</w:t>
            </w:r>
          </w:p>
        </w:tc>
      </w:tr>
    </w:tbl>
    <w:p>
      <w:pPr>
        <w:pStyle w:val="Heading1"/>
      </w:pPr>
      <w:bookmarkStart w:id="99" w:name="configuration-and-customization"/>
      <w:r>
        <w:t xml:space="preserve">Configuration and Customization</w:t>
      </w:r>
      <w:bookmarkEnd w:id="99"/>
    </w:p>
    <w:p>
      <w:pPr>
        <w:pStyle w:val="Heading2"/>
      </w:pPr>
      <w:bookmarkStart w:id="100" w:name="charging-settings"/>
      <w:r>
        <w:t xml:space="preserve">Charging Settings</w:t>
      </w:r>
      <w:bookmarkEnd w:id="100"/>
    </w:p>
    <w:p>
      <w:pPr>
        <w:pStyle w:val="Heading3"/>
      </w:pPr>
      <w:bookmarkStart w:id="101" w:name="charge-limit-configuration"/>
      <w:r>
        <w:t xml:space="preserve">Charge Limit Configuration</w:t>
      </w:r>
      <w:bookmarkEnd w:id="101"/>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Recommended Value</w:t>
            </w:r>
          </w:p>
        </w:tc>
        <w:tc>
          <w:tcPr>
            <w:tcBorders>
              <w:bottom w:val="single"/>
            </w:tcBorders>
            <w:vAlign w:val="bottom"/>
          </w:tcPr>
          <w:p>
            <w:pPr>
              <w:pStyle w:val="Compact"/>
              <w:jc w:val="left"/>
            </w:pPr>
            <w:r>
              <w:t xml:space="preserve">Use Case</w:t>
            </w:r>
          </w:p>
        </w:tc>
      </w:tr>
      <w:tr>
        <w:tc>
          <w:p>
            <w:pPr>
              <w:pStyle w:val="Compact"/>
              <w:jc w:val="left"/>
            </w:pPr>
            <w:r>
              <w:t xml:space="preserve">Daily Limit</w:t>
            </w:r>
          </w:p>
        </w:tc>
        <w:tc>
          <w:p>
            <w:pPr>
              <w:pStyle w:val="Compact"/>
              <w:jc w:val="left"/>
            </w:pPr>
            <w:r>
              <w:t xml:space="preserve">80%</w:t>
            </w:r>
          </w:p>
        </w:tc>
        <w:tc>
          <w:p>
            <w:pPr>
              <w:pStyle w:val="Compact"/>
              <w:jc w:val="left"/>
            </w:pPr>
            <w:r>
              <w:t xml:space="preserve">Routine commuting</w:t>
            </w:r>
          </w:p>
        </w:tc>
      </w:tr>
      <w:tr>
        <w:tc>
          <w:p>
            <w:pPr>
              <w:pStyle w:val="Compact"/>
              <w:jc w:val="left"/>
            </w:pPr>
            <w:r>
              <w:t xml:space="preserve">Trip Limit</w:t>
            </w:r>
          </w:p>
        </w:tc>
        <w:tc>
          <w:p>
            <w:pPr>
              <w:pStyle w:val="Compact"/>
              <w:jc w:val="left"/>
            </w:pPr>
            <w:r>
              <w:t xml:space="preserve">100%</w:t>
            </w:r>
          </w:p>
        </w:tc>
        <w:tc>
          <w:p>
            <w:pPr>
              <w:pStyle w:val="Compact"/>
              <w:jc w:val="left"/>
            </w:pPr>
            <w:r>
              <w:t xml:space="preserve">Long-distance travel</w:t>
            </w:r>
          </w:p>
        </w:tc>
      </w:tr>
      <w:tr>
        <w:tc>
          <w:p>
            <w:pPr>
              <w:pStyle w:val="Compact"/>
              <w:jc w:val="left"/>
            </w:pPr>
            <w:r>
              <w:t xml:space="preserve">Minimum Alert</w:t>
            </w:r>
          </w:p>
        </w:tc>
        <w:tc>
          <w:p>
            <w:pPr>
              <w:pStyle w:val="Compact"/>
              <w:jc w:val="left"/>
            </w:pPr>
            <w:r>
              <w:t xml:space="preserve">20%</w:t>
            </w:r>
          </w:p>
        </w:tc>
        <w:tc>
          <w:p>
            <w:pPr>
              <w:pStyle w:val="Compact"/>
              <w:jc w:val="left"/>
            </w:pPr>
            <w:r>
              <w:t xml:space="preserve">Avoid deep discharge</w:t>
            </w:r>
          </w:p>
        </w:tc>
      </w:tr>
    </w:tbl>
    <w:p>
      <w:pPr>
        <w:pStyle w:val="Heading3"/>
      </w:pPr>
      <w:bookmarkStart w:id="102" w:name="scheduled-charging"/>
      <w:r>
        <w:t xml:space="preserve">Scheduled Charging</w:t>
      </w:r>
      <w:bookmarkEnd w:id="102"/>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Configuration</w:t>
            </w:r>
          </w:p>
        </w:tc>
        <w:tc>
          <w:tcPr>
            <w:tcBorders>
              <w:bottom w:val="single"/>
            </w:tcBorders>
            <w:vAlign w:val="bottom"/>
          </w:tcPr>
          <w:p>
            <w:pPr>
              <w:pStyle w:val="Compact"/>
              <w:jc w:val="left"/>
            </w:pPr>
            <w:r>
              <w:t xml:space="preserve">Benefit</w:t>
            </w:r>
          </w:p>
        </w:tc>
      </w:tr>
      <w:tr>
        <w:tc>
          <w:p>
            <w:pPr>
              <w:pStyle w:val="Compact"/>
              <w:jc w:val="left"/>
            </w:pPr>
            <w:r>
              <w:t xml:space="preserve">Off-peak charging</w:t>
            </w:r>
          </w:p>
        </w:tc>
        <w:tc>
          <w:p>
            <w:pPr>
              <w:pStyle w:val="Compact"/>
              <w:jc w:val="left"/>
            </w:pPr>
            <w:r>
              <w:t xml:space="preserve">Set to midnight-6am</w:t>
            </w:r>
          </w:p>
        </w:tc>
        <w:tc>
          <w:p>
            <w:pPr>
              <w:pStyle w:val="Compact"/>
              <w:jc w:val="left"/>
            </w:pPr>
            <w:r>
              <w:t xml:space="preserve">Lower electricity cost</w:t>
            </w:r>
          </w:p>
        </w:tc>
      </w:tr>
      <w:tr>
        <w:tc>
          <w:p>
            <w:pPr>
              <w:pStyle w:val="Compact"/>
              <w:jc w:val="left"/>
            </w:pPr>
            <w:r>
              <w:t xml:space="preserve">Departure time</w:t>
            </w:r>
          </w:p>
        </w:tc>
        <w:tc>
          <w:p>
            <w:pPr>
              <w:pStyle w:val="Compact"/>
              <w:jc w:val="left"/>
            </w:pPr>
            <w:r>
              <w:t xml:space="preserve">Set departure with pre-conditioning</w:t>
            </w:r>
          </w:p>
        </w:tc>
        <w:tc>
          <w:p>
            <w:pPr>
              <w:pStyle w:val="Compact"/>
              <w:jc w:val="left"/>
            </w:pPr>
            <w:r>
              <w:t xml:space="preserve">Optimal battery temp</w:t>
            </w:r>
          </w:p>
        </w:tc>
      </w:tr>
      <w:tr>
        <w:tc>
          <w:p>
            <w:pPr>
              <w:pStyle w:val="Compact"/>
              <w:jc w:val="left"/>
            </w:pPr>
            <w:r>
              <w:t xml:space="preserve">Rate preference</w:t>
            </w:r>
          </w:p>
        </w:tc>
        <w:tc>
          <w:p>
            <w:pPr>
              <w:pStyle w:val="Compact"/>
              <w:jc w:val="left"/>
            </w:pPr>
            <w:r>
              <w:t xml:space="preserve">Select utility rate plan</w:t>
            </w:r>
          </w:p>
        </w:tc>
        <w:tc>
          <w:p>
            <w:pPr>
              <w:pStyle w:val="Compact"/>
              <w:jc w:val="left"/>
            </w:pPr>
            <w:r>
              <w:t xml:space="preserve">Automatic optimization</w:t>
            </w:r>
          </w:p>
        </w:tc>
      </w:tr>
    </w:tbl>
    <w:p>
      <w:pPr>
        <w:pStyle w:val="Heading2"/>
      </w:pPr>
      <w:bookmarkStart w:id="103" w:name="thermal-management-settings"/>
      <w:r>
        <w:t xml:space="preserve">Thermal Management Settings</w:t>
      </w:r>
      <w:bookmarkEnd w:id="103"/>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Options</w:t>
            </w:r>
          </w:p>
        </w:tc>
        <w:tc>
          <w:tcPr>
            <w:tcBorders>
              <w:bottom w:val="single"/>
            </w:tcBorders>
            <w:vAlign w:val="bottom"/>
          </w:tcPr>
          <w:p>
            <w:pPr>
              <w:pStyle w:val="Compact"/>
              <w:jc w:val="left"/>
            </w:pPr>
            <w:r>
              <w:t xml:space="preserve">Recommendation</w:t>
            </w:r>
          </w:p>
        </w:tc>
      </w:tr>
      <w:tr>
        <w:tc>
          <w:p>
            <w:pPr>
              <w:pStyle w:val="Compact"/>
              <w:jc w:val="left"/>
            </w:pPr>
            <w:r>
              <w:t xml:space="preserve">Pre-conditioning</w:t>
            </w:r>
          </w:p>
        </w:tc>
        <w:tc>
          <w:p>
            <w:pPr>
              <w:pStyle w:val="Compact"/>
              <w:jc w:val="left"/>
            </w:pPr>
            <w:r>
              <w:t xml:space="preserve">On/Off/Scheduled</w:t>
            </w:r>
          </w:p>
        </w:tc>
        <w:tc>
          <w:p>
            <w:pPr>
              <w:pStyle w:val="Compact"/>
              <w:jc w:val="left"/>
            </w:pPr>
            <w:r>
              <w:t xml:space="preserve">Enable for extreme temps</w:t>
            </w:r>
          </w:p>
        </w:tc>
      </w:tr>
      <w:tr>
        <w:tc>
          <w:p>
            <w:pPr>
              <w:pStyle w:val="Compact"/>
              <w:jc w:val="left"/>
            </w:pPr>
            <w:r>
              <w:t xml:space="preserve">Cabin-battery sync</w:t>
            </w:r>
          </w:p>
        </w:tc>
        <w:tc>
          <w:p>
            <w:pPr>
              <w:pStyle w:val="Compact"/>
              <w:jc w:val="left"/>
            </w:pPr>
            <w:r>
              <w:t xml:space="preserve">Combined/Separate</w:t>
            </w:r>
          </w:p>
        </w:tc>
        <w:tc>
          <w:p>
            <w:pPr>
              <w:pStyle w:val="Compact"/>
              <w:jc w:val="left"/>
            </w:pPr>
            <w:r>
              <w:t xml:space="preserve">Separate for efficiency</w:t>
            </w:r>
          </w:p>
        </w:tc>
      </w:tr>
      <w:tr>
        <w:tc>
          <w:p>
            <w:pPr>
              <w:pStyle w:val="Compact"/>
              <w:jc w:val="left"/>
            </w:pPr>
            <w:r>
              <w:t xml:space="preserve">Charging cooling</w:t>
            </w:r>
          </w:p>
        </w:tc>
        <w:tc>
          <w:p>
            <w:pPr>
              <w:pStyle w:val="Compact"/>
              <w:jc w:val="left"/>
            </w:pPr>
            <w:r>
              <w:t xml:space="preserve">Normal/Enhanced</w:t>
            </w:r>
          </w:p>
        </w:tc>
        <w:tc>
          <w:p>
            <w:pPr>
              <w:pStyle w:val="Compact"/>
              <w:jc w:val="left"/>
            </w:pPr>
            <w:r>
              <w:t xml:space="preserve">Enhanced for DCFC</w:t>
            </w:r>
          </w:p>
        </w:tc>
      </w:tr>
    </w:tbl>
    <w:p>
      <w:pPr>
        <w:pStyle w:val="Heading2"/>
      </w:pPr>
      <w:bookmarkStart w:id="104" w:name="data-and-monitoring"/>
      <w:r>
        <w:t xml:space="preserve">Data and Monitoring</w:t>
      </w:r>
      <w:bookmarkEnd w:id="104"/>
    </w:p>
    <w:p>
      <w:pPr>
        <w:pStyle w:val="Heading3"/>
      </w:pPr>
      <w:bookmarkStart w:id="105" w:name="available-metrics"/>
      <w:r>
        <w:t xml:space="preserve">Available Metrics</w:t>
      </w:r>
      <w:bookmarkEnd w:id="105"/>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Access Method</w:t>
            </w:r>
          </w:p>
        </w:tc>
        <w:tc>
          <w:tcPr>
            <w:tcBorders>
              <w:bottom w:val="single"/>
            </w:tcBorders>
            <w:vAlign w:val="bottom"/>
          </w:tcPr>
          <w:p>
            <w:pPr>
              <w:pStyle w:val="Compact"/>
              <w:jc w:val="left"/>
            </w:pPr>
            <w:r>
              <w:t xml:space="preserve">Update Frequency</w:t>
            </w:r>
          </w:p>
        </w:tc>
      </w:tr>
      <w:tr>
        <w:tc>
          <w:p>
            <w:pPr>
              <w:pStyle w:val="Compact"/>
              <w:jc w:val="left"/>
            </w:pPr>
            <w:r>
              <w:t xml:space="preserve">State of Charge</w:t>
            </w:r>
          </w:p>
        </w:tc>
        <w:tc>
          <w:p>
            <w:pPr>
              <w:pStyle w:val="Compact"/>
              <w:jc w:val="left"/>
            </w:pPr>
            <w:r>
              <w:t xml:space="preserve">Dashboard, App</w:t>
            </w:r>
          </w:p>
        </w:tc>
        <w:tc>
          <w:p>
            <w:pPr>
              <w:pStyle w:val="Compact"/>
              <w:jc w:val="left"/>
            </w:pPr>
            <w:r>
              <w:t xml:space="preserve">Real-time</w:t>
            </w:r>
          </w:p>
        </w:tc>
      </w:tr>
      <w:tr>
        <w:tc>
          <w:p>
            <w:pPr>
              <w:pStyle w:val="Compact"/>
              <w:jc w:val="left"/>
            </w:pPr>
            <w:r>
              <w:t xml:space="preserve">Range Estimate</w:t>
            </w:r>
          </w:p>
        </w:tc>
        <w:tc>
          <w:p>
            <w:pPr>
              <w:pStyle w:val="Compact"/>
              <w:jc w:val="left"/>
            </w:pPr>
            <w:r>
              <w:t xml:space="preserve">Dashboard, App</w:t>
            </w:r>
          </w:p>
        </w:tc>
        <w:tc>
          <w:p>
            <w:pPr>
              <w:pStyle w:val="Compact"/>
              <w:jc w:val="left"/>
            </w:pPr>
            <w:r>
              <w:t xml:space="preserve">Real-time</w:t>
            </w:r>
          </w:p>
        </w:tc>
      </w:tr>
      <w:tr>
        <w:tc>
          <w:p>
            <w:pPr>
              <w:pStyle w:val="Compact"/>
              <w:jc w:val="left"/>
            </w:pPr>
            <w:r>
              <w:t xml:space="preserve">Charging Status</w:t>
            </w:r>
          </w:p>
        </w:tc>
        <w:tc>
          <w:p>
            <w:pPr>
              <w:pStyle w:val="Compact"/>
              <w:jc w:val="left"/>
            </w:pPr>
            <w:r>
              <w:t xml:space="preserve">Dashboard, App</w:t>
            </w:r>
          </w:p>
        </w:tc>
        <w:tc>
          <w:p>
            <w:pPr>
              <w:pStyle w:val="Compact"/>
              <w:jc w:val="left"/>
            </w:pPr>
            <w:r>
              <w:t xml:space="preserve">Real-time</w:t>
            </w:r>
          </w:p>
        </w:tc>
      </w:tr>
      <w:tr>
        <w:tc>
          <w:p>
            <w:pPr>
              <w:pStyle w:val="Compact"/>
              <w:jc w:val="left"/>
            </w:pPr>
            <w:r>
              <w:t xml:space="preserve">State of Health</w:t>
            </w:r>
          </w:p>
        </w:tc>
        <w:tc>
          <w:p>
            <w:pPr>
              <w:pStyle w:val="Compact"/>
              <w:jc w:val="left"/>
            </w:pPr>
            <w:r>
              <w:t xml:space="preserve">App, Dealer</w:t>
            </w:r>
          </w:p>
        </w:tc>
        <w:tc>
          <w:p>
            <w:pPr>
              <w:pStyle w:val="Compact"/>
              <w:jc w:val="left"/>
            </w:pPr>
            <w:r>
              <w:t xml:space="preserve">Periodic</w:t>
            </w:r>
          </w:p>
        </w:tc>
      </w:tr>
      <w:tr>
        <w:tc>
          <w:p>
            <w:pPr>
              <w:pStyle w:val="Compact"/>
              <w:jc w:val="left"/>
            </w:pPr>
            <w:r>
              <w:t xml:space="preserve">Cell Voltages</w:t>
            </w:r>
          </w:p>
        </w:tc>
        <w:tc>
          <w:p>
            <w:pPr>
              <w:pStyle w:val="Compact"/>
              <w:jc w:val="left"/>
            </w:pPr>
            <w:r>
              <w:t xml:space="preserve">Dealer diagnostic</w:t>
            </w:r>
          </w:p>
        </w:tc>
        <w:tc>
          <w:p>
            <w:pPr>
              <w:pStyle w:val="Compact"/>
              <w:jc w:val="left"/>
            </w:pPr>
            <w:r>
              <w:t xml:space="preserve">On request</w:t>
            </w:r>
          </w:p>
        </w:tc>
      </w:tr>
      <w:tr>
        <w:tc>
          <w:p>
            <w:pPr>
              <w:pStyle w:val="Compact"/>
              <w:jc w:val="left"/>
            </w:pPr>
            <w:r>
              <w:t xml:space="preserve">Temperature Data</w:t>
            </w:r>
          </w:p>
        </w:tc>
        <w:tc>
          <w:p>
            <w:pPr>
              <w:pStyle w:val="Compact"/>
              <w:jc w:val="left"/>
            </w:pPr>
            <w:r>
              <w:t xml:space="preserve">App (some models)</w:t>
            </w:r>
          </w:p>
        </w:tc>
        <w:tc>
          <w:p>
            <w:pPr>
              <w:pStyle w:val="Compact"/>
              <w:jc w:val="left"/>
            </w:pPr>
            <w:r>
              <w:t xml:space="preserve">Real-time</w:t>
            </w:r>
          </w:p>
        </w:tc>
      </w:tr>
    </w:tbl>
    <w:p>
      <w:pPr>
        <w:pStyle w:val="Heading3"/>
      </w:pPr>
      <w:bookmarkStart w:id="106" w:name="privacy-considerations"/>
      <w:r>
        <w:t xml:space="preserve">Privacy Considerations</w:t>
      </w:r>
      <w:bookmarkEnd w:id="106"/>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Typical Usage</w:t>
            </w:r>
          </w:p>
        </w:tc>
        <w:tc>
          <w:tcPr>
            <w:tcBorders>
              <w:bottom w:val="single"/>
            </w:tcBorders>
            <w:vAlign w:val="bottom"/>
          </w:tcPr>
          <w:p>
            <w:pPr>
              <w:pStyle w:val="Compact"/>
              <w:jc w:val="left"/>
            </w:pPr>
            <w:r>
              <w:t xml:space="preserve">User Control</w:t>
            </w:r>
          </w:p>
        </w:tc>
      </w:tr>
      <w:tr>
        <w:tc>
          <w:p>
            <w:pPr>
              <w:pStyle w:val="Compact"/>
              <w:jc w:val="left"/>
            </w:pPr>
            <w:r>
              <w:t xml:space="preserve">Location</w:t>
            </w:r>
          </w:p>
        </w:tc>
        <w:tc>
          <w:p>
            <w:pPr>
              <w:pStyle w:val="Compact"/>
              <w:jc w:val="left"/>
            </w:pPr>
            <w:r>
              <w:t xml:space="preserve">Navigation, charger finding</w:t>
            </w:r>
          </w:p>
        </w:tc>
        <w:tc>
          <w:p>
            <w:pPr>
              <w:pStyle w:val="Compact"/>
              <w:jc w:val="left"/>
            </w:pPr>
            <w:r>
              <w:t xml:space="preserve">Usually configurable</w:t>
            </w:r>
          </w:p>
        </w:tc>
      </w:tr>
      <w:tr>
        <w:tc>
          <w:p>
            <w:pPr>
              <w:pStyle w:val="Compact"/>
              <w:jc w:val="left"/>
            </w:pPr>
            <w:r>
              <w:t xml:space="preserve">Driving patterns</w:t>
            </w:r>
          </w:p>
        </w:tc>
        <w:tc>
          <w:p>
            <w:pPr>
              <w:pStyle w:val="Compact"/>
              <w:jc w:val="left"/>
            </w:pPr>
            <w:r>
              <w:t xml:space="preserve">Range optimization</w:t>
            </w:r>
          </w:p>
        </w:tc>
        <w:tc>
          <w:p>
            <w:pPr>
              <w:pStyle w:val="Compact"/>
              <w:jc w:val="left"/>
            </w:pPr>
            <w:r>
              <w:t xml:space="preserve">Opt-out available</w:t>
            </w:r>
          </w:p>
        </w:tc>
      </w:tr>
      <w:tr>
        <w:tc>
          <w:p>
            <w:pPr>
              <w:pStyle w:val="Compact"/>
              <w:jc w:val="left"/>
            </w:pPr>
            <w:r>
              <w:t xml:space="preserve">Charging history</w:t>
            </w:r>
          </w:p>
        </w:tc>
        <w:tc>
          <w:p>
            <w:pPr>
              <w:pStyle w:val="Compact"/>
              <w:jc w:val="left"/>
            </w:pPr>
            <w:r>
              <w:t xml:space="preserve">Grid services, billing</w:t>
            </w:r>
          </w:p>
        </w:tc>
        <w:tc>
          <w:p>
            <w:pPr>
              <w:pStyle w:val="Compact"/>
              <w:jc w:val="left"/>
            </w:pPr>
            <w:r>
              <w:t xml:space="preserve">Account settings</w:t>
            </w:r>
          </w:p>
        </w:tc>
      </w:tr>
      <w:tr>
        <w:tc>
          <w:p>
            <w:pPr>
              <w:pStyle w:val="Compact"/>
              <w:jc w:val="left"/>
            </w:pPr>
            <w:r>
              <w:t xml:space="preserve">Battery telemetry</w:t>
            </w:r>
          </w:p>
        </w:tc>
        <w:tc>
          <w:p>
            <w:pPr>
              <w:pStyle w:val="Compact"/>
              <w:jc w:val="left"/>
            </w:pPr>
            <w:r>
              <w:t xml:space="preserve">Warranty, R&amp;D</w:t>
            </w:r>
          </w:p>
        </w:tc>
        <w:tc>
          <w:p>
            <w:pPr>
              <w:pStyle w:val="Compact"/>
              <w:jc w:val="left"/>
            </w:pPr>
            <w:r>
              <w:t xml:space="preserve">Anonymized aggregation</w:t>
            </w:r>
          </w:p>
        </w:tc>
      </w:tr>
    </w:tbl>
    <w:p>
      <w:pPr>
        <w:pStyle w:val="Heading1"/>
      </w:pPr>
      <w:bookmarkStart w:id="107" w:name="error-handling-and-troubleshooting"/>
      <w:r>
        <w:t xml:space="preserve">Error Handling and Troubleshooting</w:t>
      </w:r>
      <w:bookmarkEnd w:id="107"/>
    </w:p>
    <w:p>
      <w:pPr>
        <w:pStyle w:val="Heading2"/>
      </w:pPr>
      <w:bookmarkStart w:id="108" w:name="common-issues-and-solutions"/>
      <w:r>
        <w:t xml:space="preserve">Common Issues and Solutions</w:t>
      </w:r>
      <w:bookmarkEnd w:id="108"/>
    </w:p>
    <w:p>
      <w:pPr>
        <w:pStyle w:val="Heading3"/>
      </w:pPr>
      <w:bookmarkStart w:id="109" w:name="slow-charging"/>
      <w:r>
        <w:t xml:space="preserve">Slow Charging</w:t>
      </w:r>
      <w:bookmarkEnd w:id="109"/>
    </w:p>
    <w:tbl>
      <w:tblPr>
        <w:tblStyle w:val="Table"/>
        <w:tblW w:type="pct" w:w="50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6"/>
        <w:gridCol w:w="3494"/>
        <w:gridCol w:w="2329"/>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Possible Cause</w:t>
            </w:r>
          </w:p>
        </w:tc>
        <w:tc>
          <w:tcPr>
            <w:tcBorders>
              <w:bottom w:val="single"/>
            </w:tcBorders>
            <w:vAlign w:val="bottom"/>
          </w:tcPr>
          <w:p>
            <w:pPr>
              <w:pStyle w:val="Compact"/>
              <w:jc w:val="left"/>
            </w:pPr>
            <w:r>
              <w:t xml:space="preserve">Solution</w:t>
            </w:r>
          </w:p>
        </w:tc>
      </w:tr>
      <w:tr>
        <w:tc>
          <w:p>
            <w:pPr>
              <w:pStyle w:val="Compact"/>
              <w:jc w:val="left"/>
            </w:pPr>
            <w:r>
              <w:t xml:space="preserve">Charge rate below expected</w:t>
            </w:r>
          </w:p>
        </w:tc>
        <w:tc>
          <w:p>
            <w:pPr>
              <w:pStyle w:val="Compact"/>
              <w:jc w:val="left"/>
            </w:pPr>
            <w:r>
              <w:t xml:space="preserve">Cold battery</w:t>
            </w:r>
          </w:p>
        </w:tc>
        <w:tc>
          <w:p>
            <w:pPr>
              <w:pStyle w:val="Compact"/>
              <w:jc w:val="left"/>
            </w:pPr>
            <w:r>
              <w:t xml:space="preserve">Pre-condition before charging</w:t>
            </w:r>
          </w:p>
        </w:tc>
      </w:tr>
      <w:tr>
        <w:tc>
          <w:p>
            <w:pPr>
              <w:pStyle w:val="Compact"/>
              <w:jc w:val="left"/>
            </w:pPr>
            <w:r>
              <w:t xml:space="preserve">Charge rate drops mid-session</w:t>
            </w:r>
          </w:p>
        </w:tc>
        <w:tc>
          <w:p>
            <w:pPr>
              <w:pStyle w:val="Compact"/>
              <w:jc w:val="left"/>
            </w:pPr>
            <w:r>
              <w:t xml:space="preserve">Thermal management limiting</w:t>
            </w:r>
          </w:p>
        </w:tc>
        <w:tc>
          <w:p>
            <w:pPr>
              <w:pStyle w:val="Compact"/>
              <w:jc w:val="left"/>
            </w:pPr>
            <w:r>
              <w:t xml:space="preserve">Allow cooling, reduce rate</w:t>
            </w:r>
          </w:p>
        </w:tc>
      </w:tr>
      <w:tr>
        <w:tc>
          <w:p>
            <w:pPr>
              <w:pStyle w:val="Compact"/>
              <w:jc w:val="left"/>
            </w:pPr>
            <w:r>
              <w:t xml:space="preserve">Charger not delivering full power</w:t>
            </w:r>
          </w:p>
        </w:tc>
        <w:tc>
          <w:p>
            <w:pPr>
              <w:pStyle w:val="Compact"/>
              <w:jc w:val="left"/>
            </w:pPr>
            <w:r>
              <w:t xml:space="preserve">Station limitation</w:t>
            </w:r>
          </w:p>
        </w:tc>
        <w:tc>
          <w:p>
            <w:pPr>
              <w:pStyle w:val="Compact"/>
              <w:jc w:val="left"/>
            </w:pPr>
            <w:r>
              <w:t xml:space="preserve">Try different charger</w:t>
            </w:r>
          </w:p>
        </w:tc>
      </w:tr>
      <w:tr>
        <w:tc>
          <w:p>
            <w:pPr>
              <w:pStyle w:val="Compact"/>
              <w:jc w:val="left"/>
            </w:pPr>
            <w:r>
              <w:t xml:space="preserve">Consistent slow charging</w:t>
            </w:r>
          </w:p>
        </w:tc>
        <w:tc>
          <w:p>
            <w:pPr>
              <w:pStyle w:val="Compact"/>
              <w:jc w:val="left"/>
            </w:pPr>
            <w:r>
              <w:t xml:space="preserve">Cable or port issue</w:t>
            </w:r>
          </w:p>
        </w:tc>
        <w:tc>
          <w:p>
            <w:pPr>
              <w:pStyle w:val="Compact"/>
              <w:jc w:val="left"/>
            </w:pPr>
            <w:r>
              <w:t xml:space="preserve">Inspect connections, dealer check</w:t>
            </w:r>
          </w:p>
        </w:tc>
      </w:tr>
    </w:tbl>
    <w:p>
      <w:pPr>
        <w:pStyle w:val="Heading3"/>
      </w:pPr>
      <w:bookmarkStart w:id="110" w:name="reduced-range"/>
      <w:r>
        <w:t xml:space="preserve">Reduced Range</w:t>
      </w:r>
      <w:bookmarkEnd w:id="110"/>
    </w:p>
    <w:tbl>
      <w:tblPr>
        <w:tblStyle w:val="Table"/>
        <w:tblW w:type="pct" w:w="50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6"/>
        <w:gridCol w:w="3494"/>
        <w:gridCol w:w="2329"/>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Possible Cause</w:t>
            </w:r>
          </w:p>
        </w:tc>
        <w:tc>
          <w:tcPr>
            <w:tcBorders>
              <w:bottom w:val="single"/>
            </w:tcBorders>
            <w:vAlign w:val="bottom"/>
          </w:tcPr>
          <w:p>
            <w:pPr>
              <w:pStyle w:val="Compact"/>
              <w:jc w:val="left"/>
            </w:pPr>
            <w:r>
              <w:t xml:space="preserve">Solution</w:t>
            </w:r>
          </w:p>
        </w:tc>
      </w:tr>
      <w:tr>
        <w:tc>
          <w:p>
            <w:pPr>
              <w:pStyle w:val="Compact"/>
              <w:jc w:val="left"/>
            </w:pPr>
            <w:r>
              <w:t xml:space="preserve">Gradual range decrease</w:t>
            </w:r>
          </w:p>
        </w:tc>
        <w:tc>
          <w:p>
            <w:pPr>
              <w:pStyle w:val="Compact"/>
              <w:jc w:val="left"/>
            </w:pPr>
            <w:r>
              <w:t xml:space="preserve">Normal degradation</w:t>
            </w:r>
          </w:p>
        </w:tc>
        <w:tc>
          <w:p>
            <w:pPr>
              <w:pStyle w:val="Compact"/>
              <w:jc w:val="left"/>
            </w:pPr>
            <w:r>
              <w:t xml:space="preserve">Monitor SoH, adjust expectations</w:t>
            </w:r>
          </w:p>
        </w:tc>
      </w:tr>
      <w:tr>
        <w:tc>
          <w:p>
            <w:pPr>
              <w:pStyle w:val="Compact"/>
              <w:jc w:val="left"/>
            </w:pPr>
            <w:r>
              <w:t xml:space="preserve">Sudden range drop</w:t>
            </w:r>
          </w:p>
        </w:tc>
        <w:tc>
          <w:p>
            <w:pPr>
              <w:pStyle w:val="Compact"/>
              <w:jc w:val="left"/>
            </w:pPr>
            <w:r>
              <w:t xml:space="preserve">Calibration issue</w:t>
            </w:r>
          </w:p>
        </w:tc>
        <w:tc>
          <w:p>
            <w:pPr>
              <w:pStyle w:val="Compact"/>
              <w:jc w:val="left"/>
            </w:pPr>
            <w:r>
              <w:t xml:space="preserve">Full charge/discharge cycle</w:t>
            </w:r>
          </w:p>
        </w:tc>
      </w:tr>
      <w:tr>
        <w:tc>
          <w:p>
            <w:pPr>
              <w:pStyle w:val="Compact"/>
              <w:jc w:val="left"/>
            </w:pPr>
            <w:r>
              <w:t xml:space="preserve">Cold weather range loss</w:t>
            </w:r>
          </w:p>
        </w:tc>
        <w:tc>
          <w:p>
            <w:pPr>
              <w:pStyle w:val="Compact"/>
              <w:jc w:val="left"/>
            </w:pPr>
            <w:r>
              <w:t xml:space="preserve">Battery temperature</w:t>
            </w:r>
          </w:p>
        </w:tc>
        <w:tc>
          <w:p>
            <w:pPr>
              <w:pStyle w:val="Compact"/>
              <w:jc w:val="left"/>
            </w:pPr>
            <w:r>
              <w:t xml:space="preserve">Pre-condition, expect 20-30% loss</w:t>
            </w:r>
          </w:p>
        </w:tc>
      </w:tr>
      <w:tr>
        <w:tc>
          <w:p>
            <w:pPr>
              <w:pStyle w:val="Compact"/>
              <w:jc w:val="left"/>
            </w:pPr>
            <w:r>
              <w:t xml:space="preserve">Range lower than rating</w:t>
            </w:r>
          </w:p>
        </w:tc>
        <w:tc>
          <w:p>
            <w:pPr>
              <w:pStyle w:val="Compact"/>
              <w:jc w:val="left"/>
            </w:pPr>
            <w:r>
              <w:t xml:space="preserve">Driving conditions</w:t>
            </w:r>
          </w:p>
        </w:tc>
        <w:tc>
          <w:p>
            <w:pPr>
              <w:pStyle w:val="Compact"/>
              <w:jc w:val="left"/>
            </w:pPr>
            <w:r>
              <w:t xml:space="preserve">Adjust for highway, climate</w:t>
            </w:r>
          </w:p>
        </w:tc>
      </w:tr>
    </w:tbl>
    <w:p>
      <w:pPr>
        <w:pStyle w:val="Heading3"/>
      </w:pPr>
      <w:bookmarkStart w:id="111" w:name="warning-indicators"/>
      <w:r>
        <w:t xml:space="preserve">Warning Indicators</w:t>
      </w:r>
      <w:bookmarkEnd w:id="111"/>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Warning</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Immediate Action</w:t>
            </w:r>
          </w:p>
        </w:tc>
      </w:tr>
      <w:tr>
        <w:tc>
          <w:p>
            <w:pPr>
              <w:pStyle w:val="Compact"/>
              <w:jc w:val="left"/>
            </w:pPr>
            <w:r>
              <w:t xml:space="preserve">High temperature</w:t>
            </w:r>
          </w:p>
        </w:tc>
        <w:tc>
          <w:p>
            <w:pPr>
              <w:pStyle w:val="Compact"/>
              <w:jc w:val="left"/>
            </w:pPr>
            <w:r>
              <w:t xml:space="preserve">Battery overheating</w:t>
            </w:r>
          </w:p>
        </w:tc>
        <w:tc>
          <w:p>
            <w:pPr>
              <w:pStyle w:val="Compact"/>
              <w:jc w:val="left"/>
            </w:pPr>
            <w:r>
              <w:t xml:space="preserve">Stop charging, allow cooling</w:t>
            </w:r>
          </w:p>
        </w:tc>
      </w:tr>
      <w:tr>
        <w:tc>
          <w:p>
            <w:pPr>
              <w:pStyle w:val="Compact"/>
              <w:jc w:val="left"/>
            </w:pPr>
            <w:r>
              <w:t xml:space="preserve">Low temperature</w:t>
            </w:r>
          </w:p>
        </w:tc>
        <w:tc>
          <w:p>
            <w:pPr>
              <w:pStyle w:val="Compact"/>
              <w:jc w:val="left"/>
            </w:pPr>
            <w:r>
              <w:t xml:space="preserve">Battery too cold</w:t>
            </w:r>
          </w:p>
        </w:tc>
        <w:tc>
          <w:p>
            <w:pPr>
              <w:pStyle w:val="Compact"/>
              <w:jc w:val="left"/>
            </w:pPr>
            <w:r>
              <w:t xml:space="preserve">Pre-condition before use</w:t>
            </w:r>
          </w:p>
        </w:tc>
      </w:tr>
      <w:tr>
        <w:tc>
          <w:p>
            <w:pPr>
              <w:pStyle w:val="Compact"/>
              <w:jc w:val="left"/>
            </w:pPr>
            <w:r>
              <w:t xml:space="preserve">Charging fault</w:t>
            </w:r>
          </w:p>
        </w:tc>
        <w:tc>
          <w:p>
            <w:pPr>
              <w:pStyle w:val="Compact"/>
              <w:jc w:val="left"/>
            </w:pPr>
            <w:r>
              <w:t xml:space="preserve">Communication error</w:t>
            </w:r>
          </w:p>
        </w:tc>
        <w:tc>
          <w:p>
            <w:pPr>
              <w:pStyle w:val="Compact"/>
              <w:jc w:val="left"/>
            </w:pPr>
            <w:r>
              <w:t xml:space="preserve">Restart vehicle, try again</w:t>
            </w:r>
          </w:p>
        </w:tc>
      </w:tr>
      <w:tr>
        <w:tc>
          <w:p>
            <w:pPr>
              <w:pStyle w:val="Compact"/>
              <w:jc w:val="left"/>
            </w:pPr>
            <w:r>
              <w:t xml:space="preserve">Cell imbalance</w:t>
            </w:r>
          </w:p>
        </w:tc>
        <w:tc>
          <w:p>
            <w:pPr>
              <w:pStyle w:val="Compact"/>
              <w:jc w:val="left"/>
            </w:pPr>
            <w:r>
              <w:t xml:space="preserve">BMS detected variance</w:t>
            </w:r>
          </w:p>
        </w:tc>
        <w:tc>
          <w:p>
            <w:pPr>
              <w:pStyle w:val="Compact"/>
              <w:jc w:val="left"/>
            </w:pPr>
            <w:r>
              <w:t xml:space="preserve">Schedule dealer diagnostic</w:t>
            </w:r>
          </w:p>
        </w:tc>
      </w:tr>
      <w:tr>
        <w:tc>
          <w:p>
            <w:pPr>
              <w:pStyle w:val="Compact"/>
              <w:jc w:val="left"/>
            </w:pPr>
            <w:r>
              <w:t xml:space="preserve">Service required</w:t>
            </w:r>
          </w:p>
        </w:tc>
        <w:tc>
          <w:p>
            <w:pPr>
              <w:pStyle w:val="Compact"/>
              <w:jc w:val="left"/>
            </w:pPr>
            <w:r>
              <w:t xml:space="preserve">System fault detected</w:t>
            </w:r>
          </w:p>
        </w:tc>
        <w:tc>
          <w:p>
            <w:pPr>
              <w:pStyle w:val="Compact"/>
              <w:jc w:val="left"/>
            </w:pPr>
            <w:r>
              <w:t xml:space="preserve">Dealer visit required</w:t>
            </w:r>
          </w:p>
        </w:tc>
      </w:tr>
    </w:tbl>
    <w:p>
      <w:pPr>
        <w:pStyle w:val="Heading2"/>
      </w:pPr>
      <w:bookmarkStart w:id="112" w:name="diagnostic-steps"/>
      <w:r>
        <w:t xml:space="preserve">Diagnostic Steps</w:t>
      </w:r>
      <w:bookmarkEnd w:id="112"/>
    </w:p>
    <w:p>
      <w:pPr>
        <w:pStyle w:val="Heading3"/>
      </w:pPr>
      <w:bookmarkStart w:id="113" w:name="self-diagnosis-checklist"/>
      <w:r>
        <w:t xml:space="preserve">Self-Diagnosis Checklist</w:t>
      </w:r>
      <w:bookmarkEnd w:id="113"/>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Normal Result</w:t>
            </w:r>
          </w:p>
        </w:tc>
      </w:tr>
      <w:tr>
        <w:tc>
          <w:p>
            <w:pPr>
              <w:pStyle w:val="Compact"/>
              <w:jc w:val="left"/>
            </w:pPr>
            <w:r>
              <w:t xml:space="preserve">1</w:t>
            </w:r>
          </w:p>
        </w:tc>
        <w:tc>
          <w:p>
            <w:pPr>
              <w:pStyle w:val="Compact"/>
              <w:jc w:val="left"/>
            </w:pPr>
            <w:r>
              <w:t xml:space="preserve">Charge port condition</w:t>
            </w:r>
          </w:p>
        </w:tc>
        <w:tc>
          <w:p>
            <w:pPr>
              <w:pStyle w:val="Compact"/>
              <w:jc w:val="left"/>
            </w:pPr>
            <w:r>
              <w:t xml:space="preserve">Clean, no damage</w:t>
            </w:r>
          </w:p>
        </w:tc>
      </w:tr>
      <w:tr>
        <w:tc>
          <w:p>
            <w:pPr>
              <w:pStyle w:val="Compact"/>
              <w:jc w:val="left"/>
            </w:pPr>
            <w:r>
              <w:t xml:space="preserve">2</w:t>
            </w:r>
          </w:p>
        </w:tc>
        <w:tc>
          <w:p>
            <w:pPr>
              <w:pStyle w:val="Compact"/>
              <w:jc w:val="left"/>
            </w:pPr>
            <w:r>
              <w:t xml:space="preserve">Cable connections</w:t>
            </w:r>
          </w:p>
        </w:tc>
        <w:tc>
          <w:p>
            <w:pPr>
              <w:pStyle w:val="Compact"/>
              <w:jc w:val="left"/>
            </w:pPr>
            <w:r>
              <w:t xml:space="preserve">Secure, no corrosion</w:t>
            </w:r>
          </w:p>
        </w:tc>
      </w:tr>
      <w:tr>
        <w:tc>
          <w:p>
            <w:pPr>
              <w:pStyle w:val="Compact"/>
              <w:jc w:val="left"/>
            </w:pPr>
            <w:r>
              <w:t xml:space="preserve">3</w:t>
            </w:r>
          </w:p>
        </w:tc>
        <w:tc>
          <w:p>
            <w:pPr>
              <w:pStyle w:val="Compact"/>
              <w:jc w:val="left"/>
            </w:pPr>
            <w:r>
              <w:t xml:space="preserve">Software version</w:t>
            </w:r>
          </w:p>
        </w:tc>
        <w:tc>
          <w:p>
            <w:pPr>
              <w:pStyle w:val="Compact"/>
              <w:jc w:val="left"/>
            </w:pPr>
            <w:r>
              <w:t xml:space="preserve">Current release</w:t>
            </w:r>
          </w:p>
        </w:tc>
      </w:tr>
      <w:tr>
        <w:tc>
          <w:p>
            <w:pPr>
              <w:pStyle w:val="Compact"/>
              <w:jc w:val="left"/>
            </w:pPr>
            <w:r>
              <w:t xml:space="preserve">4</w:t>
            </w:r>
          </w:p>
        </w:tc>
        <w:tc>
          <w:p>
            <w:pPr>
              <w:pStyle w:val="Compact"/>
              <w:jc w:val="left"/>
            </w:pPr>
            <w:r>
              <w:t xml:space="preserve">Range vs. estimate</w:t>
            </w:r>
          </w:p>
        </w:tc>
        <w:tc>
          <w:p>
            <w:pPr>
              <w:pStyle w:val="Compact"/>
              <w:jc w:val="left"/>
            </w:pPr>
            <w:r>
              <w:t xml:space="preserve">Within 10-15%</w:t>
            </w:r>
          </w:p>
        </w:tc>
      </w:tr>
      <w:tr>
        <w:tc>
          <w:p>
            <w:pPr>
              <w:pStyle w:val="Compact"/>
              <w:jc w:val="left"/>
            </w:pPr>
            <w:r>
              <w:t xml:space="preserve">5</w:t>
            </w:r>
          </w:p>
        </w:tc>
        <w:tc>
          <w:p>
            <w:pPr>
              <w:pStyle w:val="Compact"/>
              <w:jc w:val="left"/>
            </w:pPr>
            <w:r>
              <w:t xml:space="preserve">Charging completion</w:t>
            </w:r>
          </w:p>
        </w:tc>
        <w:tc>
          <w:p>
            <w:pPr>
              <w:pStyle w:val="Compact"/>
              <w:jc w:val="left"/>
            </w:pPr>
            <w:r>
              <w:t xml:space="preserve">Reaches set limit</w:t>
            </w:r>
          </w:p>
        </w:tc>
      </w:tr>
    </w:tbl>
    <w:p>
      <w:pPr>
        <w:pStyle w:val="Heading3"/>
      </w:pPr>
      <w:bookmarkStart w:id="114" w:name="when-to-seek-professional-help"/>
      <w:r>
        <w:t xml:space="preserve">When to Seek Professional Help</w:t>
      </w:r>
      <w:bookmarkEnd w:id="114"/>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Indicator</w:t>
            </w:r>
          </w:p>
        </w:tc>
        <w:tc>
          <w:tcPr>
            <w:tcBorders>
              <w:bottom w:val="single"/>
            </w:tcBorders>
            <w:vAlign w:val="bottom"/>
          </w:tcPr>
          <w:p>
            <w:pPr>
              <w:pStyle w:val="Compact"/>
              <w:jc w:val="left"/>
            </w:pPr>
            <w:r>
              <w:t xml:space="preserve">Urgency</w:t>
            </w:r>
          </w:p>
        </w:tc>
        <w:tc>
          <w:tcPr>
            <w:tcBorders>
              <w:bottom w:val="single"/>
            </w:tcBorders>
            <w:vAlign w:val="bottom"/>
          </w:tcPr>
          <w:p>
            <w:pPr>
              <w:pStyle w:val="Compact"/>
              <w:jc w:val="left"/>
            </w:pPr>
            <w:r>
              <w:t xml:space="preserve">Action</w:t>
            </w:r>
          </w:p>
        </w:tc>
      </w:tr>
      <w:tr>
        <w:tc>
          <w:p>
            <w:pPr>
              <w:pStyle w:val="Compact"/>
              <w:jc w:val="left"/>
            </w:pPr>
            <w:r>
              <w:t xml:space="preserve">Persistent warning lights</w:t>
            </w:r>
          </w:p>
        </w:tc>
        <w:tc>
          <w:p>
            <w:pPr>
              <w:pStyle w:val="Compact"/>
              <w:jc w:val="left"/>
            </w:pPr>
            <w:r>
              <w:t xml:space="preserve">High</w:t>
            </w:r>
          </w:p>
        </w:tc>
        <w:tc>
          <w:p>
            <w:pPr>
              <w:pStyle w:val="Compact"/>
              <w:jc w:val="left"/>
            </w:pPr>
            <w:r>
              <w:t xml:space="preserve">Dealer appointment within days</w:t>
            </w:r>
          </w:p>
        </w:tc>
      </w:tr>
      <w:tr>
        <w:tc>
          <w:p>
            <w:pPr>
              <w:pStyle w:val="Compact"/>
              <w:jc w:val="left"/>
            </w:pPr>
            <w:r>
              <w:t xml:space="preserve">Burning smell</w:t>
            </w:r>
          </w:p>
        </w:tc>
        <w:tc>
          <w:p>
            <w:pPr>
              <w:pStyle w:val="Compact"/>
              <w:jc w:val="left"/>
            </w:pPr>
            <w:r>
              <w:t xml:space="preserve">Critical</w:t>
            </w:r>
          </w:p>
        </w:tc>
        <w:tc>
          <w:p>
            <w:pPr>
              <w:pStyle w:val="Compact"/>
              <w:jc w:val="left"/>
            </w:pPr>
            <w:r>
              <w:t xml:space="preserve">Stop immediately, contact support</w:t>
            </w:r>
          </w:p>
        </w:tc>
      </w:tr>
      <w:tr>
        <w:tc>
          <w:p>
            <w:pPr>
              <w:pStyle w:val="Compact"/>
              <w:jc w:val="left"/>
            </w:pPr>
            <w:r>
              <w:t xml:space="preserve">Significant capacity loss</w:t>
            </w:r>
          </w:p>
        </w:tc>
        <w:tc>
          <w:p>
            <w:pPr>
              <w:pStyle w:val="Compact"/>
              <w:jc w:val="left"/>
            </w:pPr>
            <w:r>
              <w:t xml:space="preserve">Medium</w:t>
            </w:r>
          </w:p>
        </w:tc>
        <w:tc>
          <w:p>
            <w:pPr>
              <w:pStyle w:val="Compact"/>
              <w:jc w:val="left"/>
            </w:pPr>
            <w:r>
              <w:t xml:space="preserve">Schedule diagnostic</w:t>
            </w:r>
          </w:p>
        </w:tc>
      </w:tr>
      <w:tr>
        <w:tc>
          <w:p>
            <w:pPr>
              <w:pStyle w:val="Compact"/>
              <w:jc w:val="left"/>
            </w:pPr>
            <w:r>
              <w:t xml:space="preserve">Charging failures</w:t>
            </w:r>
          </w:p>
        </w:tc>
        <w:tc>
          <w:p>
            <w:pPr>
              <w:pStyle w:val="Compact"/>
              <w:jc w:val="left"/>
            </w:pPr>
            <w:r>
              <w:t xml:space="preserve">Medium</w:t>
            </w:r>
          </w:p>
        </w:tc>
        <w:tc>
          <w:p>
            <w:pPr>
              <w:pStyle w:val="Compact"/>
              <w:jc w:val="left"/>
            </w:pPr>
            <w:r>
              <w:t xml:space="preserve">Try multiple chargers, then dealer</w:t>
            </w:r>
          </w:p>
        </w:tc>
      </w:tr>
      <w:tr>
        <w:tc>
          <w:p>
            <w:pPr>
              <w:pStyle w:val="Compact"/>
              <w:jc w:val="left"/>
            </w:pPr>
            <w:r>
              <w:t xml:space="preserve">Unusual noises</w:t>
            </w:r>
          </w:p>
        </w:tc>
        <w:tc>
          <w:p>
            <w:pPr>
              <w:pStyle w:val="Compact"/>
              <w:jc w:val="left"/>
            </w:pPr>
            <w:r>
              <w:t xml:space="preserve">High</w:t>
            </w:r>
          </w:p>
        </w:tc>
        <w:tc>
          <w:p>
            <w:pPr>
              <w:pStyle w:val="Compact"/>
              <w:jc w:val="left"/>
            </w:pPr>
            <w:r>
              <w:t xml:space="preserve">Dealer inspection</w:t>
            </w:r>
          </w:p>
        </w:tc>
      </w:tr>
    </w:tbl>
    <w:p>
      <w:pPr>
        <w:pStyle w:val="Heading2"/>
      </w:pPr>
      <w:bookmarkStart w:id="115" w:name="recovery-guidance"/>
      <w:r>
        <w:t xml:space="preserve">Recovery Guidance</w:t>
      </w:r>
      <w:bookmarkEnd w:id="115"/>
    </w:p>
    <w:p>
      <w:pPr>
        <w:pStyle w:val="Heading3"/>
      </w:pPr>
      <w:bookmarkStart w:id="116" w:name="battery-recalibration"/>
      <w:r>
        <w:t xml:space="preserve">Battery Recalibration</w:t>
      </w:r>
      <w:bookmarkEnd w:id="116"/>
    </w:p>
    <w:p>
      <w:pPr>
        <w:pStyle w:val="FirstParagraph"/>
      </w:pPr>
      <w:r>
        <w:t xml:space="preserve">If range estimates seem inaccurate:</w:t>
      </w:r>
    </w:p>
    <w:p>
      <w:pPr>
        <w:numPr>
          <w:ilvl w:val="0"/>
          <w:numId w:val="1025"/>
        </w:numPr>
        <w:pStyle w:val="Compact"/>
      </w:pPr>
      <w:r>
        <w:t xml:space="preserve">Charge to 100% (overnight, slow charging preferred)</w:t>
      </w:r>
    </w:p>
    <w:p>
      <w:pPr>
        <w:numPr>
          <w:ilvl w:val="0"/>
          <w:numId w:val="1025"/>
        </w:numPr>
        <w:pStyle w:val="Compact"/>
      </w:pPr>
      <w:r>
        <w:t xml:space="preserve">Drive until low battery warning</w:t>
      </w:r>
    </w:p>
    <w:p>
      <w:pPr>
        <w:numPr>
          <w:ilvl w:val="0"/>
          <w:numId w:val="1025"/>
        </w:numPr>
        <w:pStyle w:val="Compact"/>
      </w:pPr>
      <w:r>
        <w:t xml:space="preserve">Charge to 100% again</w:t>
      </w:r>
    </w:p>
    <w:p>
      <w:pPr>
        <w:numPr>
          <w:ilvl w:val="0"/>
          <w:numId w:val="1025"/>
        </w:numPr>
        <w:pStyle w:val="Compact"/>
      </w:pPr>
      <w:r>
        <w:t xml:space="preserve">BMS will recalibrate range estimates</w:t>
      </w:r>
    </w:p>
    <w:p>
      <w:pPr>
        <w:pStyle w:val="Heading3"/>
      </w:pPr>
      <w:bookmarkStart w:id="117" w:name="after-extended-storage"/>
      <w:r>
        <w:t xml:space="preserve">After Extended Storage</w:t>
      </w:r>
      <w:bookmarkEnd w:id="117"/>
    </w:p>
    <w:p>
      <w:pPr>
        <w:pStyle w:val="FirstParagraph"/>
      </w:pPr>
      <w:r>
        <w:t xml:space="preserve">If vehicle sat unused for extended period:</w:t>
      </w:r>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Action Required</w:t>
            </w:r>
          </w:p>
        </w:tc>
      </w:tr>
      <w:tr>
        <w:tc>
          <w:p>
            <w:pPr>
              <w:pStyle w:val="Compact"/>
              <w:jc w:val="left"/>
            </w:pPr>
            <w:r>
              <w:t xml:space="preserve">2-4 weeks</w:t>
            </w:r>
          </w:p>
        </w:tc>
        <w:tc>
          <w:p>
            <w:pPr>
              <w:pStyle w:val="Compact"/>
              <w:jc w:val="left"/>
            </w:pPr>
            <w:r>
              <w:t xml:space="preserve">Normal restart, check SoC</w:t>
            </w:r>
          </w:p>
        </w:tc>
      </w:tr>
      <w:tr>
        <w:tc>
          <w:p>
            <w:pPr>
              <w:pStyle w:val="Compact"/>
              <w:jc w:val="left"/>
            </w:pPr>
            <w:r>
              <w:t xml:space="preserve">1-3 months</w:t>
            </w:r>
          </w:p>
        </w:tc>
        <w:tc>
          <w:p>
            <w:pPr>
              <w:pStyle w:val="Compact"/>
              <w:jc w:val="left"/>
            </w:pPr>
            <w:r>
              <w:t xml:space="preserve">Slow charge to 50%, check systems</w:t>
            </w:r>
          </w:p>
        </w:tc>
      </w:tr>
      <w:tr>
        <w:tc>
          <w:p>
            <w:pPr>
              <w:pStyle w:val="Compact"/>
              <w:jc w:val="left"/>
            </w:pPr>
            <w:r>
              <w:t xml:space="preserve">3+ months</w:t>
            </w:r>
          </w:p>
        </w:tc>
        <w:tc>
          <w:p>
            <w:pPr>
              <w:pStyle w:val="Compact"/>
              <w:jc w:val="left"/>
            </w:pPr>
            <w:r>
              <w:t xml:space="preserve">Dealer inspection recommended</w:t>
            </w:r>
          </w:p>
        </w:tc>
      </w:tr>
    </w:tbl>
    <w:p>
      <w:pPr>
        <w:pStyle w:val="Heading1"/>
      </w:pPr>
      <w:bookmarkStart w:id="118" w:name="sustainability-and-recycling"/>
      <w:r>
        <w:t xml:space="preserve">Sustainability and Recycling</w:t>
      </w:r>
      <w:bookmarkEnd w:id="118"/>
    </w:p>
    <w:p>
      <w:pPr>
        <w:pStyle w:val="Heading2"/>
      </w:pPr>
      <w:bookmarkStart w:id="119" w:name="end-of-life-considerations"/>
      <w:r>
        <w:t xml:space="preserve">End-of-Life Considerations</w:t>
      </w:r>
      <w:bookmarkEnd w:id="119"/>
    </w:p>
    <w:p>
      <w:pPr>
        <w:pStyle w:val="Heading3"/>
      </w:pPr>
      <w:bookmarkStart w:id="120" w:name="battery-lifespan"/>
      <w:r>
        <w:t xml:space="preserve">Battery Lifespan</w:t>
      </w:r>
      <w:bookmarkEnd w:id="120"/>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Chemistry</w:t>
            </w:r>
          </w:p>
        </w:tc>
        <w:tc>
          <w:tcPr>
            <w:tcBorders>
              <w:bottom w:val="single"/>
            </w:tcBorders>
            <w:vAlign w:val="bottom"/>
          </w:tcPr>
          <w:p>
            <w:pPr>
              <w:pStyle w:val="Compact"/>
              <w:jc w:val="left"/>
            </w:pPr>
            <w:r>
              <w:t xml:space="preserve">Expected Vehicle Life</w:t>
            </w:r>
          </w:p>
        </w:tc>
        <w:tc>
          <w:tcPr>
            <w:tcBorders>
              <w:bottom w:val="single"/>
            </w:tcBorders>
            <w:vAlign w:val="bottom"/>
          </w:tcPr>
          <w:p>
            <w:pPr>
              <w:pStyle w:val="Compact"/>
              <w:jc w:val="left"/>
            </w:pPr>
            <w:r>
              <w:t xml:space="preserve">Second-Life Potential</w:t>
            </w:r>
          </w:p>
        </w:tc>
      </w:tr>
      <w:tr>
        <w:tc>
          <w:p>
            <w:pPr>
              <w:pStyle w:val="Compact"/>
              <w:jc w:val="left"/>
            </w:pPr>
            <w:r>
              <w:t xml:space="preserve">LFP</w:t>
            </w:r>
          </w:p>
        </w:tc>
        <w:tc>
          <w:p>
            <w:pPr>
              <w:pStyle w:val="Compact"/>
              <w:jc w:val="left"/>
            </w:pPr>
            <w:r>
              <w:t xml:space="preserve">15-20 years</w:t>
            </w:r>
          </w:p>
        </w:tc>
        <w:tc>
          <w:p>
            <w:pPr>
              <w:pStyle w:val="Compact"/>
              <w:jc w:val="left"/>
            </w:pPr>
            <w:r>
              <w:t xml:space="preserve">10+ additional years</w:t>
            </w:r>
          </w:p>
        </w:tc>
      </w:tr>
      <w:tr>
        <w:tc>
          <w:p>
            <w:pPr>
              <w:pStyle w:val="Compact"/>
              <w:jc w:val="left"/>
            </w:pPr>
            <w:r>
              <w:t xml:space="preserve">NMC</w:t>
            </w:r>
          </w:p>
        </w:tc>
        <w:tc>
          <w:p>
            <w:pPr>
              <w:pStyle w:val="Compact"/>
              <w:jc w:val="left"/>
            </w:pPr>
            <w:r>
              <w:t xml:space="preserve">10-15 years</w:t>
            </w:r>
          </w:p>
        </w:tc>
        <w:tc>
          <w:p>
            <w:pPr>
              <w:pStyle w:val="Compact"/>
              <w:jc w:val="left"/>
            </w:pPr>
            <w:r>
              <w:t xml:space="preserve">5-10 additional years</w:t>
            </w:r>
          </w:p>
        </w:tc>
      </w:tr>
      <w:tr>
        <w:tc>
          <w:p>
            <w:pPr>
              <w:pStyle w:val="Compact"/>
              <w:jc w:val="left"/>
            </w:pPr>
            <w:r>
              <w:t xml:space="preserve">Solid-State</w:t>
            </w:r>
          </w:p>
        </w:tc>
        <w:tc>
          <w:p>
            <w:pPr>
              <w:pStyle w:val="Compact"/>
              <w:jc w:val="left"/>
            </w:pPr>
            <w:r>
              <w:t xml:space="preserve">15-25 years (projected)</w:t>
            </w:r>
          </w:p>
        </w:tc>
        <w:tc>
          <w:p>
            <w:pPr>
              <w:pStyle w:val="Compact"/>
              <w:jc w:val="left"/>
            </w:pPr>
            <w:r>
              <w:t xml:space="preserve">Extended potential</w:t>
            </w:r>
          </w:p>
        </w:tc>
      </w:tr>
    </w:tbl>
    <w:p>
      <w:pPr>
        <w:pStyle w:val="Heading3"/>
      </w:pPr>
      <w:bookmarkStart w:id="121" w:name="second-life-applications"/>
      <w:r>
        <w:t xml:space="preserve">Second-Life Applications</w:t>
      </w:r>
      <w:bookmarkEnd w:id="121"/>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Application</w:t>
            </w:r>
          </w:p>
        </w:tc>
        <w:tc>
          <w:tcPr>
            <w:tcBorders>
              <w:bottom w:val="single"/>
            </w:tcBorders>
            <w:vAlign w:val="bottom"/>
          </w:tcPr>
          <w:p>
            <w:pPr>
              <w:pStyle w:val="Compact"/>
              <w:jc w:val="left"/>
            </w:pPr>
            <w:r>
              <w:t xml:space="preserve">Requirements</w:t>
            </w:r>
          </w:p>
        </w:tc>
        <w:tc>
          <w:tcPr>
            <w:tcBorders>
              <w:bottom w:val="single"/>
            </w:tcBorders>
            <w:vAlign w:val="bottom"/>
          </w:tcPr>
          <w:p>
            <w:pPr>
              <w:pStyle w:val="Compact"/>
              <w:jc w:val="left"/>
            </w:pPr>
            <w:r>
              <w:t xml:space="preserve">Typical Duration</w:t>
            </w:r>
          </w:p>
        </w:tc>
      </w:tr>
      <w:tr>
        <w:tc>
          <w:p>
            <w:pPr>
              <w:pStyle w:val="Compact"/>
              <w:jc w:val="left"/>
            </w:pPr>
            <w:r>
              <w:t xml:space="preserve">Stationary storage</w:t>
            </w:r>
          </w:p>
        </w:tc>
        <w:tc>
          <w:p>
            <w:pPr>
              <w:pStyle w:val="Compact"/>
              <w:jc w:val="left"/>
            </w:pPr>
            <w:r>
              <w:t xml:space="preserve">60-80% SoH</w:t>
            </w:r>
          </w:p>
        </w:tc>
        <w:tc>
          <w:p>
            <w:pPr>
              <w:pStyle w:val="Compact"/>
              <w:jc w:val="left"/>
            </w:pPr>
            <w:r>
              <w:t xml:space="preserve">5-15 years</w:t>
            </w:r>
          </w:p>
        </w:tc>
      </w:tr>
      <w:tr>
        <w:tc>
          <w:p>
            <w:pPr>
              <w:pStyle w:val="Compact"/>
              <w:jc w:val="left"/>
            </w:pPr>
            <w:r>
              <w:t xml:space="preserve">Commercial backup</w:t>
            </w:r>
          </w:p>
        </w:tc>
        <w:tc>
          <w:p>
            <w:pPr>
              <w:pStyle w:val="Compact"/>
              <w:jc w:val="left"/>
            </w:pPr>
            <w:r>
              <w:t xml:space="preserve">70%+ SoH</w:t>
            </w:r>
          </w:p>
        </w:tc>
        <w:tc>
          <w:p>
            <w:pPr>
              <w:pStyle w:val="Compact"/>
              <w:jc w:val="left"/>
            </w:pPr>
            <w:r>
              <w:t xml:space="preserve">5-10 years</w:t>
            </w:r>
          </w:p>
        </w:tc>
      </w:tr>
      <w:tr>
        <w:tc>
          <w:p>
            <w:pPr>
              <w:pStyle w:val="Compact"/>
              <w:jc w:val="left"/>
            </w:pPr>
            <w:r>
              <w:t xml:space="preserve">Grid services</w:t>
            </w:r>
          </w:p>
        </w:tc>
        <w:tc>
          <w:p>
            <w:pPr>
              <w:pStyle w:val="Compact"/>
              <w:jc w:val="left"/>
            </w:pPr>
            <w:r>
              <w:t xml:space="preserve">60%+ SoH</w:t>
            </w:r>
          </w:p>
        </w:tc>
        <w:tc>
          <w:p>
            <w:pPr>
              <w:pStyle w:val="Compact"/>
              <w:jc w:val="left"/>
            </w:pPr>
            <w:r>
              <w:t xml:space="preserve">10+ years</w:t>
            </w:r>
          </w:p>
        </w:tc>
      </w:tr>
    </w:tbl>
    <w:p>
      <w:pPr>
        <w:pStyle w:val="Heading2"/>
      </w:pPr>
      <w:bookmarkStart w:id="122" w:name="recycling-technologies"/>
      <w:r>
        <w:t xml:space="preserve">Recycling Technologies</w:t>
      </w:r>
      <w:bookmarkEnd w:id="122"/>
    </w:p>
    <w:p>
      <w:pPr>
        <w:pStyle w:val="Heading3"/>
      </w:pPr>
      <w:bookmarkStart w:id="123" w:name="current-approaches"/>
      <w:r>
        <w:t xml:space="preserve">Current Approaches</w:t>
      </w:r>
      <w:bookmarkEnd w:id="123"/>
    </w:p>
    <w:tbl>
      <w:tblPr>
        <w:tblStyle w:val="Table"/>
        <w:tblW w:type="pct" w:w="50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8"/>
        <w:gridCol w:w="1697"/>
        <w:gridCol w:w="2828"/>
        <w:gridCol w:w="1885"/>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Process</w:t>
            </w:r>
          </w:p>
        </w:tc>
        <w:tc>
          <w:tcPr>
            <w:tcBorders>
              <w:bottom w:val="single"/>
            </w:tcBorders>
            <w:vAlign w:val="bottom"/>
          </w:tcPr>
          <w:p>
            <w:pPr>
              <w:pStyle w:val="Compact"/>
              <w:jc w:val="left"/>
            </w:pPr>
            <w:r>
              <w:t xml:space="preserve">Recovery Rate</w:t>
            </w:r>
          </w:p>
        </w:tc>
        <w:tc>
          <w:tcPr>
            <w:tcBorders>
              <w:bottom w:val="single"/>
            </w:tcBorders>
            <w:vAlign w:val="bottom"/>
          </w:tcPr>
          <w:p>
            <w:pPr>
              <w:pStyle w:val="Compact"/>
              <w:jc w:val="left"/>
            </w:pPr>
            <w:r>
              <w:t xml:space="preserve">Best For</w:t>
            </w:r>
          </w:p>
        </w:tc>
      </w:tr>
      <w:tr>
        <w:tc>
          <w:p>
            <w:pPr>
              <w:pStyle w:val="Compact"/>
              <w:jc w:val="left"/>
            </w:pPr>
            <w:r>
              <w:t xml:space="preserve">Pyrometallurgy</w:t>
            </w:r>
          </w:p>
        </w:tc>
        <w:tc>
          <w:p>
            <w:pPr>
              <w:pStyle w:val="Compact"/>
              <w:jc w:val="left"/>
            </w:pPr>
            <w:r>
              <w:t xml:space="preserve">High-temperature smelting</w:t>
            </w:r>
          </w:p>
        </w:tc>
        <w:tc>
          <w:p>
            <w:pPr>
              <w:pStyle w:val="Compact"/>
              <w:jc w:val="left"/>
            </w:pPr>
            <w:r>
              <w:t xml:space="preserve">40-60%</w:t>
            </w:r>
          </w:p>
        </w:tc>
        <w:tc>
          <w:p>
            <w:pPr>
              <w:pStyle w:val="Compact"/>
              <w:jc w:val="left"/>
            </w:pPr>
            <w:r>
              <w:t xml:space="preserve">NMC (cobalt/nickel recovery)</w:t>
            </w:r>
          </w:p>
        </w:tc>
      </w:tr>
      <w:tr>
        <w:tc>
          <w:p>
            <w:pPr>
              <w:pStyle w:val="Compact"/>
              <w:jc w:val="left"/>
            </w:pPr>
            <w:r>
              <w:t xml:space="preserve">Hydrometallurgy</w:t>
            </w:r>
          </w:p>
        </w:tc>
        <w:tc>
          <w:p>
            <w:pPr>
              <w:pStyle w:val="Compact"/>
              <w:jc w:val="left"/>
            </w:pPr>
            <w:r>
              <w:t xml:space="preserve">Chemical leaching</w:t>
            </w:r>
          </w:p>
        </w:tc>
        <w:tc>
          <w:p>
            <w:pPr>
              <w:pStyle w:val="Compact"/>
              <w:jc w:val="left"/>
            </w:pPr>
            <w:r>
              <w:t xml:space="preserve">70-90%</w:t>
            </w:r>
          </w:p>
        </w:tc>
        <w:tc>
          <w:p>
            <w:pPr>
              <w:pStyle w:val="Compact"/>
              <w:jc w:val="left"/>
            </w:pPr>
            <w:r>
              <w:t xml:space="preserve">Most chemistries</w:t>
            </w:r>
          </w:p>
        </w:tc>
      </w:tr>
      <w:tr>
        <w:tc>
          <w:p>
            <w:pPr>
              <w:pStyle w:val="Compact"/>
              <w:jc w:val="left"/>
            </w:pPr>
            <w:r>
              <w:t xml:space="preserve">Direct Recycling</w:t>
            </w:r>
          </w:p>
        </w:tc>
        <w:tc>
          <w:p>
            <w:pPr>
              <w:pStyle w:val="Compact"/>
              <w:jc w:val="left"/>
            </w:pPr>
            <w:r>
              <w:t xml:space="preserve">Cathode restoration</w:t>
            </w:r>
          </w:p>
        </w:tc>
        <w:tc>
          <w:p>
            <w:pPr>
              <w:pStyle w:val="Compact"/>
              <w:jc w:val="left"/>
            </w:pPr>
            <w:r>
              <w:t xml:space="preserve">90%+</w:t>
            </w:r>
          </w:p>
        </w:tc>
        <w:tc>
          <w:p>
            <w:pPr>
              <w:pStyle w:val="Compact"/>
              <w:jc w:val="left"/>
            </w:pPr>
            <w:r>
              <w:t xml:space="preserve">LFP, promising for all</w:t>
            </w:r>
          </w:p>
        </w:tc>
      </w:tr>
    </w:tbl>
    <w:p>
      <w:pPr>
        <w:pStyle w:val="Heading3"/>
      </w:pPr>
      <w:bookmarkStart w:id="124" w:name="the-lfp-recycling-challenge"/>
      <w:r>
        <w:t xml:space="preserve">The LFP Recycling Challenge</w:t>
      </w:r>
      <w:bookmarkEnd w:id="124"/>
    </w:p>
    <w:p>
      <w:pPr>
        <w:pStyle w:val="FirstParagraph"/>
      </w:pPr>
      <w:r>
        <w:t xml:space="preserve">LFP batteries present unique recycling economics:</w:t>
      </w:r>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NMC Battery</w:t>
            </w:r>
          </w:p>
        </w:tc>
        <w:tc>
          <w:tcPr>
            <w:tcBorders>
              <w:bottom w:val="single"/>
            </w:tcBorders>
            <w:vAlign w:val="bottom"/>
          </w:tcPr>
          <w:p>
            <w:pPr>
              <w:pStyle w:val="Compact"/>
              <w:jc w:val="left"/>
            </w:pPr>
            <w:r>
              <w:t xml:space="preserve">LFP Battery</w:t>
            </w:r>
          </w:p>
        </w:tc>
      </w:tr>
      <w:tr>
        <w:tc>
          <w:p>
            <w:pPr>
              <w:pStyle w:val="Compact"/>
              <w:jc w:val="left"/>
            </w:pPr>
            <w:r>
              <w:t xml:space="preserve">Material value</w:t>
            </w:r>
          </w:p>
        </w:tc>
        <w:tc>
          <w:p>
            <w:pPr>
              <w:pStyle w:val="Compact"/>
              <w:jc w:val="left"/>
            </w:pPr>
            <w:r>
              <w:t xml:space="preserve">High (Co, Ni)</w:t>
            </w:r>
          </w:p>
        </w:tc>
        <w:tc>
          <w:p>
            <w:pPr>
              <w:pStyle w:val="Compact"/>
              <w:jc w:val="left"/>
            </w:pPr>
            <w:r>
              <w:t xml:space="preserve">Low (Fe, P)</w:t>
            </w:r>
          </w:p>
        </w:tc>
      </w:tr>
      <w:tr>
        <w:tc>
          <w:p>
            <w:pPr>
              <w:pStyle w:val="Compact"/>
              <w:jc w:val="left"/>
            </w:pPr>
            <w:r>
              <w:t xml:space="preserve">Recycling cost</w:t>
            </w:r>
          </w:p>
        </w:tc>
        <w:tc>
          <w:p>
            <w:pPr>
              <w:pStyle w:val="Compact"/>
              <w:jc w:val="left"/>
            </w:pPr>
            <w:r>
              <w:t xml:space="preserve">Economically viable</w:t>
            </w:r>
          </w:p>
        </w:tc>
        <w:tc>
          <w:p>
            <w:pPr>
              <w:pStyle w:val="Compact"/>
              <w:jc w:val="left"/>
            </w:pPr>
            <w:r>
              <w:t xml:space="preserve">Often exceeds value</w:t>
            </w:r>
          </w:p>
        </w:tc>
      </w:tr>
      <w:tr>
        <w:tc>
          <w:p>
            <w:pPr>
              <w:pStyle w:val="Compact"/>
              <w:jc w:val="left"/>
            </w:pPr>
            <w:r>
              <w:t xml:space="preserve">Current solution</w:t>
            </w:r>
          </w:p>
        </w:tc>
        <w:tc>
          <w:p>
            <w:pPr>
              <w:pStyle w:val="Compact"/>
              <w:jc w:val="left"/>
            </w:pPr>
            <w:r>
              <w:t xml:space="preserve">Established processes</w:t>
            </w:r>
          </w:p>
        </w:tc>
        <w:tc>
          <w:p>
            <w:pPr>
              <w:pStyle w:val="Compact"/>
              <w:jc w:val="left"/>
            </w:pPr>
            <w:r>
              <w:t xml:space="preserve">Direct recycling development</w:t>
            </w:r>
          </w:p>
        </w:tc>
      </w:tr>
    </w:tbl>
    <w:p>
      <w:pPr>
        <w:pStyle w:val="Heading3"/>
      </w:pPr>
      <w:bookmarkStart w:id="125" w:name="regulatory-framework"/>
      <w:r>
        <w:t xml:space="preserve">Regulatory Framework</w:t>
      </w:r>
      <w:bookmarkEnd w:id="125"/>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Region</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Timeline</w:t>
            </w:r>
          </w:p>
        </w:tc>
      </w:tr>
      <w:tr>
        <w:tc>
          <w:p>
            <w:pPr>
              <w:pStyle w:val="Compact"/>
              <w:jc w:val="left"/>
            </w:pPr>
            <w:r>
              <w:t xml:space="preserve">EU Battery Regulation</w:t>
            </w:r>
          </w:p>
        </w:tc>
        <w:tc>
          <w:p>
            <w:pPr>
              <w:pStyle w:val="Compact"/>
              <w:jc w:val="left"/>
            </w:pPr>
            <w:r>
              <w:t xml:space="preserve">Battery Passport</w:t>
            </w:r>
          </w:p>
        </w:tc>
        <w:tc>
          <w:p>
            <w:pPr>
              <w:pStyle w:val="Compact"/>
              <w:jc w:val="left"/>
            </w:pPr>
            <w:r>
              <w:t xml:space="preserve">2027</w:t>
            </w:r>
          </w:p>
        </w:tc>
      </w:tr>
      <w:tr>
        <w:tc>
          <w:p>
            <w:pPr>
              <w:pStyle w:val="Compact"/>
              <w:jc w:val="left"/>
            </w:pPr>
            <w:r>
              <w:t xml:space="preserve">EU Recovery Targets</w:t>
            </w:r>
          </w:p>
        </w:tc>
        <w:tc>
          <w:p>
            <w:pPr>
              <w:pStyle w:val="Compact"/>
              <w:jc w:val="left"/>
            </w:pPr>
            <w:r>
              <w:t xml:space="preserve">50% lithium recovery</w:t>
            </w:r>
          </w:p>
        </w:tc>
        <w:tc>
          <w:p>
            <w:pPr>
              <w:pStyle w:val="Compact"/>
              <w:jc w:val="left"/>
            </w:pPr>
            <w:r>
              <w:t xml:space="preserve">2027</w:t>
            </w:r>
          </w:p>
        </w:tc>
      </w:tr>
      <w:tr>
        <w:tc>
          <w:p>
            <w:pPr>
              <w:pStyle w:val="Compact"/>
              <w:jc w:val="left"/>
            </w:pPr>
            <w:r>
              <w:t xml:space="preserve">EU Recovery Targets</w:t>
            </w:r>
          </w:p>
        </w:tc>
        <w:tc>
          <w:p>
            <w:pPr>
              <w:pStyle w:val="Compact"/>
              <w:jc w:val="left"/>
            </w:pPr>
            <w:r>
              <w:t xml:space="preserve">80% lithium recovery</w:t>
            </w:r>
          </w:p>
        </w:tc>
        <w:tc>
          <w:p>
            <w:pPr>
              <w:pStyle w:val="Compact"/>
              <w:jc w:val="left"/>
            </w:pPr>
            <w:r>
              <w:t xml:space="preserve">2031</w:t>
            </w:r>
          </w:p>
        </w:tc>
      </w:tr>
      <w:tr>
        <w:tc>
          <w:p>
            <w:pPr>
              <w:pStyle w:val="Compact"/>
              <w:jc w:val="left"/>
            </w:pPr>
            <w:r>
              <w:t xml:space="preserve">US Inflation Reduction Act</w:t>
            </w:r>
          </w:p>
        </w:tc>
        <w:tc>
          <w:p>
            <w:pPr>
              <w:pStyle w:val="Compact"/>
              <w:jc w:val="left"/>
            </w:pPr>
            <w:r>
              <w:t xml:space="preserve">Domestic recycling incentives</w:t>
            </w:r>
          </w:p>
        </w:tc>
        <w:tc>
          <w:p>
            <w:pPr>
              <w:pStyle w:val="Compact"/>
              <w:jc w:val="left"/>
            </w:pPr>
            <w:r>
              <w:t xml:space="preserve">Active</w:t>
            </w:r>
          </w:p>
        </w:tc>
      </w:tr>
      <w:tr>
        <w:tc>
          <w:p>
            <w:pPr>
              <w:pStyle w:val="Compact"/>
              <w:jc w:val="left"/>
            </w:pPr>
            <w:r>
              <w:t xml:space="preserve">China</w:t>
            </w:r>
          </w:p>
        </w:tc>
        <w:tc>
          <w:p>
            <w:pPr>
              <w:pStyle w:val="Compact"/>
              <w:jc w:val="left"/>
            </w:pPr>
            <w:r>
              <w:t xml:space="preserve">Extended producer responsibility</w:t>
            </w:r>
          </w:p>
        </w:tc>
        <w:tc>
          <w:p>
            <w:pPr>
              <w:pStyle w:val="Compact"/>
              <w:jc w:val="left"/>
            </w:pPr>
            <w:r>
              <w:t xml:space="preserve">Active</w:t>
            </w:r>
          </w:p>
        </w:tc>
      </w:tr>
    </w:tbl>
    <w:p>
      <w:pPr>
        <w:pStyle w:val="Heading2"/>
      </w:pPr>
      <w:bookmarkStart w:id="126" w:name="responsible-disposal"/>
      <w:r>
        <w:t xml:space="preserve">Responsible Disposal</w:t>
      </w:r>
      <w:bookmarkEnd w:id="126"/>
    </w:p>
    <w:p>
      <w:pPr>
        <w:pStyle w:val="Heading3"/>
      </w:pPr>
      <w:bookmarkStart w:id="127" w:name="steps-for-battery-end-of-life"/>
      <w:r>
        <w:t xml:space="preserve">Steps for Battery End-of-Life</w:t>
      </w:r>
      <w:bookmarkEnd w:id="127"/>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Contact</w:t>
            </w:r>
          </w:p>
        </w:tc>
      </w:tr>
      <w:tr>
        <w:tc>
          <w:p>
            <w:pPr>
              <w:pStyle w:val="Compact"/>
              <w:jc w:val="left"/>
            </w:pPr>
            <w:r>
              <w:t xml:space="preserve">1</w:t>
            </w:r>
          </w:p>
        </w:tc>
        <w:tc>
          <w:p>
            <w:pPr>
              <w:pStyle w:val="Compact"/>
              <w:jc w:val="left"/>
            </w:pPr>
            <w:r>
              <w:t xml:space="preserve">Contact vehicle manufacturer</w:t>
            </w:r>
          </w:p>
        </w:tc>
        <w:tc>
          <w:p>
            <w:pPr>
              <w:pStyle w:val="Compact"/>
              <w:jc w:val="left"/>
            </w:pPr>
            <w:r>
              <w:t xml:space="preserve">Dealer or customer service</w:t>
            </w:r>
          </w:p>
        </w:tc>
      </w:tr>
      <w:tr>
        <w:tc>
          <w:p>
            <w:pPr>
              <w:pStyle w:val="Compact"/>
              <w:jc w:val="left"/>
            </w:pPr>
            <w:r>
              <w:t xml:space="preserve">2</w:t>
            </w:r>
          </w:p>
        </w:tc>
        <w:tc>
          <w:p>
            <w:pPr>
              <w:pStyle w:val="Compact"/>
              <w:jc w:val="left"/>
            </w:pPr>
            <w:r>
              <w:t xml:space="preserve">Inquire about take-back programs</w:t>
            </w:r>
          </w:p>
        </w:tc>
        <w:tc>
          <w:p>
            <w:pPr>
              <w:pStyle w:val="Compact"/>
              <w:jc w:val="left"/>
            </w:pPr>
            <w:r>
              <w:t xml:space="preserve">OEM recycling program</w:t>
            </w:r>
          </w:p>
        </w:tc>
      </w:tr>
      <w:tr>
        <w:tc>
          <w:p>
            <w:pPr>
              <w:pStyle w:val="Compact"/>
              <w:jc w:val="left"/>
            </w:pPr>
            <w:r>
              <w:t xml:space="preserve">3</w:t>
            </w:r>
          </w:p>
        </w:tc>
        <w:tc>
          <w:p>
            <w:pPr>
              <w:pStyle w:val="Compact"/>
              <w:jc w:val="left"/>
            </w:pPr>
            <w:r>
              <w:t xml:space="preserve">Locate certified recyclers</w:t>
            </w:r>
          </w:p>
        </w:tc>
        <w:tc>
          <w:p>
            <w:pPr>
              <w:pStyle w:val="Compact"/>
              <w:jc w:val="left"/>
            </w:pPr>
            <w:r>
              <w:t xml:space="preserve">Battery recycling associations</w:t>
            </w:r>
          </w:p>
        </w:tc>
      </w:tr>
      <w:tr>
        <w:tc>
          <w:p>
            <w:pPr>
              <w:pStyle w:val="Compact"/>
              <w:jc w:val="left"/>
            </w:pPr>
            <w:r>
              <w:t xml:space="preserve">4</w:t>
            </w:r>
          </w:p>
        </w:tc>
        <w:tc>
          <w:p>
            <w:pPr>
              <w:pStyle w:val="Compact"/>
              <w:jc w:val="left"/>
            </w:pPr>
            <w:r>
              <w:t xml:space="preserve">Never dispose in regular waste</w:t>
            </w:r>
          </w:p>
        </w:tc>
        <w:tc>
          <w:p>
            <w:pPr>
              <w:pStyle w:val="Compact"/>
              <w:jc w:val="left"/>
            </w:pPr>
            <w:r>
              <w:t xml:space="preserve">Illegal in most jurisdictions</w:t>
            </w:r>
          </w:p>
        </w:tc>
      </w:tr>
    </w:tbl>
    <w:p>
      <w:pPr>
        <w:pStyle w:val="Heading1"/>
      </w:pPr>
      <w:bookmarkStart w:id="128" w:name="faqs"/>
      <w:r>
        <w:t xml:space="preserve">FAQs</w:t>
      </w:r>
      <w:bookmarkEnd w:id="128"/>
    </w:p>
    <w:p>
      <w:pPr>
        <w:pStyle w:val="Heading2"/>
      </w:pPr>
      <w:bookmarkStart w:id="129" w:name="general-questions"/>
      <w:r>
        <w:t xml:space="preserve">General Questions</w:t>
      </w:r>
      <w:bookmarkEnd w:id="129"/>
    </w:p>
    <w:p>
      <w:pPr>
        <w:pStyle w:val="FirstParagraph"/>
      </w:pPr>
      <w:r>
        <w:rPr>
          <w:b/>
        </w:rPr>
        <w:t xml:space="preserve">Q: How long will future EV batteries last?</w:t>
      </w:r>
    </w:p>
    <w:p>
      <w:pPr>
        <w:pStyle w:val="BodyText"/>
      </w:pPr>
      <w:r>
        <w:t xml:space="preserve">A: Next-generation batteries are expected to last 10-15 years or more in vehicle applications. LFP batteries routinely exceed 3,000 charge cycles before reaching 80% capacity, while solid-state batteries target 5,000+ cycles. After vehicle use, batteries often continue in stationary storage applications for another 10-15 years.</w:t>
      </w:r>
    </w:p>
    <w:p>
      <w:pPr>
        <w:pStyle w:val="BodyText"/>
      </w:pPr>
      <w:r>
        <w:rPr>
          <w:b/>
        </w:rPr>
        <w:t xml:space="preserve">Q: Are new battery chemistries safe?</w:t>
      </w:r>
    </w:p>
    <w:p>
      <w:pPr>
        <w:pStyle w:val="BodyText"/>
      </w:pPr>
      <w:r>
        <w:t xml:space="preserve">A: Yes, emerging battery technologies prioritize safety improvements. LFP batteries are inherently more thermally stable than NMC, while solid-state batteries eliminate flammable liquid electrolytes entirely. Modern battery management systems provide multiple layers of protection against thermal runaway.</w:t>
      </w:r>
    </w:p>
    <w:p>
      <w:pPr>
        <w:pStyle w:val="BodyText"/>
      </w:pPr>
      <w:r>
        <w:rPr>
          <w:b/>
        </w:rPr>
        <w:t xml:space="preserve">Q: Will I need to upgrade my EV for new batteries?</w:t>
      </w:r>
    </w:p>
    <w:p>
      <w:pPr>
        <w:pStyle w:val="BodyText"/>
      </w:pPr>
      <w:r>
        <w:t xml:space="preserve">A: Most battery improvements come in new vehicle models. However, some benefits reach existing owners through software updates that improve battery management algorithms. Retrofit battery upgrades are generally not available due to structural integration, though some manufacturers may offer replacement packs with improved chemistries.</w:t>
      </w:r>
    </w:p>
    <w:p>
      <w:pPr>
        <w:pStyle w:val="BodyText"/>
      </w:pPr>
      <w:r>
        <w:rPr>
          <w:b/>
        </w:rPr>
        <w:t xml:space="preserve">Q: How can I recycle my old EV battery?</w:t>
      </w:r>
    </w:p>
    <w:p>
      <w:pPr>
        <w:pStyle w:val="BodyText"/>
      </w:pPr>
      <w:r>
        <w:t xml:space="preserve">A: Contact your vehicle manufacturer for take-back programs or certified recycling partners. Many automakers have established recycling networks. Never dispose of EV batteries in regular waste—they contain valuable materials and require specialized handling.</w:t>
      </w:r>
    </w:p>
    <w:p>
      <w:pPr>
        <w:pStyle w:val="Heading2"/>
      </w:pPr>
      <w:bookmarkStart w:id="130" w:name="technology-questions"/>
      <w:r>
        <w:t xml:space="preserve">Technology Questions</w:t>
      </w:r>
      <w:bookmarkEnd w:id="130"/>
    </w:p>
    <w:p>
      <w:pPr>
        <w:pStyle w:val="FirstParagraph"/>
      </w:pPr>
      <w:r>
        <w:rPr>
          <w:b/>
        </w:rPr>
        <w:t xml:space="preserve">Q: What is solid-state battery technology?</w:t>
      </w:r>
    </w:p>
    <w:p>
      <w:pPr>
        <w:pStyle w:val="BodyText"/>
      </w:pPr>
      <w:r>
        <w:t xml:space="preserve">A: Solid-state batteries replace the liquid electrolyte in conventional lithium-ion batteries with a solid material (ceramic, glass, or polymer). This enables higher energy density, faster charging, improved safety, and longer life. Commercial availability for EVs is expected between 2027-2030.</w:t>
      </w:r>
    </w:p>
    <w:p>
      <w:pPr>
        <w:pStyle w:val="BodyText"/>
      </w:pPr>
      <w:r>
        <w:rPr>
          <w:b/>
        </w:rPr>
        <w:t xml:space="preserve">Q: Why is LFP becoming so popular?</w:t>
      </w:r>
    </w:p>
    <w:p>
      <w:pPr>
        <w:pStyle w:val="BodyText"/>
      </w:pPr>
      <w:r>
        <w:t xml:space="preserve">A: LFP offers compelling advantages: lower cost (no cobalt or nickel), excellent safety (thermal stability), superior longevity (3,000-5,000 cycles), and good performance for most daily driving needs. The energy density gap with NMC is narrowing with Cell-to-Pack designs.</w:t>
      </w:r>
    </w:p>
    <w:p>
      <w:pPr>
        <w:pStyle w:val="BodyText"/>
      </w:pPr>
      <w:r>
        <w:rPr>
          <w:b/>
        </w:rPr>
        <w:t xml:space="preserve">Q: What is a Battery Passport?</w:t>
      </w:r>
    </w:p>
    <w:p>
      <w:pPr>
        <w:pStyle w:val="BodyText"/>
      </w:pPr>
      <w:r>
        <w:t xml:space="preserve">A: Required by EU regulations starting 2027, a Battery Passport is a digital record containing a battery’s complete history including chemistry, capacity, manufacturing data, repair history, and degradation status. It enables better recycling decisions and supports the circular economy.</w:t>
      </w:r>
    </w:p>
    <w:p>
      <w:pPr>
        <w:pStyle w:val="Heading2"/>
      </w:pPr>
      <w:bookmarkStart w:id="131" w:name="practical-questions"/>
      <w:r>
        <w:t xml:space="preserve">Practical Questions</w:t>
      </w:r>
      <w:bookmarkEnd w:id="131"/>
    </w:p>
    <w:p>
      <w:pPr>
        <w:pStyle w:val="FirstParagraph"/>
      </w:pPr>
      <w:r>
        <w:rPr>
          <w:b/>
        </w:rPr>
        <w:t xml:space="preserve">Q: Should I charge to 100% daily?</w:t>
      </w:r>
    </w:p>
    <w:p>
      <w:pPr>
        <w:pStyle w:val="BodyText"/>
      </w:pPr>
      <w:r>
        <w:t xml:space="preserve">A: For most daily use, charging to 80% is recommended to minimize battery stress. Reserve 100% charging for long trips when maximum range is needed. Modern EVs allow you to set charge limits easily.</w:t>
      </w:r>
    </w:p>
    <w:p>
      <w:pPr>
        <w:pStyle w:val="BodyText"/>
      </w:pPr>
      <w:r>
        <w:rPr>
          <w:b/>
        </w:rPr>
        <w:t xml:space="preserve">Q: How does temperature affect my battery?</w:t>
      </w:r>
    </w:p>
    <w:p>
      <w:pPr>
        <w:pStyle w:val="BodyText"/>
      </w:pPr>
      <w:r>
        <w:t xml:space="preserve">A: Batteries perform best at 20-35°C. Cold temperatures reduce range and charging speed temporarily. Hot temperatures accelerate permanent degradation. Use pre-conditioning features to optimize battery temperature before driving or charging.</w:t>
      </w:r>
    </w:p>
    <w:p>
      <w:pPr>
        <w:pStyle w:val="BodyText"/>
      </w:pPr>
      <w:r>
        <w:rPr>
          <w:b/>
        </w:rPr>
        <w:t xml:space="preserve">Q: Can I replace individual battery cells?</w:t>
      </w:r>
    </w:p>
    <w:p>
      <w:pPr>
        <w:pStyle w:val="BodyText"/>
      </w:pPr>
      <w:r>
        <w:t xml:space="preserve">A: With traditional modular designs, module-level replacement is sometimes possible. However, Cell-to-Pack and Cell-to-Chassis designs make individual cell replacement impractical or impossible. This trade-off enables better performance but increases repair complexity.</w:t>
      </w:r>
    </w:p>
    <w:p>
      <w:pPr>
        <w:pStyle w:val="Heading1"/>
      </w:pPr>
      <w:bookmarkStart w:id="132" w:name="support-resources"/>
      <w:r>
        <w:t xml:space="preserve">Support Resources</w:t>
      </w:r>
      <w:bookmarkEnd w:id="132"/>
    </w:p>
    <w:p>
      <w:pPr>
        <w:pStyle w:val="Heading2"/>
      </w:pPr>
      <w:bookmarkStart w:id="133" w:name="manufacturer-support"/>
      <w:r>
        <w:t xml:space="preserve">Manufacturer Support</w:t>
      </w:r>
      <w:bookmarkEnd w:id="133"/>
    </w:p>
    <w:tbl>
      <w:tblPr>
        <w:tblStyle w:val="Table"/>
        <w:tblW w:type="pct" w:w="50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3"/>
        <w:gridCol w:w="2640"/>
        <w:gridCol w:w="2346"/>
      </w:tblGrid>
      <w:tr>
        <w:trPr>
          <w:cnfStyle w:firstRow="1"/>
        </w:trPr>
        <w:tc>
          <w:tcPr>
            <w:tcBorders>
              <w:bottom w:val="single"/>
            </w:tcBorders>
            <w:vAlign w:val="bottom"/>
          </w:tcPr>
          <w:p>
            <w:pPr>
              <w:pStyle w:val="Compact"/>
              <w:jc w:val="left"/>
            </w:pPr>
            <w:r>
              <w:t xml:space="preserve">Resource</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Access</w:t>
            </w:r>
          </w:p>
        </w:tc>
      </w:tr>
      <w:tr>
        <w:tc>
          <w:p>
            <w:pPr>
              <w:pStyle w:val="Compact"/>
              <w:jc w:val="left"/>
            </w:pPr>
            <w:r>
              <w:t xml:space="preserve">Vehicle Manual</w:t>
            </w:r>
          </w:p>
        </w:tc>
        <w:tc>
          <w:p>
            <w:pPr>
              <w:pStyle w:val="Compact"/>
              <w:jc w:val="left"/>
            </w:pPr>
            <w:r>
              <w:t xml:space="preserve">Detailed specifications and procedures</w:t>
            </w:r>
          </w:p>
        </w:tc>
        <w:tc>
          <w:p>
            <w:pPr>
              <w:pStyle w:val="Compact"/>
              <w:jc w:val="left"/>
            </w:pPr>
            <w:r>
              <w:t xml:space="preserve">Print or digital with vehicle</w:t>
            </w:r>
          </w:p>
        </w:tc>
      </w:tr>
      <w:tr>
        <w:tc>
          <w:p>
            <w:pPr>
              <w:pStyle w:val="Compact"/>
              <w:jc w:val="left"/>
            </w:pPr>
            <w:r>
              <w:t xml:space="preserve">Mobile App</w:t>
            </w:r>
          </w:p>
        </w:tc>
        <w:tc>
          <w:p>
            <w:pPr>
              <w:pStyle w:val="Compact"/>
              <w:jc w:val="left"/>
            </w:pPr>
            <w:r>
              <w:t xml:space="preserve">Real-time monitoring and control</w:t>
            </w:r>
          </w:p>
        </w:tc>
        <w:tc>
          <w:p>
            <w:pPr>
              <w:pStyle w:val="Compact"/>
              <w:jc w:val="left"/>
            </w:pPr>
            <w:r>
              <w:t xml:space="preserve">App stores</w:t>
            </w:r>
          </w:p>
        </w:tc>
      </w:tr>
      <w:tr>
        <w:tc>
          <w:p>
            <w:pPr>
              <w:pStyle w:val="Compact"/>
              <w:jc w:val="left"/>
            </w:pPr>
            <w:r>
              <w:t xml:space="preserve">Customer Service</w:t>
            </w:r>
          </w:p>
        </w:tc>
        <w:tc>
          <w:p>
            <w:pPr>
              <w:pStyle w:val="Compact"/>
              <w:jc w:val="left"/>
            </w:pPr>
            <w:r>
              <w:t xml:space="preserve">Technical support and warranty</w:t>
            </w:r>
          </w:p>
        </w:tc>
        <w:tc>
          <w:p>
            <w:pPr>
              <w:pStyle w:val="Compact"/>
              <w:jc w:val="left"/>
            </w:pPr>
            <w:r>
              <w:t xml:space="preserve">Phone, chat, email</w:t>
            </w:r>
          </w:p>
        </w:tc>
      </w:tr>
      <w:tr>
        <w:tc>
          <w:p>
            <w:pPr>
              <w:pStyle w:val="Compact"/>
              <w:jc w:val="left"/>
            </w:pPr>
            <w:r>
              <w:t xml:space="preserve">Service Center</w:t>
            </w:r>
          </w:p>
        </w:tc>
        <w:tc>
          <w:p>
            <w:pPr>
              <w:pStyle w:val="Compact"/>
              <w:jc w:val="left"/>
            </w:pPr>
            <w:r>
              <w:t xml:space="preserve">Diagnostics and repairs</w:t>
            </w:r>
          </w:p>
        </w:tc>
        <w:tc>
          <w:p>
            <w:pPr>
              <w:pStyle w:val="Compact"/>
              <w:jc w:val="left"/>
            </w:pPr>
            <w:r>
              <w:t xml:space="preserve">Appointment scheduling</w:t>
            </w:r>
          </w:p>
        </w:tc>
      </w:tr>
    </w:tbl>
    <w:p>
      <w:pPr>
        <w:pStyle w:val="Heading2"/>
      </w:pPr>
      <w:bookmarkStart w:id="134" w:name="community-resources"/>
      <w:r>
        <w:t xml:space="preserve">Community Resources</w:t>
      </w:r>
      <w:bookmarkEnd w:id="134"/>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Resource</w:t>
            </w:r>
          </w:p>
        </w:tc>
        <w:tc>
          <w:tcPr>
            <w:tcBorders>
              <w:bottom w:val="single"/>
            </w:tcBorders>
            <w:vAlign w:val="bottom"/>
          </w:tcPr>
          <w:p>
            <w:pPr>
              <w:pStyle w:val="Compact"/>
              <w:jc w:val="left"/>
            </w:pPr>
            <w:r>
              <w:t xml:space="preserve">Benefit</w:t>
            </w:r>
          </w:p>
        </w:tc>
      </w:tr>
      <w:tr>
        <w:tc>
          <w:p>
            <w:pPr>
              <w:pStyle w:val="Compact"/>
              <w:jc w:val="left"/>
            </w:pPr>
            <w:r>
              <w:t xml:space="preserve">EV Owner Forums</w:t>
            </w:r>
          </w:p>
        </w:tc>
        <w:tc>
          <w:p>
            <w:pPr>
              <w:pStyle w:val="Compact"/>
              <w:jc w:val="left"/>
            </w:pPr>
            <w:r>
              <w:t xml:space="preserve">Peer experience and advice</w:t>
            </w:r>
          </w:p>
        </w:tc>
      </w:tr>
      <w:tr>
        <w:tc>
          <w:p>
            <w:pPr>
              <w:pStyle w:val="Compact"/>
              <w:jc w:val="left"/>
            </w:pPr>
            <w:r>
              <w:t xml:space="preserve">Model-Specific Groups</w:t>
            </w:r>
          </w:p>
        </w:tc>
        <w:tc>
          <w:p>
            <w:pPr>
              <w:pStyle w:val="Compact"/>
              <w:jc w:val="left"/>
            </w:pPr>
            <w:r>
              <w:t xml:space="preserve">Detailed technical knowledge</w:t>
            </w:r>
          </w:p>
        </w:tc>
      </w:tr>
      <w:tr>
        <w:tc>
          <w:p>
            <w:pPr>
              <w:pStyle w:val="Compact"/>
              <w:jc w:val="left"/>
            </w:pPr>
            <w:r>
              <w:t xml:space="preserve">Local EV Clubs</w:t>
            </w:r>
          </w:p>
        </w:tc>
        <w:tc>
          <w:p>
            <w:pPr>
              <w:pStyle w:val="Compact"/>
              <w:jc w:val="left"/>
            </w:pPr>
            <w:r>
              <w:t xml:space="preserve">In-person support and events</w:t>
            </w:r>
          </w:p>
        </w:tc>
      </w:tr>
      <w:tr>
        <w:tc>
          <w:p>
            <w:pPr>
              <w:pStyle w:val="Compact"/>
              <w:jc w:val="left"/>
            </w:pPr>
            <w:r>
              <w:t xml:space="preserve">Social Media Communities</w:t>
            </w:r>
          </w:p>
        </w:tc>
        <w:tc>
          <w:p>
            <w:pPr>
              <w:pStyle w:val="Compact"/>
              <w:jc w:val="left"/>
            </w:pPr>
            <w:r>
              <w:t xml:space="preserve">Real-time tips and updates</w:t>
            </w:r>
          </w:p>
        </w:tc>
      </w:tr>
    </w:tbl>
    <w:p>
      <w:pPr>
        <w:pStyle w:val="Heading2"/>
      </w:pPr>
      <w:bookmarkStart w:id="135" w:name="educational-resources"/>
      <w:r>
        <w:t xml:space="preserve">Educational Resources</w:t>
      </w:r>
      <w:bookmarkEnd w:id="135"/>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Recommended Resources</w:t>
            </w:r>
          </w:p>
        </w:tc>
      </w:tr>
      <w:tr>
        <w:tc>
          <w:p>
            <w:pPr>
              <w:pStyle w:val="Compact"/>
              <w:jc w:val="left"/>
            </w:pPr>
            <w:r>
              <w:t xml:space="preserve">Battery Technology</w:t>
            </w:r>
          </w:p>
        </w:tc>
        <w:tc>
          <w:p>
            <w:pPr>
              <w:pStyle w:val="Compact"/>
              <w:jc w:val="left"/>
            </w:pPr>
            <w:r>
              <w:t xml:space="preserve">SAE International, Battery University</w:t>
            </w:r>
          </w:p>
        </w:tc>
      </w:tr>
      <w:tr>
        <w:tc>
          <w:p>
            <w:pPr>
              <w:pStyle w:val="Compact"/>
              <w:jc w:val="left"/>
            </w:pPr>
            <w:r>
              <w:t xml:space="preserve">Charging Infrastructure</w:t>
            </w:r>
          </w:p>
        </w:tc>
        <w:tc>
          <w:p>
            <w:pPr>
              <w:pStyle w:val="Compact"/>
              <w:jc w:val="left"/>
            </w:pPr>
            <w:r>
              <w:t xml:space="preserve">ChargePoint, Electrify America education</w:t>
            </w:r>
          </w:p>
        </w:tc>
      </w:tr>
      <w:tr>
        <w:tc>
          <w:p>
            <w:pPr>
              <w:pStyle w:val="Compact"/>
              <w:jc w:val="left"/>
            </w:pPr>
            <w:r>
              <w:t xml:space="preserve">Policy and Regulation</w:t>
            </w:r>
          </w:p>
        </w:tc>
        <w:tc>
          <w:p>
            <w:pPr>
              <w:pStyle w:val="Compact"/>
              <w:jc w:val="left"/>
            </w:pPr>
            <w:r>
              <w:t xml:space="preserve">IEA Global EV Outlook, DOE resources</w:t>
            </w:r>
          </w:p>
        </w:tc>
      </w:tr>
      <w:tr>
        <w:tc>
          <w:p>
            <w:pPr>
              <w:pStyle w:val="Compact"/>
              <w:jc w:val="left"/>
            </w:pPr>
            <w:r>
              <w:t xml:space="preserve">Market Trends</w:t>
            </w:r>
          </w:p>
        </w:tc>
        <w:tc>
          <w:p>
            <w:pPr>
              <w:pStyle w:val="Compact"/>
              <w:jc w:val="left"/>
            </w:pPr>
            <w:r>
              <w:t xml:space="preserve">BloombergNEF, S&amp;P Global</w:t>
            </w:r>
          </w:p>
        </w:tc>
      </w:tr>
    </w:tbl>
    <w:p>
      <w:pPr>
        <w:pStyle w:val="Heading1"/>
      </w:pPr>
      <w:bookmarkStart w:id="136" w:name="future-outlook"/>
      <w:r>
        <w:t xml:space="preserve">Future Outlook</w:t>
      </w:r>
      <w:bookmarkEnd w:id="136"/>
    </w:p>
    <w:p>
      <w:pPr>
        <w:pStyle w:val="Heading2"/>
      </w:pPr>
      <w:bookmarkStart w:id="137" w:name="near-term-evolution"/>
      <w:r>
        <w:t xml:space="preserve">2025-2027: Near-Term Evolution</w:t>
      </w:r>
      <w:bookmarkEnd w:id="137"/>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Development</w:t>
            </w:r>
          </w:p>
        </w:tc>
        <w:tc>
          <w:tcPr>
            <w:tcBorders>
              <w:bottom w:val="single"/>
            </w:tcBorders>
            <w:vAlign w:val="bottom"/>
          </w:tcPr>
          <w:p>
            <w:pPr>
              <w:pStyle w:val="Compact"/>
              <w:jc w:val="left"/>
            </w:pPr>
            <w:r>
              <w:t xml:space="preserve">Expected Impact</w:t>
            </w:r>
          </w:p>
        </w:tc>
      </w:tr>
      <w:tr>
        <w:tc>
          <w:p>
            <w:pPr>
              <w:pStyle w:val="Compact"/>
              <w:jc w:val="left"/>
            </w:pPr>
            <w:r>
              <w:t xml:space="preserve">LFP dominance in mass market</w:t>
            </w:r>
          </w:p>
        </w:tc>
        <w:tc>
          <w:p>
            <w:pPr>
              <w:pStyle w:val="Compact"/>
              <w:jc w:val="left"/>
            </w:pPr>
            <w:r>
              <w:t xml:space="preserve">Lower entry prices</w:t>
            </w:r>
          </w:p>
        </w:tc>
      </w:tr>
      <w:tr>
        <w:tc>
          <w:p>
            <w:pPr>
              <w:pStyle w:val="Compact"/>
              <w:jc w:val="left"/>
            </w:pPr>
            <w:r>
              <w:t xml:space="preserve">Semi-solid state introduction</w:t>
            </w:r>
          </w:p>
        </w:tc>
        <w:tc>
          <w:p>
            <w:pPr>
              <w:pStyle w:val="Compact"/>
              <w:jc w:val="left"/>
            </w:pPr>
            <w:r>
              <w:t xml:space="preserve">Premium vehicle integration</w:t>
            </w:r>
          </w:p>
        </w:tc>
      </w:tr>
      <w:tr>
        <w:tc>
          <w:p>
            <w:pPr>
              <w:pStyle w:val="Compact"/>
              <w:jc w:val="left"/>
            </w:pPr>
            <w:r>
              <w:t xml:space="preserve">Sodium-ion commercialization</w:t>
            </w:r>
          </w:p>
        </w:tc>
        <w:tc>
          <w:p>
            <w:pPr>
              <w:pStyle w:val="Compact"/>
              <w:jc w:val="left"/>
            </w:pPr>
            <w:r>
              <w:t xml:space="preserve">Sub-$25,000 EVs possible</w:t>
            </w:r>
          </w:p>
        </w:tc>
      </w:tr>
      <w:tr>
        <w:tc>
          <w:p>
            <w:pPr>
              <w:pStyle w:val="Compact"/>
              <w:jc w:val="left"/>
            </w:pPr>
            <w:r>
              <w:t xml:space="preserve">CTP standard adoption</w:t>
            </w:r>
          </w:p>
        </w:tc>
        <w:tc>
          <w:p>
            <w:pPr>
              <w:pStyle w:val="Compact"/>
              <w:jc w:val="left"/>
            </w:pPr>
            <w:r>
              <w:t xml:space="preserve">Improved efficiency across range</w:t>
            </w:r>
          </w:p>
        </w:tc>
      </w:tr>
      <w:tr>
        <w:tc>
          <w:p>
            <w:pPr>
              <w:pStyle w:val="Compact"/>
              <w:jc w:val="left"/>
            </w:pPr>
            <w:r>
              <w:t xml:space="preserve">Wireless BMS deployment</w:t>
            </w:r>
          </w:p>
        </w:tc>
        <w:tc>
          <w:p>
            <w:pPr>
              <w:pStyle w:val="Compact"/>
              <w:jc w:val="left"/>
            </w:pPr>
            <w:r>
              <w:t xml:space="preserve">Manufacturing simplification</w:t>
            </w:r>
          </w:p>
        </w:tc>
      </w:tr>
    </w:tbl>
    <w:p>
      <w:pPr>
        <w:pStyle w:val="Heading2"/>
      </w:pPr>
      <w:bookmarkStart w:id="138" w:name="transformation-period"/>
      <w:r>
        <w:t xml:space="preserve">2028-2030: Transformation Period</w:t>
      </w:r>
      <w:bookmarkEnd w:id="138"/>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Development</w:t>
            </w:r>
          </w:p>
        </w:tc>
        <w:tc>
          <w:tcPr>
            <w:tcBorders>
              <w:bottom w:val="single"/>
            </w:tcBorders>
            <w:vAlign w:val="bottom"/>
          </w:tcPr>
          <w:p>
            <w:pPr>
              <w:pStyle w:val="Compact"/>
              <w:jc w:val="left"/>
            </w:pPr>
            <w:r>
              <w:t xml:space="preserve">Expected Impact</w:t>
            </w:r>
          </w:p>
        </w:tc>
      </w:tr>
      <w:tr>
        <w:tc>
          <w:p>
            <w:pPr>
              <w:pStyle w:val="Compact"/>
              <w:jc w:val="left"/>
            </w:pPr>
            <w:r>
              <w:t xml:space="preserve">Solid-state volume production</w:t>
            </w:r>
          </w:p>
        </w:tc>
        <w:tc>
          <w:p>
            <w:pPr>
              <w:pStyle w:val="Compact"/>
              <w:jc w:val="left"/>
            </w:pPr>
            <w:r>
              <w:t xml:space="preserve">400+ mile ranges standard</w:t>
            </w:r>
          </w:p>
        </w:tc>
      </w:tr>
      <w:tr>
        <w:tc>
          <w:p>
            <w:pPr>
              <w:pStyle w:val="Compact"/>
              <w:jc w:val="left"/>
            </w:pPr>
            <w:r>
              <w:t xml:space="preserve">Sub-15 minute charging</w:t>
            </w:r>
          </w:p>
        </w:tc>
        <w:tc>
          <w:p>
            <w:pPr>
              <w:pStyle w:val="Compact"/>
              <w:jc w:val="left"/>
            </w:pPr>
            <w:r>
              <w:t xml:space="preserve">Fueling parity with gasoline</w:t>
            </w:r>
          </w:p>
        </w:tc>
      </w:tr>
      <w:tr>
        <w:tc>
          <w:p>
            <w:pPr>
              <w:pStyle w:val="Compact"/>
              <w:jc w:val="left"/>
            </w:pPr>
            <w:r>
              <w:t xml:space="preserve">AI-integrated BMS standard</w:t>
            </w:r>
          </w:p>
        </w:tc>
        <w:tc>
          <w:p>
            <w:pPr>
              <w:pStyle w:val="Compact"/>
              <w:jc w:val="left"/>
            </w:pPr>
            <w:r>
              <w:t xml:space="preserve">30% life extension typical</w:t>
            </w:r>
          </w:p>
        </w:tc>
      </w:tr>
      <w:tr>
        <w:tc>
          <w:p>
            <w:pPr>
              <w:pStyle w:val="Compact"/>
              <w:jc w:val="left"/>
            </w:pPr>
            <w:r>
              <w:t xml:space="preserve">Direct recycling maturity</w:t>
            </w:r>
          </w:p>
        </w:tc>
        <w:tc>
          <w:p>
            <w:pPr>
              <w:pStyle w:val="Compact"/>
              <w:jc w:val="left"/>
            </w:pPr>
            <w:r>
              <w:t xml:space="preserve">Economical LFP recycling</w:t>
            </w:r>
          </w:p>
        </w:tc>
      </w:tr>
      <w:tr>
        <w:tc>
          <w:p>
            <w:pPr>
              <w:pStyle w:val="Compact"/>
              <w:jc w:val="left"/>
            </w:pPr>
            <w:r>
              <w:t xml:space="preserve">500kW+ charging deployment</w:t>
            </w:r>
          </w:p>
        </w:tc>
        <w:tc>
          <w:p>
            <w:pPr>
              <w:pStyle w:val="Compact"/>
              <w:jc w:val="left"/>
            </w:pPr>
            <w:r>
              <w:t xml:space="preserve">Regional ultra-fast networks</w:t>
            </w:r>
          </w:p>
        </w:tc>
      </w:tr>
    </w:tbl>
    <w:p>
      <w:pPr>
        <w:pStyle w:val="Heading2"/>
      </w:pPr>
      <w:bookmarkStart w:id="139" w:name="long-term-trajectory"/>
      <w:r>
        <w:t xml:space="preserve">2030+: Long-Term Trajectory</w:t>
      </w:r>
      <w:bookmarkEnd w:id="139"/>
    </w:p>
    <w:tbl>
      <w:tblPr>
        <w:tblStyle w:val="Table"/>
        <w:tblW w:type="pct" w:w="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rPr>
        <w:tc>
          <w:tcPr>
            <w:tcBorders>
              <w:bottom w:val="single"/>
            </w:tcBorders>
            <w:vAlign w:val="bottom"/>
          </w:tcPr>
          <w:p>
            <w:pPr>
              <w:pStyle w:val="Compact"/>
              <w:jc w:val="left"/>
            </w:pPr>
            <w:r>
              <w:t xml:space="preserve">Trend</w:t>
            </w:r>
          </w:p>
        </w:tc>
        <w:tc>
          <w:tcPr>
            <w:tcBorders>
              <w:bottom w:val="single"/>
            </w:tcBorders>
            <w:vAlign w:val="bottom"/>
          </w:tcPr>
          <w:p>
            <w:pPr>
              <w:pStyle w:val="Compact"/>
              <w:jc w:val="left"/>
            </w:pPr>
            <w:r>
              <w:t xml:space="preserve">Implication</w:t>
            </w:r>
          </w:p>
        </w:tc>
      </w:tr>
      <w:tr>
        <w:tc>
          <w:p>
            <w:pPr>
              <w:pStyle w:val="Compact"/>
              <w:jc w:val="left"/>
            </w:pPr>
            <w:r>
              <w:t xml:space="preserve">Chemistry diversification</w:t>
            </w:r>
          </w:p>
        </w:tc>
        <w:tc>
          <w:p>
            <w:pPr>
              <w:pStyle w:val="Compact"/>
              <w:jc w:val="left"/>
            </w:pPr>
            <w:r>
              <w:t xml:space="preserve">Right battery for each use case</w:t>
            </w:r>
          </w:p>
        </w:tc>
      </w:tr>
      <w:tr>
        <w:tc>
          <w:p>
            <w:pPr>
              <w:pStyle w:val="Compact"/>
              <w:jc w:val="left"/>
            </w:pPr>
            <w:r>
              <w:t xml:space="preserve">Circular economy integration</w:t>
            </w:r>
          </w:p>
        </w:tc>
        <w:tc>
          <w:p>
            <w:pPr>
              <w:pStyle w:val="Compact"/>
              <w:jc w:val="left"/>
            </w:pPr>
            <w:r>
              <w:t xml:space="preserve">Closed-loop material flows</w:t>
            </w:r>
          </w:p>
        </w:tc>
      </w:tr>
      <w:tr>
        <w:tc>
          <w:p>
            <w:pPr>
              <w:pStyle w:val="Compact"/>
              <w:jc w:val="left"/>
            </w:pPr>
            <w:r>
              <w:t xml:space="preserve">Grid integration standard</w:t>
            </w:r>
          </w:p>
        </w:tc>
        <w:tc>
          <w:p>
            <w:pPr>
              <w:pStyle w:val="Compact"/>
              <w:jc w:val="left"/>
            </w:pPr>
            <w:r>
              <w:t xml:space="preserve">EVs as distributed storage</w:t>
            </w:r>
          </w:p>
        </w:tc>
      </w:tr>
      <w:tr>
        <w:tc>
          <w:p>
            <w:pPr>
              <w:pStyle w:val="Compact"/>
              <w:jc w:val="left"/>
            </w:pPr>
            <w:r>
              <w:t xml:space="preserve">Battery-as-a-Service expansion</w:t>
            </w:r>
          </w:p>
        </w:tc>
        <w:tc>
          <w:p>
            <w:pPr>
              <w:pStyle w:val="Compact"/>
              <w:jc w:val="left"/>
            </w:pPr>
            <w:r>
              <w:t xml:space="preserve">Subscription ownership models</w:t>
            </w:r>
          </w:p>
        </w:tc>
      </w:tr>
      <w:tr>
        <w:tc>
          <w:p>
            <w:pPr>
              <w:pStyle w:val="Compact"/>
              <w:jc w:val="left"/>
            </w:pPr>
            <w:r>
              <w:t xml:space="preserve">Autonomous vehicle synergy</w:t>
            </w:r>
          </w:p>
        </w:tc>
        <w:tc>
          <w:p>
            <w:pPr>
              <w:pStyle w:val="Compact"/>
              <w:jc w:val="left"/>
            </w:pPr>
            <w:r>
              <w:t xml:space="preserve">Optimized battery utilization</w:t>
            </w:r>
          </w:p>
        </w:tc>
      </w:tr>
    </w:tbl>
    <w:p>
      <w:pPr>
        <w:pStyle w:val="Heading2"/>
      </w:pPr>
      <w:bookmarkStart w:id="140" w:name="recommendations-for-stakeholders"/>
      <w:r>
        <w:t xml:space="preserve">Recommendations for Stakeholders</w:t>
      </w:r>
      <w:bookmarkEnd w:id="140"/>
    </w:p>
    <w:p>
      <w:pPr>
        <w:pStyle w:val="Heading3"/>
      </w:pPr>
      <w:bookmarkStart w:id="141" w:name="for-ev-owners-and-prospective-buyers"/>
      <w:r>
        <w:t xml:space="preserve">For EV Owners and Prospective Buyers</w:t>
      </w:r>
      <w:bookmarkEnd w:id="141"/>
    </w:p>
    <w:p>
      <w:pPr>
        <w:numPr>
          <w:ilvl w:val="0"/>
          <w:numId w:val="1026"/>
        </w:numPr>
        <w:pStyle w:val="Compact"/>
      </w:pPr>
      <w:r>
        <w:t xml:space="preserve">Consider LFP chemistry for cost-effective, long-lasting daily transportation</w:t>
      </w:r>
    </w:p>
    <w:p>
      <w:pPr>
        <w:numPr>
          <w:ilvl w:val="0"/>
          <w:numId w:val="1026"/>
        </w:numPr>
        <w:pStyle w:val="Compact"/>
      </w:pPr>
      <w:r>
        <w:t xml:space="preserve">Adopt battery care best practices from day one</w:t>
      </w:r>
    </w:p>
    <w:p>
      <w:pPr>
        <w:numPr>
          <w:ilvl w:val="0"/>
          <w:numId w:val="1026"/>
        </w:numPr>
        <w:pStyle w:val="Compact"/>
      </w:pPr>
      <w:r>
        <w:t xml:space="preserve">Plan charging infrastructure access before purchase</w:t>
      </w:r>
    </w:p>
    <w:p>
      <w:pPr>
        <w:numPr>
          <w:ilvl w:val="0"/>
          <w:numId w:val="1026"/>
        </w:numPr>
        <w:pStyle w:val="Compact"/>
      </w:pPr>
      <w:r>
        <w:t xml:space="preserve">Stay informed about software updates and recalls</w:t>
      </w:r>
    </w:p>
    <w:p>
      <w:pPr>
        <w:pStyle w:val="Heading3"/>
      </w:pPr>
      <w:bookmarkStart w:id="142" w:name="for-industry-professionals"/>
      <w:r>
        <w:t xml:space="preserve">For Industry Professionals</w:t>
      </w:r>
      <w:bookmarkEnd w:id="142"/>
    </w:p>
    <w:p>
      <w:pPr>
        <w:numPr>
          <w:ilvl w:val="0"/>
          <w:numId w:val="1027"/>
        </w:numPr>
        <w:pStyle w:val="Compact"/>
      </w:pPr>
      <w:r>
        <w:t xml:space="preserve">Prepare for bifurcated market: cost-optimized and performance-optimized segments</w:t>
      </w:r>
    </w:p>
    <w:p>
      <w:pPr>
        <w:numPr>
          <w:ilvl w:val="0"/>
          <w:numId w:val="1027"/>
        </w:numPr>
        <w:pStyle w:val="Compact"/>
      </w:pPr>
      <w:r>
        <w:t xml:space="preserve">Address repairability challenges in structural battery designs</w:t>
      </w:r>
    </w:p>
    <w:p>
      <w:pPr>
        <w:numPr>
          <w:ilvl w:val="0"/>
          <w:numId w:val="1027"/>
        </w:numPr>
        <w:pStyle w:val="Compact"/>
      </w:pPr>
      <w:r>
        <w:t xml:space="preserve">Develop recycling solutions for LFP and sodium-ion chemistries</w:t>
      </w:r>
    </w:p>
    <w:p>
      <w:pPr>
        <w:numPr>
          <w:ilvl w:val="0"/>
          <w:numId w:val="1027"/>
        </w:numPr>
        <w:pStyle w:val="Compact"/>
      </w:pPr>
      <w:r>
        <w:t xml:space="preserve">Invest in workforce training for new technologies</w:t>
      </w:r>
    </w:p>
    <w:p>
      <w:pPr>
        <w:pStyle w:val="Heading3"/>
      </w:pPr>
      <w:bookmarkStart w:id="143" w:name="for-policy-makers"/>
      <w:r>
        <w:t xml:space="preserve">For Policy Makers</w:t>
      </w:r>
      <w:bookmarkEnd w:id="143"/>
    </w:p>
    <w:p>
      <w:pPr>
        <w:numPr>
          <w:ilvl w:val="0"/>
          <w:numId w:val="1028"/>
        </w:numPr>
        <w:pStyle w:val="Compact"/>
      </w:pPr>
      <w:r>
        <w:t xml:space="preserve">Balance energy density incentives with recyclability requirements</w:t>
      </w:r>
    </w:p>
    <w:p>
      <w:pPr>
        <w:numPr>
          <w:ilvl w:val="0"/>
          <w:numId w:val="1028"/>
        </w:numPr>
        <w:pStyle w:val="Compact"/>
      </w:pPr>
      <w:r>
        <w:t xml:space="preserve">Support domestic battery manufacturing and recycling capacity</w:t>
      </w:r>
    </w:p>
    <w:p>
      <w:pPr>
        <w:numPr>
          <w:ilvl w:val="0"/>
          <w:numId w:val="1028"/>
        </w:numPr>
        <w:pStyle w:val="Compact"/>
      </w:pPr>
      <w:r>
        <w:t xml:space="preserve">Ensure charging infrastructure keeps pace with adoption</w:t>
      </w:r>
    </w:p>
    <w:p>
      <w:pPr>
        <w:numPr>
          <w:ilvl w:val="0"/>
          <w:numId w:val="1028"/>
        </w:numPr>
        <w:pStyle w:val="Compact"/>
      </w:pPr>
      <w:r>
        <w:t xml:space="preserve">Consider total lifecycle impacts in regulations</w:t>
      </w:r>
    </w:p>
    <w:p>
      <w:pPr>
        <w:pStyle w:val="Heading3"/>
      </w:pPr>
      <w:bookmarkStart w:id="144" w:name="for-researchers-and-students"/>
      <w:r>
        <w:t xml:space="preserve">For Researchers and Students</w:t>
      </w:r>
      <w:bookmarkEnd w:id="144"/>
    </w:p>
    <w:p>
      <w:pPr>
        <w:numPr>
          <w:ilvl w:val="0"/>
          <w:numId w:val="1029"/>
        </w:numPr>
        <w:pStyle w:val="Compact"/>
      </w:pPr>
      <w:r>
        <w:t xml:space="preserve">Focus on solid-state interface stability challenges</w:t>
      </w:r>
    </w:p>
    <w:p>
      <w:pPr>
        <w:numPr>
          <w:ilvl w:val="0"/>
          <w:numId w:val="1029"/>
        </w:numPr>
        <w:pStyle w:val="Compact"/>
      </w:pPr>
      <w:r>
        <w:t xml:space="preserve">Develop economically viable LFP recycling processes</w:t>
      </w:r>
    </w:p>
    <w:p>
      <w:pPr>
        <w:numPr>
          <w:ilvl w:val="0"/>
          <w:numId w:val="1029"/>
        </w:numPr>
        <w:pStyle w:val="Compact"/>
      </w:pPr>
      <w:r>
        <w:t xml:space="preserve">Advance AI-based battery management algorithms</w:t>
      </w:r>
    </w:p>
    <w:p>
      <w:pPr>
        <w:numPr>
          <w:ilvl w:val="0"/>
          <w:numId w:val="1029"/>
        </w:numPr>
        <w:pStyle w:val="Compact"/>
      </w:pPr>
      <w:r>
        <w:t xml:space="preserve">Study second-life application optimization</w:t>
      </w:r>
    </w:p>
    <w:p>
      <w:pPr>
        <w:pStyle w:val="Heading1"/>
      </w:pPr>
      <w:bookmarkStart w:id="145" w:name="conclusion"/>
      <w:r>
        <w:t xml:space="preserve">Conclusion</w:t>
      </w:r>
      <w:bookmarkEnd w:id="145"/>
    </w:p>
    <w:p>
      <w:pPr>
        <w:pStyle w:val="FirstParagraph"/>
      </w:pPr>
      <w:r>
        <w:t xml:space="preserve">The future of EV batteries is characterized by diversification, integration, and intelligence. No single chemistry will dominate; instead, the market will segment into cost-optimized solutions (LFP, sodium-ion) for mass-market vehicles and performance-optimized technologies (NMC, solid-state) for premium applications.</w:t>
      </w:r>
    </w:p>
    <w:p>
      <w:pPr>
        <w:pStyle w:val="BodyText"/>
      </w:pPr>
      <w:r>
        <w:t xml:space="preserve">Structural integration through Cell-to-Pack and Cell-to-Chassis architectures delivers compelling benefits in efficiency and range but introduces challenges in repairability and end-of-life management that the industry must address.</w:t>
      </w:r>
    </w:p>
    <w:p>
      <w:pPr>
        <w:pStyle w:val="BodyText"/>
      </w:pPr>
      <w:r>
        <w:t xml:space="preserve">Solid-state batteries represent the most significant leap forward, promising higher energy density, faster charging, and improved safety. However, manufacturing challenges will delay widespread adoption until the late 2020s.</w:t>
      </w:r>
    </w:p>
    <w:p>
      <w:pPr>
        <w:pStyle w:val="BodyText"/>
      </w:pPr>
      <w:r>
        <w:t xml:space="preserve">For all stakeholders—from individual EV owners to policy makers—understanding these trends enables better decisions today while preparing for the transformative changes ahead. The transition to electric mobility is accelerating, and battery technology will continue to be its enabling foundation.</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CFB84" w14:textId="77777777" w:rsidR="00AA7661" w:rsidRDefault="00AA7661" w:rsidP="00153F07">
      <w:pPr>
        <w:spacing w:after="0" w:line="240" w:lineRule="auto"/>
      </w:pPr>
      <w:r>
        <w:separator/>
      </w:r>
    </w:p>
  </w:endnote>
  <w:endnote w:type="continuationSeparator" w:id="0">
    <w:p w14:paraId="2A2D0864" w14:textId="77777777" w:rsidR="00AA7661" w:rsidRDefault="00AA7661" w:rsidP="00153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panose1 w:val="02000503000000020004"/>
    <w:charset w:val="00"/>
    <w:family w:val="auto"/>
    <w:pitch w:val="variable"/>
    <w:sig w:usb0="E00002FF" w:usb1="1200A1FF" w:usb2="00000001" w:usb3="00000000" w:csb0="0000019F" w:csb1="00000000"/>
  </w:font>
  <w:font w:name="Calibri">
    <w:panose1 w:val="020F0502020204030204"/>
    <w:charset w:val="00"/>
    <w:family w:val="swiss"/>
    <w:pitch w:val="variable"/>
    <w:sig w:usb0="E4002EFF" w:usb1="C200247B" w:usb2="00000009" w:usb3="00000000" w:csb0="000001FF" w:csb1="00000000"/>
  </w:font>
  <w:font w:name="Epilogue">
    <w:altName w:val="Calibri"/>
    <w:panose1 w:val="00000000000000000000"/>
    <w:charset w:val="00"/>
    <w:family w:val="auto"/>
    <w:pitch w:val="variable"/>
    <w:sig w:usb0="A000007F" w:usb1="4000207B" w:usb2="00000000" w:usb3="00000000" w:csb0="00000193" w:csb1="00000000"/>
  </w:font>
  <w:font w:name="Georgia">
    <w:panose1 w:val="02040502050405020303"/>
    <w:charset w:val="00"/>
    <w:family w:val="roman"/>
    <w:pitch w:val="variable"/>
    <w:sig w:usb0="00000287" w:usb1="00000000" w:usb2="00000000" w:usb3="00000000" w:csb0="0000009F" w:csb1="00000000"/>
  </w:font>
  <w:font w:name="inter bol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84B83" w14:textId="4C444783" w:rsidR="00153F07" w:rsidRDefault="00153F07">
    <w:pPr>
      <w:pStyle w:val="Footer"/>
    </w:pPr>
  </w:p>
  <w:p w14:paraId="3AC5C405" w14:textId="66DDBF4F" w:rsidR="00153F07" w:rsidRPr="005B0898" w:rsidRDefault="00153F07" w:rsidP="00153F07">
    <w:pPr>
      <w:spacing w:after="16"/>
      <w:rPr>
        <w:rFonts w:ascii="Epilogue" w:hAnsi="Epilogue"/>
      </w:rPr>
    </w:pPr>
  </w:p>
  <w:p w14:paraId="4FFDCF14" w14:textId="43780BF3" w:rsidR="00153F07" w:rsidRPr="00615EE6" w:rsidRDefault="00F323FE" w:rsidP="000E0010">
    <w:pPr>
      <w:tabs>
        <w:tab w:val="center" w:pos="1202"/>
      </w:tabs>
      <w:spacing w:after="83"/>
      <w:ind w:right="-7394"/>
      <w:rPr>
        <w:rFonts w:ascii="Epilogue" w:eastAsia="Epilogue" w:hAnsi="Epilogue" w:cs="Epilogue"/>
        <w:color w:val="04CCA5"/>
        <w:sz w:val="18"/>
      </w:rPr>
    </w:pPr>
    <w:r>
      <w:rPr>
        <w:noProof/>
      </w:rPr>
      <w:drawing>
        <wp:anchor distT="0" distB="0" distL="114300" distR="114300" simplePos="0" relativeHeight="251667456" behindDoc="1" locked="0" layoutInCell="1" allowOverlap="1" wp14:anchorId="13110AC3" wp14:editId="16D34E85">
          <wp:simplePos x="0" y="0"/>
          <wp:positionH relativeFrom="column">
            <wp:posOffset>5704840</wp:posOffset>
          </wp:positionH>
          <wp:positionV relativeFrom="paragraph">
            <wp:posOffset>101600</wp:posOffset>
          </wp:positionV>
          <wp:extent cx="485775" cy="545465"/>
          <wp:effectExtent l="0" t="0" r="9525" b="6985"/>
          <wp:wrapThrough wrapText="bothSides">
            <wp:wrapPolygon edited="0">
              <wp:start x="0" y="0"/>
              <wp:lineTo x="0" y="9807"/>
              <wp:lineTo x="5082" y="12070"/>
              <wp:lineTo x="7624" y="21122"/>
              <wp:lineTo x="13553" y="21122"/>
              <wp:lineTo x="16094" y="12070"/>
              <wp:lineTo x="21176" y="9807"/>
              <wp:lineTo x="21176" y="0"/>
              <wp:lineTo x="0" y="0"/>
            </wp:wrapPolygon>
          </wp:wrapThrough>
          <wp:docPr id="7859466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5775" cy="545465"/>
                  </a:xfrm>
                  <a:prstGeom prst="rect">
                    <a:avLst/>
                  </a:prstGeom>
                  <a:noFill/>
                </pic:spPr>
              </pic:pic>
            </a:graphicData>
          </a:graphic>
          <wp14:sizeRelH relativeFrom="page">
            <wp14:pctWidth>0</wp14:pctWidth>
          </wp14:sizeRelH>
          <wp14:sizeRelV relativeFrom="page">
            <wp14:pctHeight>0</wp14:pctHeight>
          </wp14:sizeRelV>
        </wp:anchor>
      </w:drawing>
    </w:r>
    <w:r w:rsidR="00153F07" w:rsidRPr="005B0898">
      <w:rPr>
        <w:rFonts w:ascii="Epilogue" w:eastAsia="Epilogue" w:hAnsi="Epilogue" w:cs="Epilogue"/>
        <w:color w:val="04CCA5"/>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E420" w14:textId="6DA97EAB" w:rsidR="00E97CAF" w:rsidRPr="00E97CAF" w:rsidRDefault="00E97CAF" w:rsidP="00E97CAF">
    <w:pPr>
      <w:pStyle w:val="Footer"/>
      <w:rPr>
        <w:sz w:val="18"/>
        <w:szCs w:val="18"/>
      </w:rPr>
    </w:pPr>
    <w:r w:rsidRPr="00E97CAF">
      <w:rPr>
        <w:rFonts w:eastAsia="Epilogue" w:cs="Epilogue"/>
        <w:b/>
        <w:noProof/>
        <w:color w:val="04CCA5"/>
        <w:sz w:val="18"/>
        <w:szCs w:val="18"/>
      </w:rPr>
      <w:drawing>
        <wp:anchor distT="0" distB="0" distL="114300" distR="114300" simplePos="0" relativeHeight="251668480" behindDoc="0" locked="0" layoutInCell="1" allowOverlap="1" wp14:anchorId="63279BCE" wp14:editId="2C4BB955">
          <wp:simplePos x="0" y="0"/>
          <wp:positionH relativeFrom="leftMargin">
            <wp:align>right</wp:align>
          </wp:positionH>
          <wp:positionV relativeFrom="paragraph">
            <wp:posOffset>17145</wp:posOffset>
          </wp:positionV>
          <wp:extent cx="196850" cy="196850"/>
          <wp:effectExtent l="0" t="0" r="0" b="0"/>
          <wp:wrapNone/>
          <wp:docPr id="501730037" name="Graphic 19" descr="Mailbox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42288" name="Graphic 19" descr="Mailbox with solid fill"/>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6850" cy="196850"/>
                  </a:xfrm>
                  <a:prstGeom prst="rect">
                    <a:avLst/>
                  </a:prstGeom>
                </pic:spPr>
              </pic:pic>
            </a:graphicData>
          </a:graphic>
        </wp:anchor>
      </w:drawing>
    </w:r>
    <w:r w:rsidR="00F323FE">
      <w:rPr>
        <w:noProof/>
        <w:sz w:val="18"/>
        <w:szCs w:val="18"/>
      </w:rPr>
      <w:drawing>
        <wp:anchor distT="0" distB="0" distL="114300" distR="114300" simplePos="0" relativeHeight="251665408" behindDoc="1" locked="0" layoutInCell="1" allowOverlap="1" wp14:anchorId="7DAB354C" wp14:editId="2FEB36FE">
          <wp:simplePos x="0" y="0"/>
          <wp:positionH relativeFrom="column">
            <wp:posOffset>5647690</wp:posOffset>
          </wp:positionH>
          <wp:positionV relativeFrom="paragraph">
            <wp:posOffset>-129540</wp:posOffset>
          </wp:positionV>
          <wp:extent cx="811530" cy="811530"/>
          <wp:effectExtent l="0" t="0" r="7620" b="7620"/>
          <wp:wrapThrough wrapText="bothSides">
            <wp:wrapPolygon edited="0">
              <wp:start x="0" y="0"/>
              <wp:lineTo x="0" y="21296"/>
              <wp:lineTo x="21296" y="21296"/>
              <wp:lineTo x="21296" y="0"/>
              <wp:lineTo x="0" y="0"/>
            </wp:wrapPolygon>
          </wp:wrapThrough>
          <wp:docPr id="18958972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11530" cy="811530"/>
                  </a:xfrm>
                  <a:prstGeom prst="rect">
                    <a:avLst/>
                  </a:prstGeom>
                  <a:noFill/>
                </pic:spPr>
              </pic:pic>
            </a:graphicData>
          </a:graphic>
          <wp14:sizeRelH relativeFrom="page">
            <wp14:pctWidth>0</wp14:pctWidth>
          </wp14:sizeRelH>
          <wp14:sizeRelV relativeFrom="page">
            <wp14:pctHeight>0</wp14:pctHeight>
          </wp14:sizeRelV>
        </wp:anchor>
      </w:drawing>
    </w:r>
    <w:r>
      <w:rPr>
        <w:rFonts w:eastAsia="Epilogue" w:cs="Epilogue"/>
        <w:bCs/>
        <w:color w:val="04CCA5"/>
        <w:sz w:val="18"/>
        <w:szCs w:val="18"/>
      </w:rPr>
      <w:t xml:space="preserve">     </w:t>
    </w:r>
    <w:r w:rsidR="00484F96">
      <w:rPr>
        <w:rFonts w:eastAsia="Epilogue" w:cs="Epilogue"/>
        <w:bCs/>
        <w:color w:val="04CCA5"/>
        <w:sz w:val="18"/>
        <w:szCs w:val="18"/>
      </w:rPr>
      <w:t>1965</w:t>
    </w:r>
    <w:r w:rsidRPr="00E97CAF">
      <w:rPr>
        <w:rFonts w:eastAsia="Epilogue" w:cs="Epilogue"/>
        <w:bCs/>
        <w:color w:val="04CCA5"/>
        <w:sz w:val="18"/>
        <w:szCs w:val="18"/>
      </w:rPr>
      <w:t xml:space="preserve"> </w:t>
    </w:r>
    <w:r w:rsidR="00484F96">
      <w:rPr>
        <w:rFonts w:eastAsia="Epilogue" w:cs="Epilogue"/>
        <w:bCs/>
        <w:color w:val="04CCA5"/>
        <w:sz w:val="18"/>
        <w:szCs w:val="18"/>
      </w:rPr>
      <w:t>Broad</w:t>
    </w:r>
    <w:r w:rsidRPr="00E97CAF">
      <w:rPr>
        <w:rFonts w:eastAsia="Epilogue" w:cs="Epilogue"/>
        <w:bCs/>
        <w:color w:val="04CCA5"/>
        <w:sz w:val="18"/>
        <w:szCs w:val="18"/>
      </w:rPr>
      <w:t xml:space="preserve"> Street, </w:t>
    </w:r>
    <w:r w:rsidR="00484F96">
      <w:rPr>
        <w:rFonts w:eastAsia="Epilogue" w:cs="Epilogue"/>
        <w:bCs/>
        <w:color w:val="04CCA5"/>
        <w:sz w:val="18"/>
        <w:szCs w:val="18"/>
      </w:rPr>
      <w:t>Regina</w:t>
    </w:r>
    <w:r w:rsidRPr="00E97CAF">
      <w:rPr>
        <w:rFonts w:eastAsia="Epilogue" w:cs="Epilogue"/>
        <w:bCs/>
        <w:color w:val="04CCA5"/>
        <w:sz w:val="18"/>
        <w:szCs w:val="18"/>
      </w:rPr>
      <w:t xml:space="preserve">, </w:t>
    </w:r>
    <w:r w:rsidR="00484F96">
      <w:rPr>
        <w:rFonts w:eastAsia="Epilogue" w:cs="Epilogue"/>
        <w:bCs/>
        <w:color w:val="04CCA5"/>
        <w:sz w:val="18"/>
        <w:szCs w:val="18"/>
      </w:rPr>
      <w:t>SK</w:t>
    </w:r>
    <w:r w:rsidRPr="00E97CAF">
      <w:rPr>
        <w:rFonts w:eastAsia="Epilogue" w:cs="Epilogue"/>
        <w:bCs/>
        <w:color w:val="04CCA5"/>
        <w:sz w:val="18"/>
        <w:szCs w:val="18"/>
      </w:rPr>
      <w:t xml:space="preserve">, </w:t>
    </w:r>
    <w:r w:rsidR="00484F96">
      <w:rPr>
        <w:rFonts w:eastAsia="Epilogue" w:cs="Epilogue"/>
        <w:bCs/>
        <w:color w:val="04CCA5"/>
        <w:sz w:val="18"/>
        <w:szCs w:val="18"/>
      </w:rPr>
      <w:t>S4P 1Y1</w:t>
    </w:r>
  </w:p>
  <w:p w14:paraId="3FF2273B" w14:textId="3273AEB2" w:rsidR="00E97CAF" w:rsidRPr="00E97CAF" w:rsidRDefault="00F323FE" w:rsidP="00E50F47">
    <w:pPr>
      <w:pStyle w:val="Footer"/>
      <w:rPr>
        <w:rFonts w:eastAsia="Epilogue" w:cs="Epilogue"/>
        <w:color w:val="04CCA5"/>
        <w:sz w:val="18"/>
        <w:szCs w:val="18"/>
      </w:rPr>
    </w:pPr>
    <w:r>
      <w:rPr>
        <w:noProof/>
        <w:sz w:val="18"/>
        <w:szCs w:val="18"/>
      </w:rPr>
      <w:drawing>
        <wp:anchor distT="0" distB="0" distL="114300" distR="114300" simplePos="0" relativeHeight="251670528" behindDoc="0" locked="0" layoutInCell="1" allowOverlap="1" wp14:anchorId="62889296" wp14:editId="6062557C">
          <wp:simplePos x="0" y="0"/>
          <wp:positionH relativeFrom="leftMargin">
            <wp:align>right</wp:align>
          </wp:positionH>
          <wp:positionV relativeFrom="paragraph">
            <wp:posOffset>71120</wp:posOffset>
          </wp:positionV>
          <wp:extent cx="165735" cy="165735"/>
          <wp:effectExtent l="0" t="0" r="5715" b="5715"/>
          <wp:wrapNone/>
          <wp:docPr id="1305220161" name="Picture 19"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8" descr="Receiver with solid fill"/>
                  <pic:cNvPicPr>
                    <a:picLocks noChangeAspect="1" noChangeArrowheads="1"/>
                  </pic:cNvPicPr>
                </pic:nvPicPr>
                <pic:blipFill>
                  <a:blip r:embed="rId4">
                    <a:extLst>
                      <a:ext uri="{28A0092B-C50C-407E-A947-70E740481C1C}">
                        <a14:useLocalDpi xmlns:a14="http://schemas.microsoft.com/office/drawing/2010/main" val="0"/>
                      </a:ext>
                    </a:extLst>
                  </a:blip>
                  <a:srcRect l="-4167" r="-4167" b="-386"/>
                  <a:stretch>
                    <a:fillRect/>
                  </a:stretch>
                </pic:blipFill>
                <pic:spPr bwMode="auto">
                  <a:xfrm>
                    <a:off x="0" y="0"/>
                    <a:ext cx="165735" cy="165735"/>
                  </a:xfrm>
                  <a:prstGeom prst="rect">
                    <a:avLst/>
                  </a:prstGeom>
                  <a:noFill/>
                </pic:spPr>
              </pic:pic>
            </a:graphicData>
          </a:graphic>
          <wp14:sizeRelH relativeFrom="page">
            <wp14:pctWidth>0</wp14:pctWidth>
          </wp14:sizeRelH>
          <wp14:sizeRelV relativeFrom="page">
            <wp14:pctHeight>0</wp14:pctHeight>
          </wp14:sizeRelV>
        </wp:anchor>
      </w:drawing>
    </w:r>
    <w:r w:rsidR="00E97CAF">
      <w:rPr>
        <w:rFonts w:eastAsia="Epilogue" w:cs="Epilogue"/>
        <w:color w:val="04CCA5"/>
        <w:sz w:val="18"/>
        <w:szCs w:val="18"/>
      </w:rPr>
      <w:t xml:space="preserve">     </w:t>
    </w:r>
    <w:r w:rsidR="00484F96">
      <w:rPr>
        <w:rFonts w:eastAsia="Epilogue" w:cs="Epilogue"/>
        <w:color w:val="04CCA5"/>
        <w:sz w:val="18"/>
        <w:szCs w:val="18"/>
      </w:rPr>
      <w:t>306</w:t>
    </w:r>
    <w:r w:rsidR="00E97CAF" w:rsidRPr="00E97CAF">
      <w:rPr>
        <w:rFonts w:eastAsia="Epilogue" w:cs="Epilogue"/>
        <w:color w:val="04CCA5"/>
        <w:sz w:val="18"/>
        <w:szCs w:val="18"/>
      </w:rPr>
      <w:t>.</w:t>
    </w:r>
    <w:r w:rsidR="00484F96">
      <w:rPr>
        <w:rFonts w:eastAsia="Epilogue" w:cs="Epilogue"/>
        <w:color w:val="04CCA5"/>
        <w:sz w:val="18"/>
        <w:szCs w:val="18"/>
      </w:rPr>
      <w:t>581</w:t>
    </w:r>
    <w:r w:rsidR="00E97CAF" w:rsidRPr="00E97CAF">
      <w:rPr>
        <w:rFonts w:eastAsia="Epilogue" w:cs="Epilogue"/>
        <w:color w:val="04CCA5"/>
        <w:sz w:val="18"/>
        <w:szCs w:val="18"/>
      </w:rPr>
      <w:t>.</w:t>
    </w:r>
    <w:r w:rsidR="00484F96">
      <w:rPr>
        <w:rFonts w:eastAsia="Epilogue" w:cs="Epilogue"/>
        <w:color w:val="04CCA5"/>
        <w:sz w:val="18"/>
        <w:szCs w:val="18"/>
      </w:rPr>
      <w:t>6888</w:t>
    </w:r>
  </w:p>
  <w:p w14:paraId="5D15EFA5" w14:textId="19988567" w:rsidR="00615EE6" w:rsidRPr="00E97CAF" w:rsidRDefault="00E97CAF" w:rsidP="00E50F47">
    <w:pPr>
      <w:pStyle w:val="PAIStyleParagraph"/>
      <w:spacing w:line="240" w:lineRule="auto"/>
      <w:rPr>
        <w:color w:val="04CCA5"/>
        <w:sz w:val="18"/>
        <w:szCs w:val="18"/>
      </w:rPr>
    </w:pPr>
    <w:r w:rsidRPr="00E97CAF">
      <w:rPr>
        <w:b/>
        <w:noProof/>
        <w:color w:val="04CCA5"/>
        <w:sz w:val="18"/>
        <w:szCs w:val="18"/>
      </w:rPr>
      <w:drawing>
        <wp:anchor distT="0" distB="0" distL="114300" distR="114300" simplePos="0" relativeHeight="251671552" behindDoc="0" locked="0" layoutInCell="1" allowOverlap="1" wp14:anchorId="3C7CD7F9" wp14:editId="5331CFA6">
          <wp:simplePos x="0" y="0"/>
          <wp:positionH relativeFrom="leftMargin">
            <wp:align>right</wp:align>
          </wp:positionH>
          <wp:positionV relativeFrom="paragraph">
            <wp:posOffset>68580</wp:posOffset>
          </wp:positionV>
          <wp:extent cx="177800" cy="177800"/>
          <wp:effectExtent l="0" t="0" r="0" b="0"/>
          <wp:wrapNone/>
          <wp:docPr id="1328742576" name="Graphic 17"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87720" name="Graphic 1301087720" descr="Envelope with solid fill"/>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77800" cy="177800"/>
                  </a:xfrm>
                  <a:prstGeom prst="rect">
                    <a:avLst/>
                  </a:prstGeom>
                </pic:spPr>
              </pic:pic>
            </a:graphicData>
          </a:graphic>
        </wp:anchor>
      </w:drawing>
    </w:r>
    <w:r>
      <w:rPr>
        <w:color w:val="04CCA5"/>
        <w:sz w:val="18"/>
        <w:szCs w:val="18"/>
      </w:rPr>
      <w:t xml:space="preserve">     </w:t>
    </w:r>
    <w:r w:rsidR="009F1111" w:rsidRPr="00E97CAF">
      <w:rPr>
        <w:color w:val="04CCA5"/>
        <w:sz w:val="18"/>
        <w:szCs w:val="18"/>
      </w:rPr>
      <w:t xml:space="preserve">info@precision.ai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0F387" w14:textId="77777777" w:rsidR="00AA7661" w:rsidRDefault="00AA7661" w:rsidP="00153F07">
      <w:pPr>
        <w:spacing w:after="0" w:line="240" w:lineRule="auto"/>
      </w:pPr>
      <w:r>
        <w:separator/>
      </w:r>
    </w:p>
  </w:footnote>
  <w:footnote w:type="continuationSeparator" w:id="0">
    <w:p w14:paraId="4D26277F" w14:textId="77777777" w:rsidR="00AA7661" w:rsidRDefault="00AA7661" w:rsidP="00153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864504"/>
      <w:docPartObj>
        <w:docPartGallery w:val="Page Numbers (Top of Page)"/>
        <w:docPartUnique/>
      </w:docPartObj>
    </w:sdtPr>
    <w:sdtEndPr>
      <w:rPr>
        <w:b/>
        <w:noProof/>
        <w:color w:val="04CCA5" w:themeColor="background2"/>
      </w:rPr>
    </w:sdtEndPr>
    <w:sdtContent>
      <w:p w14:paraId="7B09C81B" w14:textId="77777777" w:rsidR="008317B7" w:rsidRPr="008317B7" w:rsidRDefault="008317B7">
        <w:pPr>
          <w:pStyle w:val="Header"/>
          <w:jc w:val="right"/>
          <w:rPr>
            <w:b/>
            <w:color w:val="04CCA5" w:themeColor="background2"/>
          </w:rPr>
        </w:pPr>
        <w:r w:rsidRPr="008317B7">
          <w:rPr>
            <w:b/>
            <w:color w:val="04CCA5" w:themeColor="background2"/>
          </w:rPr>
          <w:fldChar w:fldCharType="begin"/>
        </w:r>
        <w:r w:rsidRPr="008317B7">
          <w:rPr>
            <w:b/>
            <w:color w:val="04CCA5" w:themeColor="background2"/>
          </w:rPr>
          <w:instrText xml:space="preserve"> PAGE   \* MERGEFORMAT </w:instrText>
        </w:r>
        <w:r w:rsidRPr="008317B7">
          <w:rPr>
            <w:b/>
            <w:color w:val="04CCA5" w:themeColor="background2"/>
          </w:rPr>
          <w:fldChar w:fldCharType="separate"/>
        </w:r>
        <w:r w:rsidR="002C1E2D">
          <w:rPr>
            <w:b/>
            <w:noProof/>
            <w:color w:val="04CCA5" w:themeColor="background2"/>
          </w:rPr>
          <w:t>3</w:t>
        </w:r>
        <w:r w:rsidRPr="008317B7">
          <w:rPr>
            <w:b/>
            <w:noProof/>
            <w:color w:val="04CCA5" w:themeColor="background2"/>
          </w:rPr>
          <w:fldChar w:fldCharType="end"/>
        </w:r>
      </w:p>
    </w:sdtContent>
  </w:sdt>
  <w:p w14:paraId="414EC0C0" w14:textId="77777777" w:rsidR="00153F07" w:rsidRPr="00CD2D82" w:rsidRDefault="00153F07" w:rsidP="00CD2D82">
    <w:pPr>
      <w:tabs>
        <w:tab w:val="center" w:pos="1202"/>
      </w:tabs>
      <w:spacing w:after="83"/>
      <w:ind w:left="-8" w:right="-7394"/>
      <w:rPr>
        <w:rFonts w:ascii="Epilogue" w:hAnsi="Epilogu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1E9B3" w14:textId="77777777" w:rsidR="00CD2D82" w:rsidRDefault="00CD2D82">
    <w:pPr>
      <w:pStyle w:val="Header"/>
    </w:pPr>
  </w:p>
  <w:p w14:paraId="4EEF73BC" w14:textId="77777777" w:rsidR="00CD2D82" w:rsidRDefault="00CD2D82">
    <w:pPr>
      <w:pStyle w:val="Header"/>
    </w:pPr>
  </w:p>
  <w:p w14:paraId="5337C8F0" w14:textId="77777777" w:rsidR="00CD2D82" w:rsidRDefault="00CD2D82">
    <w:pPr>
      <w:pStyle w:val="Header"/>
    </w:pPr>
    <w:r>
      <w:rPr>
        <w:noProof/>
      </w:rPr>
      <mc:AlternateContent>
        <mc:Choice Requires="wpg">
          <w:drawing>
            <wp:anchor distT="0" distB="0" distL="114300" distR="114300" simplePos="0" relativeHeight="251663360" behindDoc="0" locked="0" layoutInCell="1" allowOverlap="1" wp14:anchorId="34CB2ED9" wp14:editId="32022454">
              <wp:simplePos x="0" y="0"/>
              <wp:positionH relativeFrom="column">
                <wp:posOffset>-201295</wp:posOffset>
              </wp:positionH>
              <wp:positionV relativeFrom="paragraph">
                <wp:posOffset>-226212</wp:posOffset>
              </wp:positionV>
              <wp:extent cx="2242820" cy="364490"/>
              <wp:effectExtent l="0" t="19050" r="24130" b="35560"/>
              <wp:wrapNone/>
              <wp:docPr id="1" name="Group 1"/>
              <wp:cNvGraphicFramePr/>
              <a:graphic xmlns:a="http://schemas.openxmlformats.org/drawingml/2006/main">
                <a:graphicData uri="http://schemas.microsoft.com/office/word/2010/wordprocessingGroup">
                  <wpg:wgp>
                    <wpg:cNvGrpSpPr/>
                    <wpg:grpSpPr>
                      <a:xfrm>
                        <a:off x="0" y="0"/>
                        <a:ext cx="2242820" cy="364490"/>
                        <a:chOff x="0" y="0"/>
                        <a:chExt cx="2243016" cy="364858"/>
                      </a:xfrm>
                      <a:solidFill>
                        <a:schemeClr val="bg2"/>
                      </a:solidFill>
                    </wpg:grpSpPr>
                    <wps:wsp>
                      <wps:cNvPr id="2" name="Shape 1325"/>
                      <wps:cNvSpPr/>
                      <wps:spPr>
                        <a:xfrm>
                          <a:off x="2208722" y="125726"/>
                          <a:ext cx="34294" cy="149601"/>
                        </a:xfrm>
                        <a:custGeom>
                          <a:avLst/>
                          <a:gdLst/>
                          <a:ahLst/>
                          <a:cxnLst/>
                          <a:rect l="0" t="0" r="0" b="0"/>
                          <a:pathLst>
                            <a:path w="34294" h="149601">
                              <a:moveTo>
                                <a:pt x="0" y="0"/>
                              </a:moveTo>
                              <a:lnTo>
                                <a:pt x="34294" y="0"/>
                              </a:lnTo>
                              <a:lnTo>
                                <a:pt x="34294" y="149601"/>
                              </a:lnTo>
                              <a:lnTo>
                                <a:pt x="0" y="149601"/>
                              </a:lnTo>
                              <a:lnTo>
                                <a:pt x="0" y="0"/>
                              </a:lnTo>
                            </a:path>
                          </a:pathLst>
                        </a:custGeom>
                        <a:grpFill/>
                        <a:ln w="0" cap="flat">
                          <a:solidFill>
                            <a:schemeClr val="bg2"/>
                          </a:solidFill>
                          <a:miter lim="127000"/>
                        </a:ln>
                        <a:effectLst/>
                      </wps:spPr>
                      <wps:bodyPr/>
                    </wps:wsp>
                    <wps:wsp>
                      <wps:cNvPr id="3" name="Shape 11"/>
                      <wps:cNvSpPr/>
                      <wps:spPr>
                        <a:xfrm>
                          <a:off x="528823" y="125726"/>
                          <a:ext cx="57677" cy="148585"/>
                        </a:xfrm>
                        <a:custGeom>
                          <a:avLst/>
                          <a:gdLst/>
                          <a:ahLst/>
                          <a:cxnLst/>
                          <a:rect l="0" t="0" r="0" b="0"/>
                          <a:pathLst>
                            <a:path w="57677" h="148585">
                              <a:moveTo>
                                <a:pt x="0" y="0"/>
                              </a:moveTo>
                              <a:lnTo>
                                <a:pt x="57677" y="0"/>
                              </a:lnTo>
                              <a:lnTo>
                                <a:pt x="57677" y="34289"/>
                              </a:lnTo>
                              <a:lnTo>
                                <a:pt x="38117" y="34289"/>
                              </a:lnTo>
                              <a:lnTo>
                                <a:pt x="38117" y="67689"/>
                              </a:lnTo>
                              <a:lnTo>
                                <a:pt x="57677" y="67689"/>
                              </a:lnTo>
                              <a:lnTo>
                                <a:pt x="57677" y="101907"/>
                              </a:lnTo>
                              <a:lnTo>
                                <a:pt x="57169" y="101978"/>
                              </a:lnTo>
                              <a:lnTo>
                                <a:pt x="38117" y="101978"/>
                              </a:lnTo>
                              <a:lnTo>
                                <a:pt x="38117" y="148585"/>
                              </a:lnTo>
                              <a:lnTo>
                                <a:pt x="0" y="148585"/>
                              </a:lnTo>
                              <a:lnTo>
                                <a:pt x="0" y="0"/>
                              </a:lnTo>
                              <a:close/>
                            </a:path>
                          </a:pathLst>
                        </a:custGeom>
                        <a:grpFill/>
                        <a:ln w="0" cap="flat">
                          <a:solidFill>
                            <a:schemeClr val="bg2"/>
                          </a:solidFill>
                          <a:miter lim="127000"/>
                        </a:ln>
                        <a:effectLst/>
                      </wps:spPr>
                      <wps:bodyPr/>
                    </wps:wsp>
                    <wps:wsp>
                      <wps:cNvPr id="4" name="Shape 12"/>
                      <wps:cNvSpPr/>
                      <wps:spPr>
                        <a:xfrm>
                          <a:off x="586500" y="125726"/>
                          <a:ext cx="57664" cy="101907"/>
                        </a:xfrm>
                        <a:custGeom>
                          <a:avLst/>
                          <a:gdLst/>
                          <a:ahLst/>
                          <a:cxnLst/>
                          <a:rect l="0" t="0" r="0" b="0"/>
                          <a:pathLst>
                            <a:path w="57664" h="101907">
                              <a:moveTo>
                                <a:pt x="0" y="0"/>
                              </a:moveTo>
                              <a:lnTo>
                                <a:pt x="1397" y="0"/>
                              </a:lnTo>
                              <a:cubicBezTo>
                                <a:pt x="20449" y="0"/>
                                <a:pt x="34802" y="4825"/>
                                <a:pt x="43312" y="15239"/>
                              </a:cubicBezTo>
                              <a:cubicBezTo>
                                <a:pt x="52838" y="24764"/>
                                <a:pt x="57664" y="37209"/>
                                <a:pt x="57664" y="51433"/>
                              </a:cubicBezTo>
                              <a:cubicBezTo>
                                <a:pt x="57664" y="66673"/>
                                <a:pt x="52838" y="78102"/>
                                <a:pt x="43312" y="87627"/>
                              </a:cubicBezTo>
                              <a:cubicBezTo>
                                <a:pt x="38549" y="92389"/>
                                <a:pt x="32611" y="95977"/>
                                <a:pt x="25355" y="98374"/>
                              </a:cubicBezTo>
                              <a:lnTo>
                                <a:pt x="0" y="101907"/>
                              </a:lnTo>
                              <a:lnTo>
                                <a:pt x="0" y="67689"/>
                              </a:lnTo>
                              <a:lnTo>
                                <a:pt x="1397" y="67689"/>
                              </a:lnTo>
                              <a:cubicBezTo>
                                <a:pt x="12828" y="67689"/>
                                <a:pt x="19560" y="60958"/>
                                <a:pt x="19560" y="51433"/>
                              </a:cubicBezTo>
                              <a:cubicBezTo>
                                <a:pt x="19560" y="41908"/>
                                <a:pt x="11939" y="34289"/>
                                <a:pt x="1397" y="34289"/>
                              </a:cubicBezTo>
                              <a:lnTo>
                                <a:pt x="0" y="34289"/>
                              </a:lnTo>
                              <a:lnTo>
                                <a:pt x="0" y="0"/>
                              </a:lnTo>
                              <a:close/>
                            </a:path>
                          </a:pathLst>
                        </a:custGeom>
                        <a:grpFill/>
                        <a:ln w="0" cap="flat">
                          <a:solidFill>
                            <a:schemeClr val="bg2"/>
                          </a:solidFill>
                          <a:miter lim="127000"/>
                        </a:ln>
                        <a:effectLst/>
                      </wps:spPr>
                      <wps:bodyPr/>
                    </wps:wsp>
                    <wps:wsp>
                      <wps:cNvPr id="5" name="Shape 14"/>
                      <wps:cNvSpPr/>
                      <wps:spPr>
                        <a:xfrm>
                          <a:off x="699415" y="125726"/>
                          <a:ext cx="58077" cy="148585"/>
                        </a:xfrm>
                        <a:custGeom>
                          <a:avLst/>
                          <a:gdLst/>
                          <a:ahLst/>
                          <a:cxnLst/>
                          <a:rect l="0" t="0" r="0" b="0"/>
                          <a:pathLst>
                            <a:path w="58077" h="148585">
                              <a:moveTo>
                                <a:pt x="0" y="0"/>
                              </a:moveTo>
                              <a:lnTo>
                                <a:pt x="58077" y="0"/>
                              </a:lnTo>
                              <a:lnTo>
                                <a:pt x="58077" y="34289"/>
                              </a:lnTo>
                              <a:lnTo>
                                <a:pt x="38104" y="34289"/>
                              </a:lnTo>
                              <a:lnTo>
                                <a:pt x="38104" y="66673"/>
                              </a:lnTo>
                              <a:lnTo>
                                <a:pt x="58077" y="66673"/>
                              </a:lnTo>
                              <a:lnTo>
                                <a:pt x="58077" y="109728"/>
                              </a:lnTo>
                              <a:lnTo>
                                <a:pt x="52330" y="99056"/>
                              </a:lnTo>
                              <a:lnTo>
                                <a:pt x="38104" y="99056"/>
                              </a:lnTo>
                              <a:lnTo>
                                <a:pt x="38104" y="148585"/>
                              </a:lnTo>
                              <a:lnTo>
                                <a:pt x="0" y="148585"/>
                              </a:lnTo>
                              <a:lnTo>
                                <a:pt x="0" y="0"/>
                              </a:lnTo>
                              <a:close/>
                            </a:path>
                          </a:pathLst>
                        </a:custGeom>
                        <a:grpFill/>
                        <a:ln w="0" cap="flat">
                          <a:solidFill>
                            <a:schemeClr val="bg2"/>
                          </a:solidFill>
                          <a:miter lim="127000"/>
                        </a:ln>
                        <a:effectLst/>
                      </wps:spPr>
                      <wps:bodyPr/>
                    </wps:wsp>
                    <wps:wsp>
                      <wps:cNvPr id="6" name="Shape 15"/>
                      <wps:cNvSpPr/>
                      <wps:spPr>
                        <a:xfrm>
                          <a:off x="757492" y="125726"/>
                          <a:ext cx="63856" cy="148585"/>
                        </a:xfrm>
                        <a:custGeom>
                          <a:avLst/>
                          <a:gdLst/>
                          <a:ahLst/>
                          <a:cxnLst/>
                          <a:rect l="0" t="0" r="0" b="0"/>
                          <a:pathLst>
                            <a:path w="63856" h="148585">
                              <a:moveTo>
                                <a:pt x="0" y="0"/>
                              </a:moveTo>
                              <a:lnTo>
                                <a:pt x="3779" y="0"/>
                              </a:lnTo>
                              <a:cubicBezTo>
                                <a:pt x="21942" y="0"/>
                                <a:pt x="35278" y="4825"/>
                                <a:pt x="44804" y="14350"/>
                              </a:cubicBezTo>
                              <a:cubicBezTo>
                                <a:pt x="54330" y="22859"/>
                                <a:pt x="58141" y="35305"/>
                                <a:pt x="58141" y="49528"/>
                              </a:cubicBezTo>
                              <a:cubicBezTo>
                                <a:pt x="58141" y="67689"/>
                                <a:pt x="49504" y="84833"/>
                                <a:pt x="31468" y="93342"/>
                              </a:cubicBezTo>
                              <a:lnTo>
                                <a:pt x="63856" y="148585"/>
                              </a:lnTo>
                              <a:lnTo>
                                <a:pt x="20926" y="148585"/>
                              </a:lnTo>
                              <a:lnTo>
                                <a:pt x="0" y="109728"/>
                              </a:lnTo>
                              <a:lnTo>
                                <a:pt x="0" y="66673"/>
                              </a:lnTo>
                              <a:lnTo>
                                <a:pt x="1873" y="66673"/>
                              </a:lnTo>
                              <a:cubicBezTo>
                                <a:pt x="26641" y="67689"/>
                                <a:pt x="24736" y="32383"/>
                                <a:pt x="3779" y="34289"/>
                              </a:cubicBezTo>
                              <a:lnTo>
                                <a:pt x="0" y="34289"/>
                              </a:lnTo>
                              <a:lnTo>
                                <a:pt x="0" y="0"/>
                              </a:lnTo>
                              <a:close/>
                            </a:path>
                          </a:pathLst>
                        </a:custGeom>
                        <a:grpFill/>
                        <a:ln w="0" cap="flat">
                          <a:solidFill>
                            <a:schemeClr val="bg2"/>
                          </a:solidFill>
                          <a:miter lim="127000"/>
                        </a:ln>
                        <a:effectLst/>
                      </wps:spPr>
                      <wps:bodyPr/>
                    </wps:wsp>
                    <wps:wsp>
                      <wps:cNvPr id="8" name="Shape 17"/>
                      <wps:cNvSpPr/>
                      <wps:spPr>
                        <a:xfrm>
                          <a:off x="877616" y="125726"/>
                          <a:ext cx="107581" cy="148585"/>
                        </a:xfrm>
                        <a:custGeom>
                          <a:avLst/>
                          <a:gdLst/>
                          <a:ahLst/>
                          <a:cxnLst/>
                          <a:rect l="0" t="0" r="0" b="0"/>
                          <a:pathLst>
                            <a:path w="107581" h="148585">
                              <a:moveTo>
                                <a:pt x="0" y="0"/>
                              </a:moveTo>
                              <a:lnTo>
                                <a:pt x="107581" y="0"/>
                              </a:lnTo>
                              <a:lnTo>
                                <a:pt x="107581" y="34289"/>
                              </a:lnTo>
                              <a:lnTo>
                                <a:pt x="38104" y="34289"/>
                              </a:lnTo>
                              <a:lnTo>
                                <a:pt x="38104" y="56259"/>
                              </a:lnTo>
                              <a:lnTo>
                                <a:pt x="101865" y="56259"/>
                              </a:lnTo>
                              <a:lnTo>
                                <a:pt x="101865" y="91437"/>
                              </a:lnTo>
                              <a:lnTo>
                                <a:pt x="38104" y="91437"/>
                              </a:lnTo>
                              <a:lnTo>
                                <a:pt x="38104" y="113407"/>
                              </a:lnTo>
                              <a:lnTo>
                                <a:pt x="106692" y="113407"/>
                              </a:lnTo>
                              <a:lnTo>
                                <a:pt x="106692" y="148585"/>
                              </a:lnTo>
                              <a:lnTo>
                                <a:pt x="0" y="148585"/>
                              </a:lnTo>
                              <a:lnTo>
                                <a:pt x="0" y="0"/>
                              </a:lnTo>
                              <a:close/>
                            </a:path>
                          </a:pathLst>
                        </a:custGeom>
                        <a:grpFill/>
                        <a:ln w="0" cap="flat">
                          <a:solidFill>
                            <a:schemeClr val="bg2"/>
                          </a:solidFill>
                          <a:miter lim="127000"/>
                        </a:ln>
                        <a:effectLst/>
                      </wps:spPr>
                      <wps:bodyPr/>
                    </wps:wsp>
                    <wps:wsp>
                      <wps:cNvPr id="9" name="Shape 19"/>
                      <wps:cNvSpPr/>
                      <wps:spPr>
                        <a:xfrm>
                          <a:off x="1037654" y="122932"/>
                          <a:ext cx="142001" cy="153284"/>
                        </a:xfrm>
                        <a:custGeom>
                          <a:avLst/>
                          <a:gdLst/>
                          <a:ahLst/>
                          <a:cxnLst/>
                          <a:rect l="0" t="0" r="0" b="0"/>
                          <a:pathLst>
                            <a:path w="142001" h="153284">
                              <a:moveTo>
                                <a:pt x="76208" y="0"/>
                              </a:moveTo>
                              <a:cubicBezTo>
                                <a:pt x="102881" y="0"/>
                                <a:pt x="126760" y="11429"/>
                                <a:pt x="140096" y="29463"/>
                              </a:cubicBezTo>
                              <a:lnTo>
                                <a:pt x="116218" y="54226"/>
                              </a:lnTo>
                              <a:cubicBezTo>
                                <a:pt x="104786" y="41908"/>
                                <a:pt x="92466" y="36193"/>
                                <a:pt x="79130" y="36193"/>
                              </a:cubicBezTo>
                              <a:cubicBezTo>
                                <a:pt x="67698" y="36193"/>
                                <a:pt x="58045" y="40003"/>
                                <a:pt x="50424" y="47623"/>
                              </a:cubicBezTo>
                              <a:cubicBezTo>
                                <a:pt x="42804" y="55242"/>
                                <a:pt x="38993" y="65656"/>
                                <a:pt x="38993" y="77086"/>
                              </a:cubicBezTo>
                              <a:cubicBezTo>
                                <a:pt x="38993" y="88516"/>
                                <a:pt x="42804" y="98040"/>
                                <a:pt x="50424" y="106676"/>
                              </a:cubicBezTo>
                              <a:cubicBezTo>
                                <a:pt x="58045" y="114296"/>
                                <a:pt x="67698" y="118106"/>
                                <a:pt x="79130" y="118106"/>
                              </a:cubicBezTo>
                              <a:cubicBezTo>
                                <a:pt x="93355" y="118106"/>
                                <a:pt x="105803" y="111375"/>
                                <a:pt x="117234" y="99056"/>
                              </a:cubicBezTo>
                              <a:lnTo>
                                <a:pt x="142001" y="122804"/>
                              </a:lnTo>
                              <a:cubicBezTo>
                                <a:pt x="135270" y="131440"/>
                                <a:pt x="125744" y="139061"/>
                                <a:pt x="114313" y="144774"/>
                              </a:cubicBezTo>
                              <a:cubicBezTo>
                                <a:pt x="102881" y="150489"/>
                                <a:pt x="90561" y="153284"/>
                                <a:pt x="76208" y="153284"/>
                              </a:cubicBezTo>
                              <a:cubicBezTo>
                                <a:pt x="54235" y="153284"/>
                                <a:pt x="36199" y="146679"/>
                                <a:pt x="21846" y="132329"/>
                              </a:cubicBezTo>
                              <a:cubicBezTo>
                                <a:pt x="6604" y="118106"/>
                                <a:pt x="0" y="99945"/>
                                <a:pt x="0" y="77086"/>
                              </a:cubicBezTo>
                              <a:cubicBezTo>
                                <a:pt x="0" y="55242"/>
                                <a:pt x="7621" y="36193"/>
                                <a:pt x="21846" y="21843"/>
                              </a:cubicBezTo>
                              <a:cubicBezTo>
                                <a:pt x="37088" y="7619"/>
                                <a:pt x="55251" y="0"/>
                                <a:pt x="76208" y="0"/>
                              </a:cubicBezTo>
                              <a:close/>
                            </a:path>
                          </a:pathLst>
                        </a:custGeom>
                        <a:grpFill/>
                        <a:ln w="0" cap="flat">
                          <a:solidFill>
                            <a:schemeClr val="bg2"/>
                          </a:solidFill>
                          <a:miter lim="127000"/>
                        </a:ln>
                        <a:effectLst/>
                      </wps:spPr>
                      <wps:bodyPr/>
                    </wps:wsp>
                    <wps:wsp>
                      <wps:cNvPr id="10" name="Shape 1326"/>
                      <wps:cNvSpPr/>
                      <wps:spPr>
                        <a:xfrm>
                          <a:off x="1226269" y="125726"/>
                          <a:ext cx="38104" cy="148585"/>
                        </a:xfrm>
                        <a:custGeom>
                          <a:avLst/>
                          <a:gdLst/>
                          <a:ahLst/>
                          <a:cxnLst/>
                          <a:rect l="0" t="0" r="0" b="0"/>
                          <a:pathLst>
                            <a:path w="38104" h="148585">
                              <a:moveTo>
                                <a:pt x="0" y="0"/>
                              </a:moveTo>
                              <a:lnTo>
                                <a:pt x="38104" y="0"/>
                              </a:lnTo>
                              <a:lnTo>
                                <a:pt x="38104" y="148585"/>
                              </a:lnTo>
                              <a:lnTo>
                                <a:pt x="0" y="148585"/>
                              </a:lnTo>
                              <a:lnTo>
                                <a:pt x="0" y="0"/>
                              </a:lnTo>
                            </a:path>
                          </a:pathLst>
                        </a:custGeom>
                        <a:grpFill/>
                        <a:ln w="0" cap="flat">
                          <a:solidFill>
                            <a:schemeClr val="bg2"/>
                          </a:solidFill>
                          <a:miter lim="127000"/>
                        </a:ln>
                        <a:effectLst/>
                      </wps:spPr>
                      <wps:bodyPr/>
                    </wps:wsp>
                    <wps:wsp>
                      <wps:cNvPr id="13" name="Shape 23"/>
                      <wps:cNvSpPr/>
                      <wps:spPr>
                        <a:xfrm>
                          <a:off x="1318735" y="123821"/>
                          <a:ext cx="119139" cy="153410"/>
                        </a:xfrm>
                        <a:custGeom>
                          <a:avLst/>
                          <a:gdLst/>
                          <a:ahLst/>
                          <a:cxnLst/>
                          <a:rect l="0" t="0" r="0" b="0"/>
                          <a:pathLst>
                            <a:path w="119139" h="153410">
                              <a:moveTo>
                                <a:pt x="63888" y="0"/>
                              </a:moveTo>
                              <a:cubicBezTo>
                                <a:pt x="84845" y="0"/>
                                <a:pt x="101992" y="5714"/>
                                <a:pt x="117234" y="18160"/>
                              </a:cubicBezTo>
                              <a:lnTo>
                                <a:pt x="99071" y="46734"/>
                              </a:lnTo>
                              <a:cubicBezTo>
                                <a:pt x="90561" y="40003"/>
                                <a:pt x="76209" y="34288"/>
                                <a:pt x="64777" y="34288"/>
                              </a:cubicBezTo>
                              <a:cubicBezTo>
                                <a:pt x="54362" y="34288"/>
                                <a:pt x="48646" y="39114"/>
                                <a:pt x="48646" y="43813"/>
                              </a:cubicBezTo>
                              <a:cubicBezTo>
                                <a:pt x="48646" y="48639"/>
                                <a:pt x="53346" y="52449"/>
                                <a:pt x="60967" y="55242"/>
                              </a:cubicBezTo>
                              <a:lnTo>
                                <a:pt x="73414" y="60068"/>
                              </a:lnTo>
                              <a:cubicBezTo>
                                <a:pt x="81035" y="62862"/>
                                <a:pt x="86751" y="64767"/>
                                <a:pt x="90561" y="66673"/>
                              </a:cubicBezTo>
                              <a:cubicBezTo>
                                <a:pt x="109613" y="74292"/>
                                <a:pt x="119139" y="87626"/>
                                <a:pt x="119139" y="105787"/>
                              </a:cubicBezTo>
                              <a:cubicBezTo>
                                <a:pt x="119139" y="119121"/>
                                <a:pt x="113424" y="130551"/>
                                <a:pt x="102882" y="140076"/>
                              </a:cubicBezTo>
                              <a:cubicBezTo>
                                <a:pt x="92466" y="148584"/>
                                <a:pt x="78114" y="153410"/>
                                <a:pt x="60078" y="153410"/>
                              </a:cubicBezTo>
                              <a:cubicBezTo>
                                <a:pt x="35183" y="153410"/>
                                <a:pt x="15242" y="144774"/>
                                <a:pt x="0" y="127630"/>
                              </a:cubicBezTo>
                              <a:lnTo>
                                <a:pt x="19052" y="100072"/>
                              </a:lnTo>
                              <a:cubicBezTo>
                                <a:pt x="31373" y="112391"/>
                                <a:pt x="45725" y="118105"/>
                                <a:pt x="60967" y="118105"/>
                              </a:cubicBezTo>
                              <a:cubicBezTo>
                                <a:pt x="69604" y="118105"/>
                                <a:pt x="77225" y="114296"/>
                                <a:pt x="77225" y="107692"/>
                              </a:cubicBezTo>
                              <a:cubicBezTo>
                                <a:pt x="77225" y="102866"/>
                                <a:pt x="73414" y="99056"/>
                                <a:pt x="65793" y="96262"/>
                              </a:cubicBezTo>
                              <a:lnTo>
                                <a:pt x="52457" y="91436"/>
                              </a:lnTo>
                              <a:cubicBezTo>
                                <a:pt x="43820" y="88643"/>
                                <a:pt x="37088" y="86737"/>
                                <a:pt x="33278" y="83817"/>
                              </a:cubicBezTo>
                              <a:cubicBezTo>
                                <a:pt x="17147" y="75308"/>
                                <a:pt x="8510" y="62862"/>
                                <a:pt x="8510" y="45718"/>
                              </a:cubicBezTo>
                              <a:cubicBezTo>
                                <a:pt x="8510" y="32383"/>
                                <a:pt x="14226" y="20954"/>
                                <a:pt x="24768" y="12445"/>
                              </a:cubicBezTo>
                              <a:cubicBezTo>
                                <a:pt x="34294" y="3810"/>
                                <a:pt x="47630" y="0"/>
                                <a:pt x="63888" y="0"/>
                              </a:cubicBezTo>
                              <a:close/>
                            </a:path>
                          </a:pathLst>
                        </a:custGeom>
                        <a:grpFill/>
                        <a:ln w="0" cap="flat">
                          <a:solidFill>
                            <a:schemeClr val="bg2"/>
                          </a:solidFill>
                          <a:miter lim="127000"/>
                        </a:ln>
                        <a:effectLst/>
                      </wps:spPr>
                      <wps:bodyPr/>
                    </wps:wsp>
                    <wps:wsp>
                      <wps:cNvPr id="16" name="Shape 1327"/>
                      <wps:cNvSpPr/>
                      <wps:spPr>
                        <a:xfrm>
                          <a:off x="1489315" y="125726"/>
                          <a:ext cx="37088" cy="148585"/>
                        </a:xfrm>
                        <a:custGeom>
                          <a:avLst/>
                          <a:gdLst/>
                          <a:ahLst/>
                          <a:cxnLst/>
                          <a:rect l="0" t="0" r="0" b="0"/>
                          <a:pathLst>
                            <a:path w="37088" h="148585">
                              <a:moveTo>
                                <a:pt x="0" y="0"/>
                              </a:moveTo>
                              <a:lnTo>
                                <a:pt x="37088" y="0"/>
                              </a:lnTo>
                              <a:lnTo>
                                <a:pt x="37088" y="148585"/>
                              </a:lnTo>
                              <a:lnTo>
                                <a:pt x="0" y="148585"/>
                              </a:lnTo>
                              <a:lnTo>
                                <a:pt x="0" y="0"/>
                              </a:lnTo>
                            </a:path>
                          </a:pathLst>
                        </a:custGeom>
                        <a:grpFill/>
                        <a:ln w="0" cap="flat">
                          <a:solidFill>
                            <a:schemeClr val="bg2"/>
                          </a:solidFill>
                          <a:miter lim="127000"/>
                        </a:ln>
                        <a:effectLst/>
                      </wps:spPr>
                      <wps:bodyPr/>
                    </wps:wsp>
                    <wps:wsp>
                      <wps:cNvPr id="18" name="Shape 27"/>
                      <wps:cNvSpPr/>
                      <wps:spPr>
                        <a:xfrm>
                          <a:off x="1585465" y="122932"/>
                          <a:ext cx="77732" cy="153284"/>
                        </a:xfrm>
                        <a:custGeom>
                          <a:avLst/>
                          <a:gdLst/>
                          <a:ahLst/>
                          <a:cxnLst/>
                          <a:rect l="0" t="0" r="0" b="0"/>
                          <a:pathLst>
                            <a:path w="77732" h="153284">
                              <a:moveTo>
                                <a:pt x="77225" y="0"/>
                              </a:moveTo>
                              <a:lnTo>
                                <a:pt x="77732" y="95"/>
                              </a:lnTo>
                              <a:lnTo>
                                <a:pt x="77732" y="37179"/>
                              </a:lnTo>
                              <a:lnTo>
                                <a:pt x="77225" y="37082"/>
                              </a:lnTo>
                              <a:cubicBezTo>
                                <a:pt x="66809" y="37082"/>
                                <a:pt x="57283" y="40892"/>
                                <a:pt x="49662" y="48513"/>
                              </a:cubicBezTo>
                              <a:cubicBezTo>
                                <a:pt x="42931" y="56131"/>
                                <a:pt x="39120" y="65656"/>
                                <a:pt x="39120" y="77086"/>
                              </a:cubicBezTo>
                              <a:cubicBezTo>
                                <a:pt x="39120" y="88516"/>
                                <a:pt x="42931" y="98040"/>
                                <a:pt x="49662" y="105660"/>
                              </a:cubicBezTo>
                              <a:cubicBezTo>
                                <a:pt x="57283" y="112391"/>
                                <a:pt x="66809" y="116201"/>
                                <a:pt x="77225" y="116201"/>
                              </a:cubicBezTo>
                              <a:lnTo>
                                <a:pt x="77732" y="116111"/>
                              </a:lnTo>
                              <a:lnTo>
                                <a:pt x="77732" y="153198"/>
                              </a:lnTo>
                              <a:lnTo>
                                <a:pt x="77225" y="153284"/>
                              </a:lnTo>
                              <a:cubicBezTo>
                                <a:pt x="55378" y="153284"/>
                                <a:pt x="37215" y="146679"/>
                                <a:pt x="21973" y="131440"/>
                              </a:cubicBezTo>
                              <a:cubicBezTo>
                                <a:pt x="7621" y="117090"/>
                                <a:pt x="0" y="99056"/>
                                <a:pt x="0" y="77086"/>
                              </a:cubicBezTo>
                              <a:cubicBezTo>
                                <a:pt x="0" y="55242"/>
                                <a:pt x="7621" y="37082"/>
                                <a:pt x="21973" y="22859"/>
                              </a:cubicBezTo>
                              <a:cubicBezTo>
                                <a:pt x="37215" y="7619"/>
                                <a:pt x="55378" y="0"/>
                                <a:pt x="77225" y="0"/>
                              </a:cubicBezTo>
                              <a:close/>
                            </a:path>
                          </a:pathLst>
                        </a:custGeom>
                        <a:grpFill/>
                        <a:ln w="0" cap="flat">
                          <a:solidFill>
                            <a:schemeClr val="bg2"/>
                          </a:solidFill>
                          <a:miter lim="127000"/>
                        </a:ln>
                        <a:effectLst/>
                      </wps:spPr>
                      <wps:bodyPr/>
                    </wps:wsp>
                    <wps:wsp>
                      <wps:cNvPr id="20" name="Shape 28"/>
                      <wps:cNvSpPr/>
                      <wps:spPr>
                        <a:xfrm>
                          <a:off x="1663197" y="123027"/>
                          <a:ext cx="77606" cy="153104"/>
                        </a:xfrm>
                        <a:custGeom>
                          <a:avLst/>
                          <a:gdLst/>
                          <a:ahLst/>
                          <a:cxnLst/>
                          <a:rect l="0" t="0" r="0" b="0"/>
                          <a:pathLst>
                            <a:path w="77606" h="153104">
                              <a:moveTo>
                                <a:pt x="0" y="0"/>
                              </a:moveTo>
                              <a:lnTo>
                                <a:pt x="30150" y="5620"/>
                              </a:lnTo>
                              <a:cubicBezTo>
                                <a:pt x="39565" y="9430"/>
                                <a:pt x="48139" y="15144"/>
                                <a:pt x="55759" y="22764"/>
                              </a:cubicBezTo>
                              <a:cubicBezTo>
                                <a:pt x="69985" y="36988"/>
                                <a:pt x="77606" y="55148"/>
                                <a:pt x="77606" y="76991"/>
                              </a:cubicBezTo>
                              <a:cubicBezTo>
                                <a:pt x="77606" y="98961"/>
                                <a:pt x="69985" y="116995"/>
                                <a:pt x="55759" y="131345"/>
                              </a:cubicBezTo>
                              <a:cubicBezTo>
                                <a:pt x="48139" y="138965"/>
                                <a:pt x="39787" y="144426"/>
                                <a:pt x="30483" y="147982"/>
                              </a:cubicBezTo>
                              <a:lnTo>
                                <a:pt x="0" y="153104"/>
                              </a:lnTo>
                              <a:lnTo>
                                <a:pt x="0" y="116017"/>
                              </a:lnTo>
                              <a:lnTo>
                                <a:pt x="15099" y="113360"/>
                              </a:lnTo>
                              <a:cubicBezTo>
                                <a:pt x="19751" y="111566"/>
                                <a:pt x="23815" y="108931"/>
                                <a:pt x="27181" y="105566"/>
                              </a:cubicBezTo>
                              <a:cubicBezTo>
                                <a:pt x="34802" y="97945"/>
                                <a:pt x="38612" y="88421"/>
                                <a:pt x="38612" y="76991"/>
                              </a:cubicBezTo>
                              <a:cubicBezTo>
                                <a:pt x="38612" y="65562"/>
                                <a:pt x="34802" y="56037"/>
                                <a:pt x="27181" y="48418"/>
                              </a:cubicBezTo>
                              <a:cubicBezTo>
                                <a:pt x="23371" y="44608"/>
                                <a:pt x="19084" y="41750"/>
                                <a:pt x="14432" y="39845"/>
                              </a:cubicBezTo>
                              <a:lnTo>
                                <a:pt x="0" y="37085"/>
                              </a:lnTo>
                              <a:lnTo>
                                <a:pt x="0" y="0"/>
                              </a:lnTo>
                              <a:close/>
                            </a:path>
                          </a:pathLst>
                        </a:custGeom>
                        <a:grpFill/>
                        <a:ln w="0" cap="flat">
                          <a:solidFill>
                            <a:schemeClr val="bg2"/>
                          </a:solidFill>
                          <a:miter lim="127000"/>
                        </a:ln>
                        <a:effectLst/>
                      </wps:spPr>
                      <wps:bodyPr/>
                    </wps:wsp>
                    <wps:wsp>
                      <wps:cNvPr id="21" name="Shape 30"/>
                      <wps:cNvSpPr/>
                      <wps:spPr>
                        <a:xfrm>
                          <a:off x="1784623" y="125726"/>
                          <a:ext cx="132475" cy="148585"/>
                        </a:xfrm>
                        <a:custGeom>
                          <a:avLst/>
                          <a:gdLst/>
                          <a:ahLst/>
                          <a:cxnLst/>
                          <a:rect l="0" t="0" r="0" b="0"/>
                          <a:pathLst>
                            <a:path w="132475" h="148585">
                              <a:moveTo>
                                <a:pt x="0" y="0"/>
                              </a:moveTo>
                              <a:lnTo>
                                <a:pt x="26673" y="0"/>
                              </a:lnTo>
                              <a:lnTo>
                                <a:pt x="95260" y="81023"/>
                              </a:lnTo>
                              <a:lnTo>
                                <a:pt x="95260" y="0"/>
                              </a:lnTo>
                              <a:lnTo>
                                <a:pt x="132475" y="0"/>
                              </a:lnTo>
                              <a:lnTo>
                                <a:pt x="132475" y="148585"/>
                              </a:lnTo>
                              <a:lnTo>
                                <a:pt x="104913" y="148585"/>
                              </a:lnTo>
                              <a:lnTo>
                                <a:pt x="37215" y="68578"/>
                              </a:lnTo>
                              <a:lnTo>
                                <a:pt x="37215" y="148585"/>
                              </a:lnTo>
                              <a:lnTo>
                                <a:pt x="0" y="148585"/>
                              </a:lnTo>
                              <a:lnTo>
                                <a:pt x="0" y="0"/>
                              </a:lnTo>
                              <a:close/>
                            </a:path>
                          </a:pathLst>
                        </a:custGeom>
                        <a:grpFill/>
                        <a:ln w="0" cap="flat">
                          <a:solidFill>
                            <a:schemeClr val="bg2"/>
                          </a:solidFill>
                          <a:miter lim="127000"/>
                        </a:ln>
                        <a:effectLst/>
                      </wps:spPr>
                      <wps:bodyPr/>
                    </wps:wsp>
                    <wps:wsp>
                      <wps:cNvPr id="22" name="Shape 32"/>
                      <wps:cNvSpPr/>
                      <wps:spPr>
                        <a:xfrm>
                          <a:off x="2029506" y="125726"/>
                          <a:ext cx="71445" cy="148585"/>
                        </a:xfrm>
                        <a:custGeom>
                          <a:avLst/>
                          <a:gdLst/>
                          <a:ahLst/>
                          <a:cxnLst/>
                          <a:rect l="0" t="0" r="0" b="0"/>
                          <a:pathLst>
                            <a:path w="71445" h="148585">
                              <a:moveTo>
                                <a:pt x="54362" y="0"/>
                              </a:moveTo>
                              <a:lnTo>
                                <a:pt x="71445" y="0"/>
                              </a:lnTo>
                              <a:lnTo>
                                <a:pt x="71445" y="45024"/>
                              </a:lnTo>
                              <a:lnTo>
                                <a:pt x="57156" y="88643"/>
                              </a:lnTo>
                              <a:lnTo>
                                <a:pt x="71445" y="88643"/>
                              </a:lnTo>
                              <a:lnTo>
                                <a:pt x="71445" y="121027"/>
                              </a:lnTo>
                              <a:lnTo>
                                <a:pt x="47630" y="121027"/>
                              </a:lnTo>
                              <a:lnTo>
                                <a:pt x="38104" y="148585"/>
                              </a:lnTo>
                              <a:lnTo>
                                <a:pt x="0" y="148585"/>
                              </a:lnTo>
                              <a:lnTo>
                                <a:pt x="54362" y="0"/>
                              </a:lnTo>
                              <a:close/>
                            </a:path>
                          </a:pathLst>
                        </a:custGeom>
                        <a:grpFill/>
                        <a:ln w="0" cap="flat">
                          <a:solidFill>
                            <a:schemeClr val="bg2"/>
                          </a:solidFill>
                          <a:miter lim="127000"/>
                        </a:ln>
                        <a:effectLst/>
                      </wps:spPr>
                      <wps:bodyPr/>
                    </wps:wsp>
                    <wps:wsp>
                      <wps:cNvPr id="24" name="Shape 33"/>
                      <wps:cNvSpPr/>
                      <wps:spPr>
                        <a:xfrm>
                          <a:off x="2100951" y="125726"/>
                          <a:ext cx="70556" cy="148585"/>
                        </a:xfrm>
                        <a:custGeom>
                          <a:avLst/>
                          <a:gdLst/>
                          <a:ahLst/>
                          <a:cxnLst/>
                          <a:rect l="0" t="0" r="0" b="0"/>
                          <a:pathLst>
                            <a:path w="70556" h="148585">
                              <a:moveTo>
                                <a:pt x="0" y="0"/>
                              </a:moveTo>
                              <a:lnTo>
                                <a:pt x="17210" y="0"/>
                              </a:lnTo>
                              <a:lnTo>
                                <a:pt x="70556" y="148585"/>
                              </a:lnTo>
                              <a:lnTo>
                                <a:pt x="31436" y="148585"/>
                              </a:lnTo>
                              <a:lnTo>
                                <a:pt x="22926" y="121027"/>
                              </a:lnTo>
                              <a:lnTo>
                                <a:pt x="0" y="121027"/>
                              </a:lnTo>
                              <a:lnTo>
                                <a:pt x="0" y="88643"/>
                              </a:lnTo>
                              <a:lnTo>
                                <a:pt x="14289" y="88643"/>
                              </a:lnTo>
                              <a:lnTo>
                                <a:pt x="64" y="44830"/>
                              </a:lnTo>
                              <a:lnTo>
                                <a:pt x="0" y="45024"/>
                              </a:lnTo>
                              <a:lnTo>
                                <a:pt x="0" y="0"/>
                              </a:lnTo>
                              <a:close/>
                            </a:path>
                          </a:pathLst>
                        </a:custGeom>
                        <a:grpFill/>
                        <a:ln w="0" cap="flat">
                          <a:solidFill>
                            <a:schemeClr val="bg2"/>
                          </a:solidFill>
                          <a:miter lim="127000"/>
                        </a:ln>
                        <a:effectLst/>
                      </wps:spPr>
                      <wps:bodyPr/>
                    </wps:wsp>
                    <wps:wsp>
                      <wps:cNvPr id="25" name="Shape 35"/>
                      <wps:cNvSpPr/>
                      <wps:spPr>
                        <a:xfrm>
                          <a:off x="0" y="0"/>
                          <a:ext cx="396373" cy="364858"/>
                        </a:xfrm>
                        <a:custGeom>
                          <a:avLst/>
                          <a:gdLst/>
                          <a:ahLst/>
                          <a:cxnLst/>
                          <a:rect l="0" t="0" r="0" b="0"/>
                          <a:pathLst>
                            <a:path w="396373" h="364858">
                              <a:moveTo>
                                <a:pt x="182938" y="0"/>
                              </a:moveTo>
                              <a:lnTo>
                                <a:pt x="216292" y="14350"/>
                              </a:lnTo>
                              <a:lnTo>
                                <a:pt x="216292" y="89532"/>
                              </a:lnTo>
                              <a:lnTo>
                                <a:pt x="379226" y="13335"/>
                              </a:lnTo>
                              <a:cubicBezTo>
                                <a:pt x="386846" y="9525"/>
                                <a:pt x="396373" y="15239"/>
                                <a:pt x="396373" y="24764"/>
                              </a:cubicBezTo>
                              <a:lnTo>
                                <a:pt x="396373" y="101978"/>
                              </a:lnTo>
                              <a:cubicBezTo>
                                <a:pt x="396373" y="154299"/>
                                <a:pt x="365889" y="201033"/>
                                <a:pt x="318246" y="221988"/>
                              </a:cubicBezTo>
                              <a:lnTo>
                                <a:pt x="316341" y="222877"/>
                              </a:lnTo>
                              <a:lnTo>
                                <a:pt x="252504" y="252468"/>
                              </a:lnTo>
                              <a:lnTo>
                                <a:pt x="252504" y="216274"/>
                              </a:lnTo>
                              <a:lnTo>
                                <a:pt x="304910" y="191509"/>
                              </a:lnTo>
                              <a:cubicBezTo>
                                <a:pt x="340156" y="175254"/>
                                <a:pt x="363031" y="140965"/>
                                <a:pt x="363031" y="101978"/>
                              </a:cubicBezTo>
                              <a:lnTo>
                                <a:pt x="363031" y="57148"/>
                              </a:lnTo>
                              <a:lnTo>
                                <a:pt x="244870" y="112391"/>
                              </a:lnTo>
                              <a:cubicBezTo>
                                <a:pt x="226771" y="121027"/>
                                <a:pt x="216292" y="138171"/>
                                <a:pt x="216292" y="158109"/>
                              </a:cubicBezTo>
                              <a:lnTo>
                                <a:pt x="217245" y="347714"/>
                              </a:lnTo>
                              <a:lnTo>
                                <a:pt x="182938" y="364858"/>
                              </a:lnTo>
                              <a:lnTo>
                                <a:pt x="182938" y="267706"/>
                              </a:lnTo>
                              <a:lnTo>
                                <a:pt x="78126" y="221988"/>
                              </a:lnTo>
                              <a:cubicBezTo>
                                <a:pt x="31436" y="201033"/>
                                <a:pt x="0" y="154299"/>
                                <a:pt x="0" y="101978"/>
                              </a:cubicBezTo>
                              <a:lnTo>
                                <a:pt x="0" y="22859"/>
                              </a:lnTo>
                              <a:cubicBezTo>
                                <a:pt x="0" y="15239"/>
                                <a:pt x="8573" y="9525"/>
                                <a:pt x="16194" y="12446"/>
                              </a:cubicBezTo>
                              <a:lnTo>
                                <a:pt x="144834" y="71499"/>
                              </a:lnTo>
                              <a:lnTo>
                                <a:pt x="144834" y="107692"/>
                              </a:lnTo>
                              <a:lnTo>
                                <a:pt x="33341" y="56259"/>
                              </a:lnTo>
                              <a:lnTo>
                                <a:pt x="33341" y="101978"/>
                              </a:lnTo>
                              <a:cubicBezTo>
                                <a:pt x="33341" y="140965"/>
                                <a:pt x="56216" y="176270"/>
                                <a:pt x="91463" y="191509"/>
                              </a:cubicBezTo>
                              <a:lnTo>
                                <a:pt x="182938" y="231513"/>
                              </a:lnTo>
                              <a:lnTo>
                                <a:pt x="182938" y="0"/>
                              </a:lnTo>
                              <a:close/>
                            </a:path>
                          </a:pathLst>
                        </a:custGeom>
                        <a:grpFill/>
                        <a:ln w="0" cap="flat">
                          <a:solidFill>
                            <a:schemeClr val="bg2"/>
                          </a:solidFill>
                          <a:miter lim="127000"/>
                        </a:ln>
                        <a:effectLst/>
                      </wps:spPr>
                      <wps:bodyPr/>
                    </wps:wsp>
                  </wpg:wgp>
                </a:graphicData>
              </a:graphic>
            </wp:anchor>
          </w:drawing>
        </mc:Choice>
        <mc:Fallback>
          <w:pict>
            <v:group w14:anchorId="493B87E7" id="Group 1" o:spid="_x0000_s1026" style="position:absolute;margin-left:-15.85pt;margin-top:-17.8pt;width:176.6pt;height:28.7pt;z-index:251663360" coordsize="22430,3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">
              <v:shape id="Shape 1325" o:spid="_x0000_s1027" style="position:absolute;left:22087;top:1257;width:343;height:1496;visibility:visible;mso-wrap-style:square;v-text-anchor:top" coordsize="34294,149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" path="m,l34294,r,149601l,149601,,e" filled="f" strokecolor="#04cca5 [3214]" strokeweight="0">
                <v:stroke miterlimit="83231f" joinstyle="miter"/>
                <v:path arrowok="t" textboxrect="0,0,34294,149601"/>
              </v:shape>
              <v:shape id="Shape 11" o:spid="_x0000_s1028" style="position:absolute;left:5288;top:1257;width:577;height:1486;visibility:visible;mso-wrap-style:square;v-text-anchor:top" coordsize="57677,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" path="m,l57677,r,34289l38117,34289r,33400l57677,67689r,34218l57169,101978r-19052,l38117,148585,,148585,,xe" filled="f" strokecolor="#04cca5 [3214]" strokeweight="0">
                <v:stroke miterlimit="83231f" joinstyle="miter"/>
                <v:path arrowok="t" textboxrect="0,0,57677,148585"/>
              </v:shape>
              <v:shape id="Shape 12" o:spid="_x0000_s1029" style="position:absolute;left:5865;top:1257;width:576;height:1019;visibility:visible;mso-wrap-style:square;v-text-anchor:top" coordsize="57664,101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" path="m,l1397,c20449,,34802,4825,43312,15239v9526,9525,14352,21970,14352,36194c57664,66673,52838,78102,43312,87627,38549,92389,32611,95977,25355,98374l,101907,,67689r1397,c12828,67689,19560,60958,19560,51433v,-9525,-7621,-17144,-18163,-17144l,34289,,xe" filled="f" strokecolor="#04cca5 [3214]" strokeweight="0">
                <v:stroke miterlimit="83231f" joinstyle="miter"/>
                <v:path arrowok="t" textboxrect="0,0,57664,101907"/>
              </v:shape>
              <v:shape id="Shape 14" o:spid="_x0000_s1030" style="position:absolute;left:6994;top:1257;width:580;height:1486;visibility:visible;mso-wrap-style:square;v-text-anchor:top" coordsize="58077,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" path="m,l58077,r,34289l38104,34289r,32384l58077,66673r,43055l52330,99056r-14226,l38104,148585,,148585,,xe" filled="f" strokecolor="#04cca5 [3214]" strokeweight="0">
                <v:stroke miterlimit="83231f" joinstyle="miter"/>
                <v:path arrowok="t" textboxrect="0,0,58077,148585"/>
              </v:shape>
              <v:shape id="Shape 15" o:spid="_x0000_s1031" style="position:absolute;left:7574;top:1257;width:639;height:1486;visibility:visible;mso-wrap-style:square;v-text-anchor:top" coordsize="63856,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" path="m,l3779,c21942,,35278,4825,44804,14350v9526,8509,13337,20955,13337,35178c58141,67689,49504,84833,31468,93342r32388,55243l20926,148585,,109728,,66673r1873,c26641,67689,24736,32383,3779,34289l,34289,,xe" filled="f" strokecolor="#04cca5 [3214]" strokeweight="0">
                <v:stroke miterlimit="83231f" joinstyle="miter"/>
                <v:path arrowok="t" textboxrect="0,0,63856,148585"/>
              </v:shape>
              <v:shape id="Shape 17" o:spid="_x0000_s1032" style="position:absolute;left:8776;top:1257;width:1075;height:1486;visibility:visible;mso-wrap-style:square;v-text-anchor:top" coordsize="107581,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" path="m,l107581,r,34289l38104,34289r,21970l101865,56259r,35178l38104,91437r,21970l106692,113407r,35178l,148585,,xe" filled="f" strokecolor="#04cca5 [3214]" strokeweight="0">
                <v:stroke miterlimit="83231f" joinstyle="miter"/>
                <v:path arrowok="t" textboxrect="0,0,107581,148585"/>
              </v:shape>
              <v:shape id="Shape 19" o:spid="_x0000_s1033" style="position:absolute;left:10376;top:1229;width:1420;height:1533;visibility:visible;mso-wrap-style:square;v-text-anchor:top" coordsize="142001,15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" path="m76208,v26673,,50552,11429,63888,29463l116218,54226c104786,41908,92466,36193,79130,36193v-11432,,-21085,3810,-28706,11430c42804,55242,38993,65656,38993,77086v,11430,3811,20954,11431,29590c58045,114296,67698,118106,79130,118106v14225,,26673,-6731,38104,-19050l142001,122804v-6731,8636,-16257,16257,-27688,21970c102881,150489,90561,153284,76208,153284v-21973,,-40009,-6605,-54362,-20955c6604,118106,,99945,,77086,,55242,7621,36193,21846,21843,37088,7619,55251,,76208,xe" filled="f" strokecolor="#04cca5 [3214]" strokeweight="0">
                <v:stroke miterlimit="83231f" joinstyle="miter"/>
                <v:path arrowok="t" textboxrect="0,0,142001,153284"/>
              </v:shape>
              <v:shape id="Shape 1326" o:spid="_x0000_s1034" style="position:absolute;left:12262;top:1257;width:381;height:1486;visibility:visible;mso-wrap-style:square;v-text-anchor:top" coordsize="38104,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" path="m,l38104,r,148585l,148585,,e" filled="f" strokecolor="#04cca5 [3214]" strokeweight="0">
                <v:stroke miterlimit="83231f" joinstyle="miter"/>
                <v:path arrowok="t" textboxrect="0,0,38104,148585"/>
              </v:shape>
              <v:shape id="Shape 23" o:spid="_x0000_s1035" style="position:absolute;left:13187;top:1238;width:1191;height:1534;visibility:visible;mso-wrap-style:square;v-text-anchor:top" coordsize="119139,15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" path="m63888,v20957,,38104,5714,53346,18160l99071,46734c90561,40003,76209,34288,64777,34288v-10415,,-16131,4826,-16131,9525c48646,48639,53346,52449,60967,55242r12447,4826c81035,62862,86751,64767,90561,66673v19052,7619,28578,20953,28578,39114c119139,119121,113424,130551,102882,140076v-10416,8508,-24768,13334,-42804,13334c35183,153410,15242,144774,,127630l19052,100072v12321,12319,26673,18033,41915,18033c69604,118105,77225,114296,77225,107692v,-4826,-3811,-8636,-11432,-11430l52457,91436c43820,88643,37088,86737,33278,83817,17147,75308,8510,62862,8510,45718v,-13335,5716,-24764,16258,-33273c34294,3810,47630,,63888,xe" filled="f" strokecolor="#04cca5 [3214]" strokeweight="0">
                <v:stroke miterlimit="83231f" joinstyle="miter"/>
                <v:path arrowok="t" textboxrect="0,0,119139,153410"/>
              </v:shape>
              <v:shape id="Shape 1327" o:spid="_x0000_s1036" style="position:absolute;left:14893;top:1257;width:371;height:1486;visibility:visible;mso-wrap-style:square;v-text-anchor:top" coordsize="37088,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" path="m,l37088,r,148585l,148585,,e" filled="f" strokecolor="#04cca5 [3214]" strokeweight="0">
                <v:stroke miterlimit="83231f" joinstyle="miter"/>
                <v:path arrowok="t" textboxrect="0,0,37088,148585"/>
              </v:shape>
              <v:shape id="Shape 27" o:spid="_x0000_s1037" style="position:absolute;left:15854;top:1229;width:777;height:1533;visibility:visible;mso-wrap-style:square;v-text-anchor:top" coordsize="77732,15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" path="m77225,r507,95l77732,37179r-507,-97c66809,37082,57283,40892,49662,48513,42931,56131,39120,65656,39120,77086v,11430,3811,20954,10542,28574c57283,112391,66809,116201,77225,116201r507,-90l77732,153198r-507,86c55378,153284,37215,146679,21973,131440,7621,117090,,99056,,77086,,55242,7621,37082,21973,22859,37215,7619,55378,,77225,xe" filled="f" strokecolor="#04cca5 [3214]" strokeweight="0">
                <v:stroke miterlimit="83231f" joinstyle="miter"/>
                <v:path arrowok="t" textboxrect="0,0,77732,153284"/>
              </v:shape>
              <v:shape id="Shape 28" o:spid="_x0000_s1038" style="position:absolute;left:16631;top:1230;width:777;height:1531;visibility:visible;mso-wrap-style:square;v-text-anchor:top" coordsize="77606,153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" path="m,l30150,5620v9415,3810,17989,9524,25609,17144c69985,36988,77606,55148,77606,76991v,21970,-7621,40004,-21847,54354c48139,138965,39787,144426,30483,147982l,153104,,116017r15099,-2657c19751,111566,23815,108931,27181,105566,34802,97945,38612,88421,38612,76991v,-11429,-3810,-20954,-11431,-28573c23371,44608,19084,41750,14432,39845l,37085,,xe" filled="f" strokecolor="#04cca5 [3214]" strokeweight="0">
                <v:stroke miterlimit="83231f" joinstyle="miter"/>
                <v:path arrowok="t" textboxrect="0,0,77606,153104"/>
              </v:shape>
              <v:shape id="Shape 30" o:spid="_x0000_s1039" style="position:absolute;left:17846;top:1257;width:1324;height:1486;visibility:visible;mso-wrap-style:square;v-text-anchor:top" coordsize="132475,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" path="m,l26673,,95260,81023,95260,r37215,l132475,148585r-27562,l37215,68578r,80007l,148585,,xe" filled="f" strokecolor="#04cca5 [3214]" strokeweight="0">
                <v:stroke miterlimit="83231f" joinstyle="miter"/>
                <v:path arrowok="t" textboxrect="0,0,132475,148585"/>
              </v:shape>
              <v:shape id="Shape 32" o:spid="_x0000_s1040" style="position:absolute;left:20295;top:1257;width:714;height:1486;visibility:visible;mso-wrap-style:square;v-text-anchor:top" coordsize="71445,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" path="m54362,l71445,r,45024l57156,88643r14289,l71445,121027r-23815,l38104,148585,,148585,54362,xe" filled="f" strokecolor="#04cca5 [3214]" strokeweight="0">
                <v:stroke miterlimit="83231f" joinstyle="miter"/>
                <v:path arrowok="t" textboxrect="0,0,71445,148585"/>
              </v:shape>
              <v:shape id="Shape 33" o:spid="_x0000_s1041" style="position:absolute;left:21009;top:1257;width:706;height:1486;visibility:visible;mso-wrap-style:square;v-text-anchor:top" coordsize="70556,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" path="m,l17210,,70556,148585r-39120,l22926,121027,,121027,,88643r14289,l64,44830,,45024,,xe" filled="f" strokecolor="#04cca5 [3214]" strokeweight="0">
                <v:stroke miterlimit="83231f" joinstyle="miter"/>
                <v:path arrowok="t" textboxrect="0,0,70556,148585"/>
              </v:shape>
              <v:shape id="Shape 35" o:spid="_x0000_s1042" style="position:absolute;width:3963;height:3648;visibility:visible;mso-wrap-style:square;v-text-anchor:top" coordsize="396373,36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" path="m182938,r33354,14350l216292,89532,379226,13335v7620,-3810,17147,1904,17147,11429l396373,101978v,52321,-30484,99055,-78127,120010l316341,222877r-63837,29591l252504,216274r52406,-24765c340156,175254,363031,140965,363031,101978r,-44830l244870,112391v-18099,8636,-28578,25780,-28578,45718l217245,347714r-34307,17144l182938,267706,78126,221988c31436,201033,,154299,,101978l,22859c,15239,8573,9525,16194,12446l144834,71499r,36193l33341,56259r,45719c33341,140965,56216,176270,91463,191509r91475,40004l182938,xe" filled="f" strokecolor="#04cca5 [3214]" strokeweight="0">
                <v:stroke miterlimit="83231f" joinstyle="miter"/>
                <v:path arrowok="t" textboxrect="0,0,396373,36485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B78EC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F40F2"/>
    <w:multiLevelType w:val="multilevel"/>
    <w:tmpl w:val="753E4EE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7AA3BDB"/>
    <w:multiLevelType w:val="multilevel"/>
    <w:tmpl w:val="05D28E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84A339B"/>
    <w:multiLevelType w:val="multilevel"/>
    <w:tmpl w:val="F0B86B0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9E971B4"/>
    <w:multiLevelType w:val="multilevel"/>
    <w:tmpl w:val="CC58F3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F891D7E"/>
    <w:multiLevelType w:val="multilevel"/>
    <w:tmpl w:val="3F88B1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1646C96"/>
    <w:multiLevelType w:val="multilevel"/>
    <w:tmpl w:val="F8C2AE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4E12716"/>
    <w:multiLevelType w:val="multilevel"/>
    <w:tmpl w:val="4DB2FE3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59700FD"/>
    <w:multiLevelType w:val="multilevel"/>
    <w:tmpl w:val="18EC8F7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7DC1088"/>
    <w:multiLevelType w:val="multilevel"/>
    <w:tmpl w:val="DEB095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9227574"/>
    <w:multiLevelType w:val="multilevel"/>
    <w:tmpl w:val="7E88B63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9700EE2"/>
    <w:multiLevelType w:val="multilevel"/>
    <w:tmpl w:val="32A2B93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1CAD60C5"/>
    <w:multiLevelType w:val="multilevel"/>
    <w:tmpl w:val="6316A1A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1D9E6BFF"/>
    <w:multiLevelType w:val="multilevel"/>
    <w:tmpl w:val="AA365B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1DBE3F43"/>
    <w:multiLevelType w:val="multilevel"/>
    <w:tmpl w:val="456CC4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1F1648CA"/>
    <w:multiLevelType w:val="multilevel"/>
    <w:tmpl w:val="783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F225F"/>
    <w:multiLevelType w:val="multilevel"/>
    <w:tmpl w:val="BA306C1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027391D"/>
    <w:multiLevelType w:val="multilevel"/>
    <w:tmpl w:val="B010C3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21765ACE"/>
    <w:multiLevelType w:val="multilevel"/>
    <w:tmpl w:val="BAEA5C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21F73526"/>
    <w:multiLevelType w:val="multilevel"/>
    <w:tmpl w:val="570E4D1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24451B19"/>
    <w:multiLevelType w:val="multilevel"/>
    <w:tmpl w:val="754677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26553308"/>
    <w:multiLevelType w:val="multilevel"/>
    <w:tmpl w:val="0FB02C5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280F72CE"/>
    <w:multiLevelType w:val="multilevel"/>
    <w:tmpl w:val="3BEACE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282A16C9"/>
    <w:multiLevelType w:val="multilevel"/>
    <w:tmpl w:val="9438A47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2A20374B"/>
    <w:multiLevelType w:val="multilevel"/>
    <w:tmpl w:val="E1562C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2D3336B1"/>
    <w:multiLevelType w:val="multilevel"/>
    <w:tmpl w:val="DCA4365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2DC17022"/>
    <w:multiLevelType w:val="multilevel"/>
    <w:tmpl w:val="134002E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2DCB73D1"/>
    <w:multiLevelType w:val="multilevel"/>
    <w:tmpl w:val="DB52985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2E802EBE"/>
    <w:multiLevelType w:val="multilevel"/>
    <w:tmpl w:val="DCDA2B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2FD425B0"/>
    <w:multiLevelType w:val="multilevel"/>
    <w:tmpl w:val="370667F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30130BC9"/>
    <w:multiLevelType w:val="multilevel"/>
    <w:tmpl w:val="88AEEB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3885779D"/>
    <w:multiLevelType w:val="multilevel"/>
    <w:tmpl w:val="492A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6C05F4"/>
    <w:multiLevelType w:val="multilevel"/>
    <w:tmpl w:val="0C0EEE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3B9F1468"/>
    <w:multiLevelType w:val="multilevel"/>
    <w:tmpl w:val="07DE42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3E6A2B0B"/>
    <w:multiLevelType w:val="multilevel"/>
    <w:tmpl w:val="DBCE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F3191E"/>
    <w:multiLevelType w:val="multilevel"/>
    <w:tmpl w:val="961069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43DC0EC0"/>
    <w:multiLevelType w:val="multilevel"/>
    <w:tmpl w:val="276E254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4B5E24A2"/>
    <w:multiLevelType w:val="multilevel"/>
    <w:tmpl w:val="04F0ABD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4C341EF3"/>
    <w:multiLevelType w:val="multilevel"/>
    <w:tmpl w:val="217E234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58A91F6B"/>
    <w:multiLevelType w:val="multilevel"/>
    <w:tmpl w:val="EF1A7C5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5ABD3E67"/>
    <w:multiLevelType w:val="multilevel"/>
    <w:tmpl w:val="73BEDE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645429DB"/>
    <w:multiLevelType w:val="multilevel"/>
    <w:tmpl w:val="D2BC2C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64D6238F"/>
    <w:multiLevelType w:val="multilevel"/>
    <w:tmpl w:val="B79C552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65AE1E99"/>
    <w:multiLevelType w:val="multilevel"/>
    <w:tmpl w:val="1D42B70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670D191C"/>
    <w:multiLevelType w:val="multilevel"/>
    <w:tmpl w:val="FEC2DC3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6BAB5BC0"/>
    <w:multiLevelType w:val="multilevel"/>
    <w:tmpl w:val="431ABE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6EC2529C"/>
    <w:multiLevelType w:val="multilevel"/>
    <w:tmpl w:val="BDC22F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713E1DD0"/>
    <w:multiLevelType w:val="multilevel"/>
    <w:tmpl w:val="C80E45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74D85586"/>
    <w:multiLevelType w:val="multilevel"/>
    <w:tmpl w:val="852C7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1A21D7"/>
    <w:multiLevelType w:val="multilevel"/>
    <w:tmpl w:val="BB0A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EC4EB6"/>
    <w:multiLevelType w:val="multilevel"/>
    <w:tmpl w:val="BE30B8C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232691590">
    <w:abstractNumId w:val="0"/>
  </w:num>
  <w:num w:numId="2" w16cid:durableId="510342360">
    <w:abstractNumId w:val="31"/>
  </w:num>
  <w:num w:numId="3" w16cid:durableId="2145655219">
    <w:abstractNumId w:val="34"/>
  </w:num>
  <w:num w:numId="4" w16cid:durableId="1566984980">
    <w:abstractNumId w:val="15"/>
  </w:num>
  <w:num w:numId="5" w16cid:durableId="1477641869">
    <w:abstractNumId w:val="49"/>
  </w:num>
  <w:num w:numId="6" w16cid:durableId="441456689">
    <w:abstractNumId w:val="48"/>
  </w:num>
  <w:num w:numId="7" w16cid:durableId="703291319">
    <w:abstractNumId w:val="42"/>
  </w:num>
  <w:num w:numId="8" w16cid:durableId="1027294712">
    <w:abstractNumId w:val="26"/>
  </w:num>
  <w:num w:numId="9" w16cid:durableId="1017929735">
    <w:abstractNumId w:val="43"/>
  </w:num>
  <w:num w:numId="10" w16cid:durableId="866795446">
    <w:abstractNumId w:val="30"/>
  </w:num>
  <w:num w:numId="11" w16cid:durableId="647589522">
    <w:abstractNumId w:val="46"/>
  </w:num>
  <w:num w:numId="12" w16cid:durableId="384910576">
    <w:abstractNumId w:val="20"/>
  </w:num>
  <w:num w:numId="13" w16cid:durableId="2024362162">
    <w:abstractNumId w:val="24"/>
  </w:num>
  <w:num w:numId="14" w16cid:durableId="994727165">
    <w:abstractNumId w:val="28"/>
  </w:num>
  <w:num w:numId="15" w16cid:durableId="1146164879">
    <w:abstractNumId w:val="7"/>
  </w:num>
  <w:num w:numId="16" w16cid:durableId="636643306">
    <w:abstractNumId w:val="29"/>
  </w:num>
  <w:num w:numId="17" w16cid:durableId="1314455685">
    <w:abstractNumId w:val="2"/>
  </w:num>
  <w:num w:numId="18" w16cid:durableId="2053769435">
    <w:abstractNumId w:val="32"/>
  </w:num>
  <w:num w:numId="19" w16cid:durableId="441263517">
    <w:abstractNumId w:val="9"/>
  </w:num>
  <w:num w:numId="20" w16cid:durableId="1028946901">
    <w:abstractNumId w:val="14"/>
  </w:num>
  <w:num w:numId="21" w16cid:durableId="1790512838">
    <w:abstractNumId w:val="40"/>
  </w:num>
  <w:num w:numId="22" w16cid:durableId="639190928">
    <w:abstractNumId w:val="11"/>
  </w:num>
  <w:num w:numId="23" w16cid:durableId="1076825944">
    <w:abstractNumId w:val="18"/>
  </w:num>
  <w:num w:numId="24" w16cid:durableId="1607687372">
    <w:abstractNumId w:val="45"/>
  </w:num>
  <w:num w:numId="25" w16cid:durableId="536628309">
    <w:abstractNumId w:val="22"/>
  </w:num>
  <w:num w:numId="26" w16cid:durableId="1228566861">
    <w:abstractNumId w:val="4"/>
  </w:num>
  <w:num w:numId="27" w16cid:durableId="2039233244">
    <w:abstractNumId w:val="21"/>
  </w:num>
  <w:num w:numId="28" w16cid:durableId="1447700783">
    <w:abstractNumId w:val="36"/>
  </w:num>
  <w:num w:numId="29" w16cid:durableId="2117283295">
    <w:abstractNumId w:val="5"/>
  </w:num>
  <w:num w:numId="30" w16cid:durableId="1966499409">
    <w:abstractNumId w:val="47"/>
  </w:num>
  <w:num w:numId="31" w16cid:durableId="593707087">
    <w:abstractNumId w:val="19"/>
  </w:num>
  <w:num w:numId="32" w16cid:durableId="2136365209">
    <w:abstractNumId w:val="41"/>
  </w:num>
  <w:num w:numId="33" w16cid:durableId="1214274959">
    <w:abstractNumId w:val="25"/>
  </w:num>
  <w:num w:numId="34" w16cid:durableId="688413535">
    <w:abstractNumId w:val="12"/>
  </w:num>
  <w:num w:numId="35" w16cid:durableId="59331411">
    <w:abstractNumId w:val="23"/>
  </w:num>
  <w:num w:numId="36" w16cid:durableId="140510543">
    <w:abstractNumId w:val="17"/>
  </w:num>
  <w:num w:numId="37" w16cid:durableId="2141414810">
    <w:abstractNumId w:val="35"/>
  </w:num>
  <w:num w:numId="38" w16cid:durableId="484317090">
    <w:abstractNumId w:val="39"/>
  </w:num>
  <w:num w:numId="39" w16cid:durableId="677314602">
    <w:abstractNumId w:val="13"/>
  </w:num>
  <w:num w:numId="40" w16cid:durableId="1345010287">
    <w:abstractNumId w:val="6"/>
  </w:num>
  <w:num w:numId="41" w16cid:durableId="1368721917">
    <w:abstractNumId w:val="37"/>
  </w:num>
  <w:num w:numId="42" w16cid:durableId="811679034">
    <w:abstractNumId w:val="50"/>
  </w:num>
  <w:num w:numId="43" w16cid:durableId="1978292083">
    <w:abstractNumId w:val="8"/>
  </w:num>
  <w:num w:numId="44" w16cid:durableId="1932738072">
    <w:abstractNumId w:val="33"/>
  </w:num>
  <w:num w:numId="45" w16cid:durableId="895973414">
    <w:abstractNumId w:val="38"/>
  </w:num>
  <w:num w:numId="46" w16cid:durableId="1031153318">
    <w:abstractNumId w:val="16"/>
  </w:num>
  <w:num w:numId="47" w16cid:durableId="5716427">
    <w:abstractNumId w:val="1"/>
  </w:num>
  <w:num w:numId="48" w16cid:durableId="1715344762">
    <w:abstractNumId w:val="44"/>
  </w:num>
  <w:num w:numId="49" w16cid:durableId="1540779978">
    <w:abstractNumId w:val="3"/>
  </w:num>
  <w:num w:numId="50" w16cid:durableId="1440877339">
    <w:abstractNumId w:val="10"/>
  </w:num>
  <w:num w:numId="51" w16cid:durableId="2018533159">
    <w:abstractNumId w:val="2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6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D0E"/>
    <w:rsid w:val="00000580"/>
    <w:rsid w:val="00037C5C"/>
    <w:rsid w:val="00047F4B"/>
    <w:rsid w:val="00064896"/>
    <w:rsid w:val="000667B7"/>
    <w:rsid w:val="000836BB"/>
    <w:rsid w:val="00090E54"/>
    <w:rsid w:val="000A6FCE"/>
    <w:rsid w:val="000B36DF"/>
    <w:rsid w:val="000C11D8"/>
    <w:rsid w:val="000C19EC"/>
    <w:rsid w:val="000D0C4C"/>
    <w:rsid w:val="000D0D2B"/>
    <w:rsid w:val="000D2336"/>
    <w:rsid w:val="000E0010"/>
    <w:rsid w:val="000E47AD"/>
    <w:rsid w:val="000F028D"/>
    <w:rsid w:val="000F34A0"/>
    <w:rsid w:val="000F498A"/>
    <w:rsid w:val="000F50ED"/>
    <w:rsid w:val="0010152B"/>
    <w:rsid w:val="00102957"/>
    <w:rsid w:val="0010470B"/>
    <w:rsid w:val="00107263"/>
    <w:rsid w:val="00110AB8"/>
    <w:rsid w:val="00125028"/>
    <w:rsid w:val="00133F68"/>
    <w:rsid w:val="0013584D"/>
    <w:rsid w:val="00136BFA"/>
    <w:rsid w:val="00151943"/>
    <w:rsid w:val="00153F07"/>
    <w:rsid w:val="00161461"/>
    <w:rsid w:val="0016398D"/>
    <w:rsid w:val="00173D2D"/>
    <w:rsid w:val="00182952"/>
    <w:rsid w:val="00185713"/>
    <w:rsid w:val="001A3466"/>
    <w:rsid w:val="001A6CF8"/>
    <w:rsid w:val="001B433B"/>
    <w:rsid w:val="001C2B6D"/>
    <w:rsid w:val="001C39DC"/>
    <w:rsid w:val="001C5447"/>
    <w:rsid w:val="001D1815"/>
    <w:rsid w:val="001D52E5"/>
    <w:rsid w:val="001E5F0D"/>
    <w:rsid w:val="002209F6"/>
    <w:rsid w:val="00221673"/>
    <w:rsid w:val="002401DA"/>
    <w:rsid w:val="00246DA6"/>
    <w:rsid w:val="00251B72"/>
    <w:rsid w:val="00256CC7"/>
    <w:rsid w:val="00257391"/>
    <w:rsid w:val="002603A3"/>
    <w:rsid w:val="002757A0"/>
    <w:rsid w:val="0028561F"/>
    <w:rsid w:val="002867A8"/>
    <w:rsid w:val="00286EAB"/>
    <w:rsid w:val="00290AC6"/>
    <w:rsid w:val="00297B21"/>
    <w:rsid w:val="002B21D8"/>
    <w:rsid w:val="002B4049"/>
    <w:rsid w:val="002C1E2D"/>
    <w:rsid w:val="002D59D0"/>
    <w:rsid w:val="002E0A7F"/>
    <w:rsid w:val="002E58FB"/>
    <w:rsid w:val="00304B57"/>
    <w:rsid w:val="00312490"/>
    <w:rsid w:val="00312C06"/>
    <w:rsid w:val="0031746F"/>
    <w:rsid w:val="00330E89"/>
    <w:rsid w:val="0034481B"/>
    <w:rsid w:val="00347AE4"/>
    <w:rsid w:val="00352E30"/>
    <w:rsid w:val="003540B9"/>
    <w:rsid w:val="00355404"/>
    <w:rsid w:val="00355EDD"/>
    <w:rsid w:val="00376605"/>
    <w:rsid w:val="00393663"/>
    <w:rsid w:val="003A2C36"/>
    <w:rsid w:val="003A3421"/>
    <w:rsid w:val="003C084D"/>
    <w:rsid w:val="003E5B99"/>
    <w:rsid w:val="003E6152"/>
    <w:rsid w:val="003E7618"/>
    <w:rsid w:val="00400546"/>
    <w:rsid w:val="00406678"/>
    <w:rsid w:val="00407CFD"/>
    <w:rsid w:val="0041325B"/>
    <w:rsid w:val="004223D7"/>
    <w:rsid w:val="00454D3E"/>
    <w:rsid w:val="00484F96"/>
    <w:rsid w:val="00486D20"/>
    <w:rsid w:val="00487950"/>
    <w:rsid w:val="004B04CD"/>
    <w:rsid w:val="004C05C9"/>
    <w:rsid w:val="004C1F9F"/>
    <w:rsid w:val="004F7D42"/>
    <w:rsid w:val="00501620"/>
    <w:rsid w:val="00501D94"/>
    <w:rsid w:val="00507BEF"/>
    <w:rsid w:val="00511C66"/>
    <w:rsid w:val="00525664"/>
    <w:rsid w:val="00531C3B"/>
    <w:rsid w:val="005322F5"/>
    <w:rsid w:val="0053434B"/>
    <w:rsid w:val="005657FD"/>
    <w:rsid w:val="0057254B"/>
    <w:rsid w:val="00575372"/>
    <w:rsid w:val="00576FBA"/>
    <w:rsid w:val="00577FAF"/>
    <w:rsid w:val="00594B1D"/>
    <w:rsid w:val="005A1A19"/>
    <w:rsid w:val="005B0898"/>
    <w:rsid w:val="005C33B1"/>
    <w:rsid w:val="005D3568"/>
    <w:rsid w:val="005E14F0"/>
    <w:rsid w:val="005F161E"/>
    <w:rsid w:val="005F53E4"/>
    <w:rsid w:val="00600C82"/>
    <w:rsid w:val="00610C02"/>
    <w:rsid w:val="00615EE6"/>
    <w:rsid w:val="00616620"/>
    <w:rsid w:val="006234A3"/>
    <w:rsid w:val="0062585A"/>
    <w:rsid w:val="006275A8"/>
    <w:rsid w:val="00657FA6"/>
    <w:rsid w:val="006715CE"/>
    <w:rsid w:val="0067695A"/>
    <w:rsid w:val="0068102B"/>
    <w:rsid w:val="00681703"/>
    <w:rsid w:val="006A5424"/>
    <w:rsid w:val="006C1FE8"/>
    <w:rsid w:val="006C3ED7"/>
    <w:rsid w:val="006C5EBA"/>
    <w:rsid w:val="006D3F79"/>
    <w:rsid w:val="006D5D57"/>
    <w:rsid w:val="006E440D"/>
    <w:rsid w:val="006E6624"/>
    <w:rsid w:val="006F7535"/>
    <w:rsid w:val="00702E61"/>
    <w:rsid w:val="00720634"/>
    <w:rsid w:val="0072273E"/>
    <w:rsid w:val="00730F09"/>
    <w:rsid w:val="007460CF"/>
    <w:rsid w:val="0075038E"/>
    <w:rsid w:val="00753C5A"/>
    <w:rsid w:val="00756B73"/>
    <w:rsid w:val="0075709A"/>
    <w:rsid w:val="0076430B"/>
    <w:rsid w:val="00775386"/>
    <w:rsid w:val="00777527"/>
    <w:rsid w:val="0078487A"/>
    <w:rsid w:val="00792BEA"/>
    <w:rsid w:val="007C3C7A"/>
    <w:rsid w:val="007C68DF"/>
    <w:rsid w:val="007E5AE5"/>
    <w:rsid w:val="0082762B"/>
    <w:rsid w:val="008317B7"/>
    <w:rsid w:val="008330D8"/>
    <w:rsid w:val="008525A1"/>
    <w:rsid w:val="008538B3"/>
    <w:rsid w:val="008627E6"/>
    <w:rsid w:val="008722DD"/>
    <w:rsid w:val="00882B17"/>
    <w:rsid w:val="0089527B"/>
    <w:rsid w:val="008A0F3E"/>
    <w:rsid w:val="008A1EAC"/>
    <w:rsid w:val="008D0CD5"/>
    <w:rsid w:val="008E0709"/>
    <w:rsid w:val="008E3528"/>
    <w:rsid w:val="008F717E"/>
    <w:rsid w:val="009202C1"/>
    <w:rsid w:val="009251A6"/>
    <w:rsid w:val="00935898"/>
    <w:rsid w:val="0095180E"/>
    <w:rsid w:val="00951A33"/>
    <w:rsid w:val="009561D8"/>
    <w:rsid w:val="009734D2"/>
    <w:rsid w:val="00974185"/>
    <w:rsid w:val="009836BF"/>
    <w:rsid w:val="00987BEE"/>
    <w:rsid w:val="009C0BCA"/>
    <w:rsid w:val="009D5BAE"/>
    <w:rsid w:val="009E2DB0"/>
    <w:rsid w:val="009F1111"/>
    <w:rsid w:val="00A12364"/>
    <w:rsid w:val="00A21C42"/>
    <w:rsid w:val="00A53E25"/>
    <w:rsid w:val="00A541F4"/>
    <w:rsid w:val="00A5742B"/>
    <w:rsid w:val="00A653ED"/>
    <w:rsid w:val="00A74FE2"/>
    <w:rsid w:val="00A87208"/>
    <w:rsid w:val="00AA5B29"/>
    <w:rsid w:val="00AA7661"/>
    <w:rsid w:val="00AB1119"/>
    <w:rsid w:val="00AC0F16"/>
    <w:rsid w:val="00AC6282"/>
    <w:rsid w:val="00AD40DB"/>
    <w:rsid w:val="00B001FA"/>
    <w:rsid w:val="00B00E59"/>
    <w:rsid w:val="00B572D8"/>
    <w:rsid w:val="00B70577"/>
    <w:rsid w:val="00B845F4"/>
    <w:rsid w:val="00B964B4"/>
    <w:rsid w:val="00B96E35"/>
    <w:rsid w:val="00BA2317"/>
    <w:rsid w:val="00BA6DDA"/>
    <w:rsid w:val="00BB301F"/>
    <w:rsid w:val="00BB5381"/>
    <w:rsid w:val="00BC366E"/>
    <w:rsid w:val="00BC49D5"/>
    <w:rsid w:val="00BC657E"/>
    <w:rsid w:val="00BD41A1"/>
    <w:rsid w:val="00BE798A"/>
    <w:rsid w:val="00BE7FA5"/>
    <w:rsid w:val="00C01522"/>
    <w:rsid w:val="00C24062"/>
    <w:rsid w:val="00C245F3"/>
    <w:rsid w:val="00C4100A"/>
    <w:rsid w:val="00C47184"/>
    <w:rsid w:val="00C52B9A"/>
    <w:rsid w:val="00C65A2C"/>
    <w:rsid w:val="00C70548"/>
    <w:rsid w:val="00C81997"/>
    <w:rsid w:val="00C87876"/>
    <w:rsid w:val="00CA2DAE"/>
    <w:rsid w:val="00CA6250"/>
    <w:rsid w:val="00CC5EDE"/>
    <w:rsid w:val="00CD2D82"/>
    <w:rsid w:val="00CF332B"/>
    <w:rsid w:val="00D00328"/>
    <w:rsid w:val="00D030C6"/>
    <w:rsid w:val="00D22F64"/>
    <w:rsid w:val="00D30663"/>
    <w:rsid w:val="00D31A84"/>
    <w:rsid w:val="00D35D0E"/>
    <w:rsid w:val="00D35F35"/>
    <w:rsid w:val="00D42AD8"/>
    <w:rsid w:val="00D87FDD"/>
    <w:rsid w:val="00D9627F"/>
    <w:rsid w:val="00DC5DB0"/>
    <w:rsid w:val="00DC7098"/>
    <w:rsid w:val="00DD6478"/>
    <w:rsid w:val="00DE73A1"/>
    <w:rsid w:val="00E110EF"/>
    <w:rsid w:val="00E25C7C"/>
    <w:rsid w:val="00E37446"/>
    <w:rsid w:val="00E46EB6"/>
    <w:rsid w:val="00E50F47"/>
    <w:rsid w:val="00E661F8"/>
    <w:rsid w:val="00E70AE4"/>
    <w:rsid w:val="00E73AD6"/>
    <w:rsid w:val="00E93729"/>
    <w:rsid w:val="00E97CAF"/>
    <w:rsid w:val="00E97F96"/>
    <w:rsid w:val="00EA691C"/>
    <w:rsid w:val="00EB26F7"/>
    <w:rsid w:val="00EB27B7"/>
    <w:rsid w:val="00F070F8"/>
    <w:rsid w:val="00F17A69"/>
    <w:rsid w:val="00F25998"/>
    <w:rsid w:val="00F323FE"/>
    <w:rsid w:val="00F33EEC"/>
    <w:rsid w:val="00F5769A"/>
    <w:rsid w:val="00F6236A"/>
    <w:rsid w:val="00F715BD"/>
    <w:rsid w:val="00F721AC"/>
    <w:rsid w:val="00F73D01"/>
    <w:rsid w:val="00F857AA"/>
    <w:rsid w:val="00F905DB"/>
    <w:rsid w:val="00FA630C"/>
    <w:rsid w:val="00FB0D48"/>
    <w:rsid w:val="00FB3B74"/>
    <w:rsid w:val="00FB7D19"/>
    <w:rsid w:val="00FE6968"/>
    <w:rsid w:val="00FF3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046D4371"/>
  <w15:docId w15:val="{FDA02DF0-934A-4D36-B592-6ADFDBDC0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957"/>
  </w:style>
  <w:style w:type="paragraph" w:styleId="Heading1">
    <w:name w:val="heading 1"/>
    <w:basedOn w:val="Normal"/>
    <w:next w:val="Normal"/>
    <w:link w:val="Heading1Char"/>
    <w:uiPriority w:val="9"/>
    <w:qFormat/>
    <w:rsid w:val="00C24062"/>
    <w:pPr>
      <w:pBdr>
        <w:top w:val="single" w:sz="24" w:space="0" w:color="03987B" w:themeColor="background2" w:themeShade="BF"/>
        <w:left w:val="single" w:sz="24" w:space="0" w:color="03987B" w:themeColor="background2" w:themeShade="BF"/>
        <w:bottom w:val="single" w:sz="24" w:space="0" w:color="03987B" w:themeColor="background2" w:themeShade="BF"/>
        <w:right w:val="single" w:sz="24" w:space="0" w:color="03987B" w:themeColor="background2" w:themeShade="BF"/>
      </w:pBdr>
      <w:shd w:val="clear" w:color="auto" w:fill="03987B" w:themeFill="background2" w:themeFillShade="BF"/>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836BB"/>
    <w:pPr>
      <w:pBdr>
        <w:top w:val="single" w:sz="24" w:space="0" w:color="FFFFFF" w:themeColor="background1"/>
        <w:left w:val="single" w:sz="24" w:space="0" w:color="FFFFFF" w:themeColor="background1"/>
        <w:bottom w:val="single" w:sz="24" w:space="0" w:color="FFFFFF" w:themeColor="background1"/>
        <w:right w:val="single" w:sz="24" w:space="0" w:color="FFFFFF" w:themeColor="background1"/>
      </w:pBdr>
      <w:shd w:val="clear" w:color="auto" w:fill="FFFFFF" w:themeFill="background1"/>
      <w:spacing w:after="0"/>
      <w:outlineLvl w:val="1"/>
    </w:pPr>
    <w:rPr>
      <w:b/>
      <w:caps/>
      <w:color w:val="03987B" w:themeColor="background2" w:themeShade="BF"/>
      <w:spacing w:val="15"/>
    </w:rPr>
  </w:style>
  <w:style w:type="paragraph" w:styleId="Heading3">
    <w:name w:val="heading 3"/>
    <w:basedOn w:val="Normal"/>
    <w:next w:val="Normal"/>
    <w:link w:val="Heading3Char"/>
    <w:uiPriority w:val="9"/>
    <w:unhideWhenUsed/>
    <w:qFormat/>
    <w:rsid w:val="00577FAF"/>
    <w:pPr>
      <w:pBdr>
        <w:top w:val="single" w:sz="6" w:space="2" w:color="6DF2A3" w:themeColor="accent1"/>
      </w:pBdr>
      <w:spacing w:before="300" w:after="240"/>
      <w:outlineLvl w:val="2"/>
    </w:pPr>
    <w:rPr>
      <w:caps/>
      <w:color w:val="00697C" w:themeColor="text2"/>
      <w:spacing w:val="15"/>
    </w:rPr>
  </w:style>
  <w:style w:type="paragraph" w:styleId="Heading4">
    <w:name w:val="heading 4"/>
    <w:basedOn w:val="Normal"/>
    <w:next w:val="Normal"/>
    <w:link w:val="Heading4Char"/>
    <w:uiPriority w:val="9"/>
    <w:unhideWhenUsed/>
    <w:qFormat/>
    <w:rsid w:val="003A2C36"/>
    <w:pPr>
      <w:pBdr>
        <w:top w:val="dotted" w:sz="6" w:space="2" w:color="6DF2A3" w:themeColor="accent1"/>
      </w:pBdr>
      <w:spacing w:before="200" w:after="0"/>
      <w:outlineLvl w:val="3"/>
    </w:pPr>
    <w:rPr>
      <w:caps/>
      <w:spacing w:val="10"/>
    </w:rPr>
  </w:style>
  <w:style w:type="paragraph" w:styleId="Heading5">
    <w:name w:val="heading 5"/>
    <w:basedOn w:val="Normal"/>
    <w:next w:val="Normal"/>
    <w:link w:val="Heading5Char"/>
    <w:uiPriority w:val="9"/>
    <w:unhideWhenUsed/>
    <w:qFormat/>
    <w:rsid w:val="00102957"/>
    <w:pPr>
      <w:pBdr>
        <w:bottom w:val="single" w:sz="6" w:space="1" w:color="6DF2A3" w:themeColor="accent1"/>
      </w:pBdr>
      <w:spacing w:before="200" w:after="0"/>
      <w:outlineLvl w:val="4"/>
    </w:pPr>
    <w:rPr>
      <w:caps/>
      <w:color w:val="1BEA6F" w:themeColor="accent1" w:themeShade="BF"/>
      <w:spacing w:val="10"/>
    </w:rPr>
  </w:style>
  <w:style w:type="paragraph" w:styleId="Heading6">
    <w:name w:val="heading 6"/>
    <w:basedOn w:val="Normal"/>
    <w:next w:val="Normal"/>
    <w:link w:val="Heading6Char"/>
    <w:uiPriority w:val="9"/>
    <w:semiHidden/>
    <w:unhideWhenUsed/>
    <w:qFormat/>
    <w:rsid w:val="00102957"/>
    <w:pPr>
      <w:pBdr>
        <w:bottom w:val="dotted" w:sz="6" w:space="1" w:color="6DF2A3" w:themeColor="accent1"/>
      </w:pBdr>
      <w:spacing w:before="200" w:after="0"/>
      <w:outlineLvl w:val="5"/>
    </w:pPr>
    <w:rPr>
      <w:caps/>
      <w:color w:val="1BEA6F" w:themeColor="accent1" w:themeShade="BF"/>
      <w:spacing w:val="10"/>
    </w:rPr>
  </w:style>
  <w:style w:type="paragraph" w:styleId="Heading7">
    <w:name w:val="heading 7"/>
    <w:basedOn w:val="Normal"/>
    <w:next w:val="Normal"/>
    <w:link w:val="Heading7Char"/>
    <w:uiPriority w:val="9"/>
    <w:semiHidden/>
    <w:unhideWhenUsed/>
    <w:qFormat/>
    <w:rsid w:val="00102957"/>
    <w:pPr>
      <w:spacing w:before="200" w:after="0"/>
      <w:outlineLvl w:val="6"/>
    </w:pPr>
    <w:rPr>
      <w:caps/>
      <w:color w:val="1BEA6F" w:themeColor="accent1" w:themeShade="BF"/>
      <w:spacing w:val="10"/>
    </w:rPr>
  </w:style>
  <w:style w:type="paragraph" w:styleId="Heading8">
    <w:name w:val="heading 8"/>
    <w:basedOn w:val="Normal"/>
    <w:next w:val="Normal"/>
    <w:link w:val="Heading8Char"/>
    <w:uiPriority w:val="9"/>
    <w:semiHidden/>
    <w:unhideWhenUsed/>
    <w:qFormat/>
    <w:rsid w:val="0010295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02957"/>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3F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F07"/>
    <w:rPr>
      <w:rFonts w:ascii="Calibri" w:eastAsia="Calibri" w:hAnsi="Calibri" w:cs="Calibri"/>
      <w:color w:val="000000"/>
    </w:rPr>
  </w:style>
  <w:style w:type="paragraph" w:styleId="Footer">
    <w:name w:val="footer"/>
    <w:basedOn w:val="Normal"/>
    <w:link w:val="FooterChar"/>
    <w:uiPriority w:val="99"/>
    <w:unhideWhenUsed/>
    <w:rsid w:val="00153F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F07"/>
    <w:rPr>
      <w:rFonts w:ascii="Calibri" w:eastAsia="Calibri" w:hAnsi="Calibri" w:cs="Calibri"/>
      <w:color w:val="000000"/>
    </w:rPr>
  </w:style>
  <w:style w:type="paragraph" w:customStyle="1" w:styleId="PAIStyle">
    <w:name w:val="PAI Style"/>
    <w:basedOn w:val="Normal"/>
    <w:link w:val="PAIStyleChar"/>
    <w:rsid w:val="00C70548"/>
    <w:pPr>
      <w:spacing w:after="432"/>
      <w:ind w:left="-297"/>
    </w:pPr>
    <w:rPr>
      <w:rFonts w:eastAsia="Epilogue" w:cs="Epilogue"/>
      <w:b/>
      <w:sz w:val="28"/>
    </w:rPr>
  </w:style>
  <w:style w:type="paragraph" w:customStyle="1" w:styleId="PAIStyleParagraph">
    <w:name w:val="PAI Style Paragraph"/>
    <w:basedOn w:val="Normal"/>
    <w:link w:val="PAIStyleParagraphChar"/>
    <w:rsid w:val="008A0F3E"/>
    <w:pPr>
      <w:spacing w:after="20"/>
    </w:pPr>
    <w:rPr>
      <w:rFonts w:eastAsia="Epilogue" w:cs="Epilogue"/>
    </w:rPr>
  </w:style>
  <w:style w:type="character" w:customStyle="1" w:styleId="PAIStyleChar">
    <w:name w:val="PAI Style Char"/>
    <w:basedOn w:val="DefaultParagraphFont"/>
    <w:link w:val="PAIStyle"/>
    <w:rsid w:val="00C70548"/>
    <w:rPr>
      <w:rFonts w:ascii="Inter" w:eastAsia="Epilogue" w:hAnsi="Inter" w:cs="Epilogue"/>
      <w:b/>
      <w:color w:val="000000"/>
      <w:sz w:val="28"/>
    </w:rPr>
  </w:style>
  <w:style w:type="character" w:customStyle="1" w:styleId="PAIStyleParagraphChar">
    <w:name w:val="PAI Style Paragraph Char"/>
    <w:basedOn w:val="DefaultParagraphFont"/>
    <w:link w:val="PAIStyleParagraph"/>
    <w:rsid w:val="008A0F3E"/>
    <w:rPr>
      <w:rFonts w:ascii="Inter" w:eastAsia="Epilogue" w:hAnsi="Inter" w:cs="Epilogue"/>
      <w:color w:val="000000"/>
      <w:sz w:val="20"/>
    </w:rPr>
  </w:style>
  <w:style w:type="character" w:styleId="Hyperlink">
    <w:name w:val="Hyperlink"/>
    <w:basedOn w:val="DefaultParagraphFont"/>
    <w:uiPriority w:val="99"/>
    <w:unhideWhenUsed/>
    <w:rsid w:val="00E73AD6"/>
    <w:rPr>
      <w:color w:val="04CCA5" w:themeColor="hyperlink"/>
      <w:u w:val="single"/>
    </w:rPr>
  </w:style>
  <w:style w:type="character" w:styleId="UnresolvedMention">
    <w:name w:val="Unresolved Mention"/>
    <w:basedOn w:val="DefaultParagraphFont"/>
    <w:uiPriority w:val="99"/>
    <w:semiHidden/>
    <w:unhideWhenUsed/>
    <w:rsid w:val="00E73AD6"/>
    <w:rPr>
      <w:color w:val="605E5C"/>
      <w:shd w:val="clear" w:color="auto" w:fill="E1DFDD"/>
    </w:rPr>
  </w:style>
  <w:style w:type="table" w:customStyle="1" w:styleId="NormalGrid">
    <w:name w:val="Normal Grid"/>
    <w:basedOn w:val="TableNormal"/>
    <w:uiPriority w:val="39"/>
    <w:rsid w:val="00F323FE"/>
    <w:pPr>
      <w:spacing w:after="0" w:line="240" w:lineRule="auto"/>
    </w:pPr>
    <w:rPr>
      <w:rFonts w:ascii="Georgia" w:eastAsiaTheme="minorHAnsi"/>
      <w:sz w:val="21"/>
    </w:r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C24062"/>
    <w:rPr>
      <w:caps/>
      <w:color w:val="FFFFFF" w:themeColor="background1"/>
      <w:spacing w:val="15"/>
      <w:sz w:val="22"/>
      <w:szCs w:val="22"/>
      <w:shd w:val="clear" w:color="auto" w:fill="03987B" w:themeFill="background2" w:themeFillShade="BF"/>
    </w:rPr>
  </w:style>
  <w:style w:type="character" w:customStyle="1" w:styleId="Heading2Char">
    <w:name w:val="Heading 2 Char"/>
    <w:basedOn w:val="DefaultParagraphFont"/>
    <w:link w:val="Heading2"/>
    <w:uiPriority w:val="9"/>
    <w:rsid w:val="000836BB"/>
    <w:rPr>
      <w:b/>
      <w:caps/>
      <w:color w:val="03987B" w:themeColor="background2" w:themeShade="BF"/>
      <w:spacing w:val="15"/>
      <w:shd w:val="clear" w:color="auto" w:fill="FFFFFF" w:themeFill="background1"/>
    </w:rPr>
  </w:style>
  <w:style w:type="character" w:customStyle="1" w:styleId="Heading3Char">
    <w:name w:val="Heading 3 Char"/>
    <w:basedOn w:val="DefaultParagraphFont"/>
    <w:link w:val="Heading3"/>
    <w:uiPriority w:val="9"/>
    <w:rsid w:val="00577FAF"/>
    <w:rPr>
      <w:caps/>
      <w:color w:val="00697C" w:themeColor="text2"/>
      <w:spacing w:val="15"/>
    </w:rPr>
  </w:style>
  <w:style w:type="character" w:customStyle="1" w:styleId="Heading4Char">
    <w:name w:val="Heading 4 Char"/>
    <w:basedOn w:val="DefaultParagraphFont"/>
    <w:link w:val="Heading4"/>
    <w:uiPriority w:val="9"/>
    <w:rsid w:val="003A2C36"/>
    <w:rPr>
      <w:caps/>
      <w:spacing w:val="10"/>
    </w:rPr>
  </w:style>
  <w:style w:type="character" w:customStyle="1" w:styleId="Heading5Char">
    <w:name w:val="Heading 5 Char"/>
    <w:basedOn w:val="DefaultParagraphFont"/>
    <w:link w:val="Heading5"/>
    <w:uiPriority w:val="9"/>
    <w:rsid w:val="00102957"/>
    <w:rPr>
      <w:caps/>
      <w:color w:val="1BEA6F" w:themeColor="accent1" w:themeShade="BF"/>
      <w:spacing w:val="10"/>
    </w:rPr>
  </w:style>
  <w:style w:type="character" w:customStyle="1" w:styleId="Heading6Char">
    <w:name w:val="Heading 6 Char"/>
    <w:basedOn w:val="DefaultParagraphFont"/>
    <w:link w:val="Heading6"/>
    <w:uiPriority w:val="9"/>
    <w:semiHidden/>
    <w:rsid w:val="00102957"/>
    <w:rPr>
      <w:caps/>
      <w:color w:val="1BEA6F" w:themeColor="accent1" w:themeShade="BF"/>
      <w:spacing w:val="10"/>
    </w:rPr>
  </w:style>
  <w:style w:type="character" w:customStyle="1" w:styleId="Heading7Char">
    <w:name w:val="Heading 7 Char"/>
    <w:basedOn w:val="DefaultParagraphFont"/>
    <w:link w:val="Heading7"/>
    <w:uiPriority w:val="9"/>
    <w:semiHidden/>
    <w:rsid w:val="00102957"/>
    <w:rPr>
      <w:caps/>
      <w:color w:val="1BEA6F" w:themeColor="accent1" w:themeShade="BF"/>
      <w:spacing w:val="10"/>
    </w:rPr>
  </w:style>
  <w:style w:type="character" w:customStyle="1" w:styleId="Heading8Char">
    <w:name w:val="Heading 8 Char"/>
    <w:basedOn w:val="DefaultParagraphFont"/>
    <w:link w:val="Heading8"/>
    <w:uiPriority w:val="9"/>
    <w:semiHidden/>
    <w:rsid w:val="00102957"/>
    <w:rPr>
      <w:caps/>
      <w:spacing w:val="10"/>
      <w:sz w:val="18"/>
      <w:szCs w:val="18"/>
    </w:rPr>
  </w:style>
  <w:style w:type="character" w:customStyle="1" w:styleId="Heading9Char">
    <w:name w:val="Heading 9 Char"/>
    <w:basedOn w:val="DefaultParagraphFont"/>
    <w:link w:val="Heading9"/>
    <w:uiPriority w:val="9"/>
    <w:semiHidden/>
    <w:rsid w:val="00102957"/>
    <w:rPr>
      <w:i/>
      <w:iCs/>
      <w:caps/>
      <w:spacing w:val="10"/>
      <w:sz w:val="18"/>
      <w:szCs w:val="18"/>
    </w:rPr>
  </w:style>
  <w:style w:type="paragraph" w:styleId="Caption">
    <w:name w:val="caption"/>
    <w:basedOn w:val="Normal"/>
    <w:next w:val="Normal"/>
    <w:uiPriority w:val="35"/>
    <w:semiHidden/>
    <w:unhideWhenUsed/>
    <w:qFormat/>
    <w:rsid w:val="00102957"/>
    <w:rPr>
      <w:b/>
      <w:bCs/>
      <w:color w:val="1BEA6F" w:themeColor="accent1" w:themeShade="BF"/>
      <w:sz w:val="16"/>
      <w:szCs w:val="16"/>
    </w:rPr>
  </w:style>
  <w:style w:type="paragraph" w:styleId="Title">
    <w:name w:val="Title"/>
    <w:basedOn w:val="Normal"/>
    <w:next w:val="Normal"/>
    <w:link w:val="TitleChar"/>
    <w:uiPriority w:val="10"/>
    <w:qFormat/>
    <w:rsid w:val="000E47AD"/>
    <w:pPr>
      <w:spacing w:before="0" w:after="0"/>
    </w:pPr>
    <w:rPr>
      <w:rFonts w:asciiTheme="majorHAnsi" w:eastAsiaTheme="majorEastAsia" w:hAnsiTheme="majorHAnsi" w:cstheme="majorBidi"/>
      <w:caps/>
      <w:spacing w:val="10"/>
      <w:sz w:val="52"/>
      <w:szCs w:val="52"/>
    </w:rPr>
  </w:style>
  <w:style w:type="character" w:customStyle="1" w:styleId="TitleChar">
    <w:name w:val="Title Char"/>
    <w:basedOn w:val="DefaultParagraphFont"/>
    <w:link w:val="Title"/>
    <w:uiPriority w:val="10"/>
    <w:rsid w:val="000E47AD"/>
    <w:rPr>
      <w:rFonts w:asciiTheme="majorHAnsi" w:eastAsiaTheme="majorEastAsia" w:hAnsiTheme="majorHAnsi" w:cstheme="majorBidi"/>
      <w:caps/>
      <w:spacing w:val="10"/>
      <w:sz w:val="52"/>
      <w:szCs w:val="52"/>
    </w:rPr>
  </w:style>
  <w:style w:type="paragraph" w:styleId="Subtitle">
    <w:name w:val="Subtitle"/>
    <w:basedOn w:val="Normal"/>
    <w:next w:val="Normal"/>
    <w:link w:val="SubtitleChar"/>
    <w:uiPriority w:val="11"/>
    <w:qFormat/>
    <w:rsid w:val="0010295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02957"/>
    <w:rPr>
      <w:caps/>
      <w:color w:val="595959" w:themeColor="text1" w:themeTint="A6"/>
      <w:spacing w:val="10"/>
      <w:sz w:val="21"/>
      <w:szCs w:val="21"/>
    </w:rPr>
  </w:style>
  <w:style w:type="character" w:styleId="Strong">
    <w:name w:val="Strong"/>
    <w:uiPriority w:val="22"/>
    <w:qFormat/>
    <w:rsid w:val="00102957"/>
    <w:rPr>
      <w:b/>
      <w:bCs/>
    </w:rPr>
  </w:style>
  <w:style w:type="character" w:styleId="Emphasis">
    <w:name w:val="Emphasis"/>
    <w:uiPriority w:val="20"/>
    <w:qFormat/>
    <w:rsid w:val="00102957"/>
    <w:rPr>
      <w:caps/>
      <w:color w:val="0EA049" w:themeColor="accent1" w:themeShade="7F"/>
      <w:spacing w:val="5"/>
    </w:rPr>
  </w:style>
  <w:style w:type="paragraph" w:styleId="NoSpacing">
    <w:name w:val="No Spacing"/>
    <w:uiPriority w:val="1"/>
    <w:qFormat/>
    <w:rsid w:val="00102957"/>
    <w:pPr>
      <w:spacing w:after="0" w:line="240" w:lineRule="auto"/>
    </w:pPr>
  </w:style>
  <w:style w:type="paragraph" w:styleId="Quote">
    <w:name w:val="Quote"/>
    <w:basedOn w:val="Normal"/>
    <w:next w:val="Normal"/>
    <w:link w:val="QuoteChar"/>
    <w:uiPriority w:val="29"/>
    <w:qFormat/>
    <w:rsid w:val="00102957"/>
    <w:rPr>
      <w:i/>
      <w:iCs/>
      <w:sz w:val="24"/>
      <w:szCs w:val="24"/>
    </w:rPr>
  </w:style>
  <w:style w:type="character" w:customStyle="1" w:styleId="QuoteChar">
    <w:name w:val="Quote Char"/>
    <w:basedOn w:val="DefaultParagraphFont"/>
    <w:link w:val="Quote"/>
    <w:uiPriority w:val="29"/>
    <w:rsid w:val="00102957"/>
    <w:rPr>
      <w:i/>
      <w:iCs/>
      <w:sz w:val="24"/>
      <w:szCs w:val="24"/>
    </w:rPr>
  </w:style>
  <w:style w:type="paragraph" w:styleId="IntenseQuote">
    <w:name w:val="Intense Quote"/>
    <w:basedOn w:val="Normal"/>
    <w:next w:val="Normal"/>
    <w:link w:val="IntenseQuoteChar"/>
    <w:uiPriority w:val="30"/>
    <w:qFormat/>
    <w:rsid w:val="00102957"/>
    <w:pPr>
      <w:spacing w:before="240" w:after="240" w:line="240" w:lineRule="auto"/>
      <w:ind w:left="1080" w:right="1080"/>
      <w:jc w:val="center"/>
    </w:pPr>
    <w:rPr>
      <w:color w:val="6DF2A3" w:themeColor="accent1"/>
      <w:sz w:val="24"/>
      <w:szCs w:val="24"/>
    </w:rPr>
  </w:style>
  <w:style w:type="character" w:customStyle="1" w:styleId="IntenseQuoteChar">
    <w:name w:val="Intense Quote Char"/>
    <w:basedOn w:val="DefaultParagraphFont"/>
    <w:link w:val="IntenseQuote"/>
    <w:uiPriority w:val="30"/>
    <w:rsid w:val="00102957"/>
    <w:rPr>
      <w:color w:val="6DF2A3" w:themeColor="accent1"/>
      <w:sz w:val="24"/>
      <w:szCs w:val="24"/>
    </w:rPr>
  </w:style>
  <w:style w:type="character" w:styleId="SubtleEmphasis">
    <w:name w:val="Subtle Emphasis"/>
    <w:uiPriority w:val="19"/>
    <w:qFormat/>
    <w:rsid w:val="00102957"/>
    <w:rPr>
      <w:i/>
      <w:iCs/>
      <w:color w:val="0EA049" w:themeColor="accent1" w:themeShade="7F"/>
    </w:rPr>
  </w:style>
  <w:style w:type="character" w:styleId="IntenseEmphasis">
    <w:name w:val="Intense Emphasis"/>
    <w:uiPriority w:val="21"/>
    <w:qFormat/>
    <w:rsid w:val="00102957"/>
    <w:rPr>
      <w:b/>
      <w:bCs/>
      <w:caps/>
      <w:color w:val="0EA049" w:themeColor="accent1" w:themeShade="7F"/>
      <w:spacing w:val="10"/>
    </w:rPr>
  </w:style>
  <w:style w:type="character" w:styleId="SubtleReference">
    <w:name w:val="Subtle Reference"/>
    <w:uiPriority w:val="31"/>
    <w:qFormat/>
    <w:rsid w:val="00102957"/>
    <w:rPr>
      <w:b/>
      <w:bCs/>
      <w:color w:val="6DF2A3" w:themeColor="accent1"/>
    </w:rPr>
  </w:style>
  <w:style w:type="character" w:styleId="IntenseReference">
    <w:name w:val="Intense Reference"/>
    <w:uiPriority w:val="32"/>
    <w:qFormat/>
    <w:rsid w:val="00102957"/>
    <w:rPr>
      <w:b/>
      <w:bCs/>
      <w:i/>
      <w:iCs/>
      <w:caps/>
      <w:color w:val="6DF2A3" w:themeColor="accent1"/>
    </w:rPr>
  </w:style>
  <w:style w:type="character" w:styleId="BookTitle">
    <w:name w:val="Book Title"/>
    <w:uiPriority w:val="33"/>
    <w:qFormat/>
    <w:rsid w:val="00102957"/>
    <w:rPr>
      <w:b/>
      <w:bCs/>
      <w:i/>
      <w:iCs/>
      <w:spacing w:val="0"/>
    </w:rPr>
  </w:style>
  <w:style w:type="paragraph" w:styleId="TOCHeading">
    <w:name w:val="TOC Heading"/>
    <w:basedOn w:val="Heading1"/>
    <w:next w:val="Normal"/>
    <w:uiPriority w:val="39"/>
    <w:semiHidden/>
    <w:unhideWhenUsed/>
    <w:qFormat/>
    <w:rsid w:val="00102957"/>
    <w:pPr>
      <w:outlineLvl w:val="9"/>
    </w:pPr>
  </w:style>
  <w:style w:type="table" w:styleId="GridTable1Light">
    <w:name w:val="Grid Table 1 Light"/>
    <w:basedOn w:val="TableNormal"/>
    <w:uiPriority w:val="46"/>
    <w:rsid w:val="00FB3B7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Bullet">
    <w:name w:val="List Bullet"/>
    <w:basedOn w:val="Normal"/>
    <w:uiPriority w:val="99"/>
    <w:unhideWhenUsed/>
    <w:rsid w:val="00EB27B7"/>
    <w:pPr>
      <w:numPr>
        <w:numId w:val="1"/>
      </w:numPr>
      <w:tabs>
        <w:tab w:val="clear" w:pos="360"/>
      </w:tabs>
      <w:spacing w:before="0"/>
      <w:ind w:left="0" w:firstLine="0"/>
      <w:contextualSpacing/>
    </w:pPr>
    <w:rPr>
      <w:sz w:val="22"/>
      <w:szCs w:val="22"/>
    </w:rPr>
  </w:style>
  <w:style w:type="paragraph" w:styleId="TOC1">
    <w:name w:val="toc 1"/>
    <w:basedOn w:val="Normal"/>
    <w:next w:val="Normal"/>
    <w:autoRedefine/>
    <w:uiPriority w:val="39"/>
    <w:unhideWhenUsed/>
    <w:rsid w:val="00EB27B7"/>
    <w:pPr>
      <w:spacing w:after="100"/>
    </w:pPr>
  </w:style>
  <w:style w:type="paragraph" w:styleId="TOC2">
    <w:name w:val="toc 2"/>
    <w:basedOn w:val="Normal"/>
    <w:next w:val="Normal"/>
    <w:autoRedefine/>
    <w:uiPriority w:val="39"/>
    <w:unhideWhenUsed/>
    <w:rsid w:val="00EB27B7"/>
    <w:pPr>
      <w:spacing w:after="100"/>
      <w:ind w:left="200"/>
    </w:pPr>
  </w:style>
  <w:style w:type="table" w:customStyle="1" w:styleId="DefaultStyle">
    <w:name w:val="Default Style"/>
    <w:basedOn w:val="TableNormal"/>
    <w:uiPriority w:val="99"/>
    <w:rsid w:val="00681703"/>
    <w:pPr>
      <w:spacing w:before="0" w:after="0" w:line="240" w:lineRule="auto"/>
    </w:pPr>
    <w:tblPr/>
  </w:style>
  <w:style w:type="table" w:styleId="ListTable7Colorful-Accent4">
    <w:name w:val="List Table 7 Colorful Accent 4"/>
    <w:basedOn w:val="TableNormal"/>
    <w:uiPriority w:val="52"/>
    <w:rsid w:val="00C87876"/>
    <w:pPr>
      <w:spacing w:after="0" w:line="240" w:lineRule="auto"/>
    </w:pPr>
    <w:rPr>
      <w:color w:val="4D341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8462A"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8462A"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8462A"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8462A" w:themeColor="accent4"/>
        </w:tcBorders>
        <w:shd w:val="clear" w:color="auto" w:fill="FFFFFF" w:themeFill="background1"/>
      </w:tcPr>
    </w:tblStylePr>
    <w:tblStylePr w:type="band1Vert">
      <w:tblPr/>
      <w:tcPr>
        <w:shd w:val="clear" w:color="auto" w:fill="EAD8CB" w:themeFill="accent4" w:themeFillTint="33"/>
      </w:tcPr>
    </w:tblStylePr>
    <w:tblStylePr w:type="band1Horz">
      <w:tblPr/>
      <w:tcPr>
        <w:shd w:val="clear" w:color="auto" w:fill="EAD8C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4">
    <w:name w:val="Grid Table 2 Accent 4"/>
    <w:basedOn w:val="TableNormal"/>
    <w:uiPriority w:val="47"/>
    <w:rsid w:val="00775386"/>
    <w:pPr>
      <w:spacing w:after="0" w:line="240" w:lineRule="auto"/>
    </w:pPr>
    <w:tblPr>
      <w:tblStyleRowBandSize w:val="1"/>
      <w:tblStyleColBandSize w:val="1"/>
      <w:tblBorders>
        <w:top w:val="single" w:sz="2" w:space="0" w:color="C08D63" w:themeColor="accent4" w:themeTint="99"/>
        <w:bottom w:val="single" w:sz="2" w:space="0" w:color="C08D63" w:themeColor="accent4" w:themeTint="99"/>
        <w:insideH w:val="single" w:sz="2" w:space="0" w:color="C08D63" w:themeColor="accent4" w:themeTint="99"/>
        <w:insideV w:val="single" w:sz="2" w:space="0" w:color="C08D63" w:themeColor="accent4" w:themeTint="99"/>
      </w:tblBorders>
    </w:tblPr>
    <w:tblStylePr w:type="firstRow">
      <w:rPr>
        <w:b/>
        <w:bCs/>
      </w:rPr>
      <w:tblPr/>
      <w:tcPr>
        <w:tcBorders>
          <w:top w:val="nil"/>
          <w:bottom w:val="single" w:sz="12" w:space="0" w:color="C08D63" w:themeColor="accent4" w:themeTint="99"/>
          <w:insideH w:val="nil"/>
          <w:insideV w:val="nil"/>
        </w:tcBorders>
        <w:shd w:val="clear" w:color="auto" w:fill="FFFFFF" w:themeFill="background1"/>
      </w:tcPr>
    </w:tblStylePr>
    <w:tblStylePr w:type="lastRow">
      <w:rPr>
        <w:b/>
        <w:bCs/>
      </w:rPr>
      <w:tblPr/>
      <w:tcPr>
        <w:tcBorders>
          <w:top w:val="double" w:sz="2" w:space="0" w:color="C08D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D8CB" w:themeFill="accent4" w:themeFillTint="33"/>
      </w:tcPr>
    </w:tblStylePr>
    <w:tblStylePr w:type="band1Horz">
      <w:tblPr/>
      <w:tcPr>
        <w:shd w:val="clear" w:color="auto" w:fill="EAD8CB" w:themeFill="accent4" w:themeFillTint="33"/>
      </w:tcPr>
    </w:tblStylePr>
  </w:style>
  <w:style w:type="table" w:styleId="GridTable3-Accent4">
    <w:name w:val="Grid Table 3 Accent 4"/>
    <w:basedOn w:val="TableNormal"/>
    <w:uiPriority w:val="48"/>
    <w:rsid w:val="00406678"/>
    <w:pPr>
      <w:spacing w:after="0" w:line="240" w:lineRule="auto"/>
    </w:pPr>
    <w:tblPr>
      <w:tblStyleRowBandSize w:val="1"/>
      <w:tblStyleColBandSize w:val="1"/>
      <w:tblBorders>
        <w:top w:val="single" w:sz="4" w:space="0" w:color="C08D63" w:themeColor="accent4" w:themeTint="99"/>
        <w:left w:val="single" w:sz="4" w:space="0" w:color="C08D63" w:themeColor="accent4" w:themeTint="99"/>
        <w:bottom w:val="single" w:sz="4" w:space="0" w:color="C08D63" w:themeColor="accent4" w:themeTint="99"/>
        <w:right w:val="single" w:sz="4" w:space="0" w:color="C08D63" w:themeColor="accent4" w:themeTint="99"/>
        <w:insideH w:val="single" w:sz="4" w:space="0" w:color="C08D63" w:themeColor="accent4" w:themeTint="99"/>
        <w:insideV w:val="single" w:sz="4" w:space="0" w:color="C08D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D8CB" w:themeFill="accent4" w:themeFillTint="33"/>
      </w:tcPr>
    </w:tblStylePr>
    <w:tblStylePr w:type="band1Horz">
      <w:tblPr/>
      <w:tcPr>
        <w:shd w:val="clear" w:color="auto" w:fill="EAD8CB" w:themeFill="accent4" w:themeFillTint="33"/>
      </w:tcPr>
    </w:tblStylePr>
    <w:tblStylePr w:type="neCell">
      <w:tblPr/>
      <w:tcPr>
        <w:tcBorders>
          <w:bottom w:val="single" w:sz="4" w:space="0" w:color="C08D63" w:themeColor="accent4" w:themeTint="99"/>
        </w:tcBorders>
      </w:tcPr>
    </w:tblStylePr>
    <w:tblStylePr w:type="nwCell">
      <w:tblPr/>
      <w:tcPr>
        <w:tcBorders>
          <w:bottom w:val="single" w:sz="4" w:space="0" w:color="C08D63" w:themeColor="accent4" w:themeTint="99"/>
        </w:tcBorders>
      </w:tcPr>
    </w:tblStylePr>
    <w:tblStylePr w:type="seCell">
      <w:tblPr/>
      <w:tcPr>
        <w:tcBorders>
          <w:top w:val="single" w:sz="4" w:space="0" w:color="C08D63" w:themeColor="accent4" w:themeTint="99"/>
        </w:tcBorders>
      </w:tcPr>
    </w:tblStylePr>
    <w:tblStylePr w:type="swCell">
      <w:tblPr/>
      <w:tcPr>
        <w:tcBorders>
          <w:top w:val="single" w:sz="4" w:space="0" w:color="C08D63" w:themeColor="accent4" w:themeTint="99"/>
        </w:tcBorders>
      </w:tcPr>
    </w:tblStylePr>
  </w:style>
  <w:style w:type="table" w:styleId="LightList-Accent1">
    <w:name w:val="Light List Accent 1"/>
    <w:basedOn w:val="TableNormal"/>
    <w:uiPriority w:val="61"/>
    <w:rsid w:val="00B96E35"/>
    <w:pPr>
      <w:spacing w:before="0" w:after="0" w:line="240" w:lineRule="auto"/>
    </w:pPr>
    <w:rPr>
      <w:sz w:val="22"/>
      <w:szCs w:val="22"/>
    </w:rPr>
    <w:tblPr>
      <w:tblStyleRowBandSize w:val="1"/>
      <w:tblStyleColBandSize w:val="1"/>
      <w:tblBorders>
        <w:top w:val="single" w:sz="8" w:space="0" w:color="6DF2A3" w:themeColor="accent1"/>
        <w:left w:val="single" w:sz="8" w:space="0" w:color="6DF2A3" w:themeColor="accent1"/>
        <w:bottom w:val="single" w:sz="8" w:space="0" w:color="6DF2A3" w:themeColor="accent1"/>
        <w:right w:val="single" w:sz="8" w:space="0" w:color="6DF2A3" w:themeColor="accent1"/>
      </w:tblBorders>
    </w:tblPr>
    <w:tblStylePr w:type="firstRow">
      <w:pPr>
        <w:spacing w:before="0" w:after="0" w:line="240" w:lineRule="auto"/>
      </w:pPr>
      <w:rPr>
        <w:b/>
        <w:bCs/>
        <w:color w:val="FFFFFF" w:themeColor="background1"/>
      </w:rPr>
      <w:tblPr/>
      <w:tcPr>
        <w:shd w:val="clear" w:color="auto" w:fill="6DF2A3" w:themeFill="accent1"/>
      </w:tcPr>
    </w:tblStylePr>
    <w:tblStylePr w:type="lastRow">
      <w:pPr>
        <w:spacing w:before="0" w:after="0" w:line="240" w:lineRule="auto"/>
      </w:pPr>
      <w:rPr>
        <w:b/>
        <w:bCs/>
      </w:rPr>
      <w:tblPr/>
      <w:tcPr>
        <w:tcBorders>
          <w:top w:val="double" w:sz="6" w:space="0" w:color="6DF2A3" w:themeColor="accent1"/>
          <w:left w:val="single" w:sz="8" w:space="0" w:color="6DF2A3" w:themeColor="accent1"/>
          <w:bottom w:val="single" w:sz="8" w:space="0" w:color="6DF2A3" w:themeColor="accent1"/>
          <w:right w:val="single" w:sz="8" w:space="0" w:color="6DF2A3" w:themeColor="accent1"/>
        </w:tcBorders>
      </w:tcPr>
    </w:tblStylePr>
    <w:tblStylePr w:type="firstCol">
      <w:rPr>
        <w:b/>
        <w:bCs/>
      </w:rPr>
    </w:tblStylePr>
    <w:tblStylePr w:type="lastCol">
      <w:rPr>
        <w:b/>
        <w:bCs/>
      </w:rPr>
    </w:tblStylePr>
    <w:tblStylePr w:type="band1Vert">
      <w:tblPr/>
      <w:tcPr>
        <w:tcBorders>
          <w:top w:val="single" w:sz="8" w:space="0" w:color="6DF2A3" w:themeColor="accent1"/>
          <w:left w:val="single" w:sz="8" w:space="0" w:color="6DF2A3" w:themeColor="accent1"/>
          <w:bottom w:val="single" w:sz="8" w:space="0" w:color="6DF2A3" w:themeColor="accent1"/>
          <w:right w:val="single" w:sz="8" w:space="0" w:color="6DF2A3" w:themeColor="accent1"/>
        </w:tcBorders>
      </w:tcPr>
    </w:tblStylePr>
    <w:tblStylePr w:type="band1Horz">
      <w:tblPr/>
      <w:tcPr>
        <w:tcBorders>
          <w:top w:val="single" w:sz="8" w:space="0" w:color="6DF2A3" w:themeColor="accent1"/>
          <w:left w:val="single" w:sz="8" w:space="0" w:color="6DF2A3" w:themeColor="accent1"/>
          <w:bottom w:val="single" w:sz="8" w:space="0" w:color="6DF2A3" w:themeColor="accent1"/>
          <w:right w:val="single" w:sz="8" w:space="0" w:color="6DF2A3" w:themeColor="accent1"/>
        </w:tcBorders>
      </w:tcPr>
    </w:tblStylePr>
  </w:style>
  <w:style w:type="table" w:styleId="GridTable1Light-Accent4">
    <w:name w:val="Grid Table 1 Light Accent 4"/>
    <w:basedOn w:val="TableNormal"/>
    <w:uiPriority w:val="46"/>
    <w:rsid w:val="00107263"/>
    <w:pPr>
      <w:spacing w:after="0" w:line="240" w:lineRule="auto"/>
    </w:pPr>
    <w:tblPr>
      <w:tblStyleRowBandSize w:val="1"/>
      <w:tblStyleColBandSize w:val="1"/>
      <w:tblBorders>
        <w:top w:val="single" w:sz="4" w:space="0" w:color="D5B397" w:themeColor="accent4" w:themeTint="66"/>
        <w:left w:val="single" w:sz="4" w:space="0" w:color="D5B397" w:themeColor="accent4" w:themeTint="66"/>
        <w:bottom w:val="single" w:sz="4" w:space="0" w:color="D5B397" w:themeColor="accent4" w:themeTint="66"/>
        <w:right w:val="single" w:sz="4" w:space="0" w:color="D5B397" w:themeColor="accent4" w:themeTint="66"/>
        <w:insideH w:val="single" w:sz="4" w:space="0" w:color="D5B397" w:themeColor="accent4" w:themeTint="66"/>
        <w:insideV w:val="single" w:sz="4" w:space="0" w:color="D5B397" w:themeColor="accent4" w:themeTint="66"/>
      </w:tblBorders>
    </w:tblPr>
    <w:tblStylePr w:type="firstRow">
      <w:rPr>
        <w:b/>
        <w:bCs/>
      </w:rPr>
      <w:tblPr/>
      <w:tcPr>
        <w:tcBorders>
          <w:bottom w:val="single" w:sz="12" w:space="0" w:color="C08D63" w:themeColor="accent4" w:themeTint="99"/>
        </w:tcBorders>
      </w:tcPr>
    </w:tblStylePr>
    <w:tblStylePr w:type="lastRow">
      <w:rPr>
        <w:b/>
        <w:bCs/>
      </w:rPr>
      <w:tblPr/>
      <w:tcPr>
        <w:tcBorders>
          <w:top w:val="double" w:sz="2" w:space="0" w:color="C08D63"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575372"/>
    <w:pPr>
      <w:ind w:left="720"/>
      <w:contextualSpacing/>
    </w:pPr>
  </w:style>
  <w:style w:type="paragraph" w:styleId="NormalWeb">
    <w:name w:val="Normal (Web)"/>
    <w:basedOn w:val="Normal"/>
    <w:uiPriority w:val="99"/>
    <w:semiHidden/>
    <w:unhideWhenUsed/>
    <w:rsid w:val="00CC5EDE"/>
    <w:rPr>
      <w:rFonts w:ascii="Times New Roman" w:hAnsi="Times New Roman" w:cs="Times New Roman"/>
      <w:sz w:val="24"/>
      <w:szCs w:val="24"/>
    </w:rPr>
  </w:style>
  <w:style w:type="paragraph" w:styleId="TOC3">
    <w:name w:val="toc 3"/>
    <w:basedOn w:val="Normal"/>
    <w:next w:val="Normal"/>
    <w:autoRedefine/>
    <w:uiPriority w:val="39"/>
    <w:unhideWhenUsed/>
    <w:rsid w:val="00407CFD"/>
    <w:pPr>
      <w:spacing w:after="100"/>
      <w:ind w:left="400"/>
    </w:pPr>
  </w:style>
  <w:style w:type="paragraph" w:styleId="TOC4">
    <w:name w:val="toc 4"/>
    <w:basedOn w:val="Normal"/>
    <w:next w:val="Normal"/>
    <w:autoRedefine/>
    <w:uiPriority w:val="39"/>
    <w:unhideWhenUsed/>
    <w:rsid w:val="00407CFD"/>
    <w:pPr>
      <w:spacing w:before="0" w:after="100" w:line="278" w:lineRule="auto"/>
      <w:ind w:left="720"/>
    </w:pPr>
    <w:rPr>
      <w:kern w:val="2"/>
      <w:sz w:val="24"/>
      <w:szCs w:val="24"/>
      <w:lang w:val="en-CA" w:eastAsia="en-CA"/>
      <w14:ligatures w14:val="standardContextual"/>
    </w:rPr>
  </w:style>
  <w:style w:type="paragraph" w:styleId="TOC5">
    <w:name w:val="toc 5"/>
    <w:basedOn w:val="Normal"/>
    <w:next w:val="Normal"/>
    <w:autoRedefine/>
    <w:uiPriority w:val="39"/>
    <w:unhideWhenUsed/>
    <w:rsid w:val="00407CFD"/>
    <w:pPr>
      <w:spacing w:before="0" w:after="100" w:line="278" w:lineRule="auto"/>
      <w:ind w:left="960"/>
    </w:pPr>
    <w:rPr>
      <w:kern w:val="2"/>
      <w:sz w:val="24"/>
      <w:szCs w:val="24"/>
      <w:lang w:val="en-CA" w:eastAsia="en-CA"/>
      <w14:ligatures w14:val="standardContextual"/>
    </w:rPr>
  </w:style>
  <w:style w:type="paragraph" w:styleId="TOC6">
    <w:name w:val="toc 6"/>
    <w:basedOn w:val="Normal"/>
    <w:next w:val="Normal"/>
    <w:autoRedefine/>
    <w:uiPriority w:val="39"/>
    <w:unhideWhenUsed/>
    <w:rsid w:val="00407CFD"/>
    <w:pPr>
      <w:spacing w:before="0" w:after="100" w:line="278" w:lineRule="auto"/>
      <w:ind w:left="1200"/>
    </w:pPr>
    <w:rPr>
      <w:kern w:val="2"/>
      <w:sz w:val="24"/>
      <w:szCs w:val="24"/>
      <w:lang w:val="en-CA" w:eastAsia="en-CA"/>
      <w14:ligatures w14:val="standardContextual"/>
    </w:rPr>
  </w:style>
  <w:style w:type="paragraph" w:styleId="TOC7">
    <w:name w:val="toc 7"/>
    <w:basedOn w:val="Normal"/>
    <w:next w:val="Normal"/>
    <w:autoRedefine/>
    <w:uiPriority w:val="39"/>
    <w:unhideWhenUsed/>
    <w:rsid w:val="00407CFD"/>
    <w:pPr>
      <w:spacing w:before="0" w:after="100" w:line="278" w:lineRule="auto"/>
      <w:ind w:left="1440"/>
    </w:pPr>
    <w:rPr>
      <w:kern w:val="2"/>
      <w:sz w:val="24"/>
      <w:szCs w:val="24"/>
      <w:lang w:val="en-CA" w:eastAsia="en-CA"/>
      <w14:ligatures w14:val="standardContextual"/>
    </w:rPr>
  </w:style>
  <w:style w:type="paragraph" w:styleId="TOC8">
    <w:name w:val="toc 8"/>
    <w:basedOn w:val="Normal"/>
    <w:next w:val="Normal"/>
    <w:autoRedefine/>
    <w:uiPriority w:val="39"/>
    <w:unhideWhenUsed/>
    <w:rsid w:val="00407CFD"/>
    <w:pPr>
      <w:spacing w:before="0" w:after="100" w:line="278" w:lineRule="auto"/>
      <w:ind w:left="1680"/>
    </w:pPr>
    <w:rPr>
      <w:kern w:val="2"/>
      <w:sz w:val="24"/>
      <w:szCs w:val="24"/>
      <w:lang w:val="en-CA" w:eastAsia="en-CA"/>
      <w14:ligatures w14:val="standardContextual"/>
    </w:rPr>
  </w:style>
  <w:style w:type="paragraph" w:styleId="TOC9">
    <w:name w:val="toc 9"/>
    <w:basedOn w:val="Normal"/>
    <w:next w:val="Normal"/>
    <w:autoRedefine/>
    <w:uiPriority w:val="39"/>
    <w:unhideWhenUsed/>
    <w:rsid w:val="00407CFD"/>
    <w:pPr>
      <w:spacing w:before="0" w:after="100" w:line="278" w:lineRule="auto"/>
      <w:ind w:left="1920"/>
    </w:pPr>
    <w:rPr>
      <w:kern w:val="2"/>
      <w:sz w:val="24"/>
      <w:szCs w:val="24"/>
      <w:lang w:val="en-CA" w:eastAsia="en-CA"/>
      <w14:ligatures w14:val="standardContextual"/>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9507">
      <w:bodyDiv w:val="1"/>
      <w:marLeft w:val="0"/>
      <w:marRight w:val="0"/>
      <w:marTop w:val="0"/>
      <w:marBottom w:val="0"/>
      <w:divBdr>
        <w:top w:val="none" w:sz="0" w:space="0" w:color="auto"/>
        <w:left w:val="none" w:sz="0" w:space="0" w:color="auto"/>
        <w:bottom w:val="none" w:sz="0" w:space="0" w:color="auto"/>
        <w:right w:val="none" w:sz="0" w:space="0" w:color="auto"/>
      </w:divBdr>
      <w:divsChild>
        <w:div w:id="843973800">
          <w:marLeft w:val="0"/>
          <w:marRight w:val="0"/>
          <w:marTop w:val="0"/>
          <w:marBottom w:val="0"/>
          <w:divBdr>
            <w:top w:val="none" w:sz="0" w:space="0" w:color="auto"/>
            <w:left w:val="none" w:sz="0" w:space="0" w:color="auto"/>
            <w:bottom w:val="none" w:sz="0" w:space="0" w:color="auto"/>
            <w:right w:val="none" w:sz="0" w:space="0" w:color="auto"/>
          </w:divBdr>
          <w:divsChild>
            <w:div w:id="304556290">
              <w:marLeft w:val="0"/>
              <w:marRight w:val="0"/>
              <w:marTop w:val="0"/>
              <w:marBottom w:val="0"/>
              <w:divBdr>
                <w:top w:val="none" w:sz="0" w:space="0" w:color="auto"/>
                <w:left w:val="none" w:sz="0" w:space="0" w:color="auto"/>
                <w:bottom w:val="none" w:sz="0" w:space="0" w:color="auto"/>
                <w:right w:val="none" w:sz="0" w:space="0" w:color="auto"/>
              </w:divBdr>
            </w:div>
            <w:div w:id="1489590775">
              <w:marLeft w:val="0"/>
              <w:marRight w:val="0"/>
              <w:marTop w:val="0"/>
              <w:marBottom w:val="0"/>
              <w:divBdr>
                <w:top w:val="none" w:sz="0" w:space="0" w:color="auto"/>
                <w:left w:val="none" w:sz="0" w:space="0" w:color="auto"/>
                <w:bottom w:val="none" w:sz="0" w:space="0" w:color="auto"/>
                <w:right w:val="none" w:sz="0" w:space="0" w:color="auto"/>
              </w:divBdr>
            </w:div>
            <w:div w:id="186522804">
              <w:marLeft w:val="0"/>
              <w:marRight w:val="0"/>
              <w:marTop w:val="0"/>
              <w:marBottom w:val="0"/>
              <w:divBdr>
                <w:top w:val="none" w:sz="0" w:space="0" w:color="auto"/>
                <w:left w:val="none" w:sz="0" w:space="0" w:color="auto"/>
                <w:bottom w:val="none" w:sz="0" w:space="0" w:color="auto"/>
                <w:right w:val="none" w:sz="0" w:space="0" w:color="auto"/>
              </w:divBdr>
            </w:div>
            <w:div w:id="822426382">
              <w:marLeft w:val="0"/>
              <w:marRight w:val="0"/>
              <w:marTop w:val="0"/>
              <w:marBottom w:val="0"/>
              <w:divBdr>
                <w:top w:val="none" w:sz="0" w:space="0" w:color="auto"/>
                <w:left w:val="none" w:sz="0" w:space="0" w:color="auto"/>
                <w:bottom w:val="none" w:sz="0" w:space="0" w:color="auto"/>
                <w:right w:val="none" w:sz="0" w:space="0" w:color="auto"/>
              </w:divBdr>
            </w:div>
            <w:div w:id="576020323">
              <w:marLeft w:val="0"/>
              <w:marRight w:val="0"/>
              <w:marTop w:val="0"/>
              <w:marBottom w:val="0"/>
              <w:divBdr>
                <w:top w:val="none" w:sz="0" w:space="0" w:color="auto"/>
                <w:left w:val="none" w:sz="0" w:space="0" w:color="auto"/>
                <w:bottom w:val="none" w:sz="0" w:space="0" w:color="auto"/>
                <w:right w:val="none" w:sz="0" w:space="0" w:color="auto"/>
              </w:divBdr>
            </w:div>
            <w:div w:id="1864443159">
              <w:marLeft w:val="0"/>
              <w:marRight w:val="0"/>
              <w:marTop w:val="0"/>
              <w:marBottom w:val="0"/>
              <w:divBdr>
                <w:top w:val="none" w:sz="0" w:space="0" w:color="auto"/>
                <w:left w:val="none" w:sz="0" w:space="0" w:color="auto"/>
                <w:bottom w:val="none" w:sz="0" w:space="0" w:color="auto"/>
                <w:right w:val="none" w:sz="0" w:space="0" w:color="auto"/>
              </w:divBdr>
            </w:div>
            <w:div w:id="118887851">
              <w:marLeft w:val="0"/>
              <w:marRight w:val="0"/>
              <w:marTop w:val="0"/>
              <w:marBottom w:val="0"/>
              <w:divBdr>
                <w:top w:val="none" w:sz="0" w:space="0" w:color="auto"/>
                <w:left w:val="none" w:sz="0" w:space="0" w:color="auto"/>
                <w:bottom w:val="none" w:sz="0" w:space="0" w:color="auto"/>
                <w:right w:val="none" w:sz="0" w:space="0" w:color="auto"/>
              </w:divBdr>
            </w:div>
            <w:div w:id="1448817322">
              <w:marLeft w:val="0"/>
              <w:marRight w:val="0"/>
              <w:marTop w:val="0"/>
              <w:marBottom w:val="0"/>
              <w:divBdr>
                <w:top w:val="none" w:sz="0" w:space="0" w:color="auto"/>
                <w:left w:val="none" w:sz="0" w:space="0" w:color="auto"/>
                <w:bottom w:val="none" w:sz="0" w:space="0" w:color="auto"/>
                <w:right w:val="none" w:sz="0" w:space="0" w:color="auto"/>
              </w:divBdr>
            </w:div>
            <w:div w:id="999309375">
              <w:marLeft w:val="0"/>
              <w:marRight w:val="0"/>
              <w:marTop w:val="0"/>
              <w:marBottom w:val="0"/>
              <w:divBdr>
                <w:top w:val="none" w:sz="0" w:space="0" w:color="auto"/>
                <w:left w:val="none" w:sz="0" w:space="0" w:color="auto"/>
                <w:bottom w:val="none" w:sz="0" w:space="0" w:color="auto"/>
                <w:right w:val="none" w:sz="0" w:space="0" w:color="auto"/>
              </w:divBdr>
            </w:div>
            <w:div w:id="1203589476">
              <w:marLeft w:val="0"/>
              <w:marRight w:val="0"/>
              <w:marTop w:val="0"/>
              <w:marBottom w:val="0"/>
              <w:divBdr>
                <w:top w:val="none" w:sz="0" w:space="0" w:color="auto"/>
                <w:left w:val="none" w:sz="0" w:space="0" w:color="auto"/>
                <w:bottom w:val="none" w:sz="0" w:space="0" w:color="auto"/>
                <w:right w:val="none" w:sz="0" w:space="0" w:color="auto"/>
              </w:divBdr>
            </w:div>
            <w:div w:id="200554120">
              <w:marLeft w:val="0"/>
              <w:marRight w:val="0"/>
              <w:marTop w:val="0"/>
              <w:marBottom w:val="0"/>
              <w:divBdr>
                <w:top w:val="none" w:sz="0" w:space="0" w:color="auto"/>
                <w:left w:val="none" w:sz="0" w:space="0" w:color="auto"/>
                <w:bottom w:val="none" w:sz="0" w:space="0" w:color="auto"/>
                <w:right w:val="none" w:sz="0" w:space="0" w:color="auto"/>
              </w:divBdr>
            </w:div>
            <w:div w:id="685330950">
              <w:marLeft w:val="0"/>
              <w:marRight w:val="0"/>
              <w:marTop w:val="0"/>
              <w:marBottom w:val="0"/>
              <w:divBdr>
                <w:top w:val="none" w:sz="0" w:space="0" w:color="auto"/>
                <w:left w:val="none" w:sz="0" w:space="0" w:color="auto"/>
                <w:bottom w:val="none" w:sz="0" w:space="0" w:color="auto"/>
                <w:right w:val="none" w:sz="0" w:space="0" w:color="auto"/>
              </w:divBdr>
            </w:div>
            <w:div w:id="1197890092">
              <w:marLeft w:val="0"/>
              <w:marRight w:val="0"/>
              <w:marTop w:val="0"/>
              <w:marBottom w:val="0"/>
              <w:divBdr>
                <w:top w:val="none" w:sz="0" w:space="0" w:color="auto"/>
                <w:left w:val="none" w:sz="0" w:space="0" w:color="auto"/>
                <w:bottom w:val="none" w:sz="0" w:space="0" w:color="auto"/>
                <w:right w:val="none" w:sz="0" w:space="0" w:color="auto"/>
              </w:divBdr>
            </w:div>
            <w:div w:id="1937471153">
              <w:marLeft w:val="0"/>
              <w:marRight w:val="0"/>
              <w:marTop w:val="0"/>
              <w:marBottom w:val="0"/>
              <w:divBdr>
                <w:top w:val="none" w:sz="0" w:space="0" w:color="auto"/>
                <w:left w:val="none" w:sz="0" w:space="0" w:color="auto"/>
                <w:bottom w:val="none" w:sz="0" w:space="0" w:color="auto"/>
                <w:right w:val="none" w:sz="0" w:space="0" w:color="auto"/>
              </w:divBdr>
            </w:div>
            <w:div w:id="1788575225">
              <w:marLeft w:val="0"/>
              <w:marRight w:val="0"/>
              <w:marTop w:val="0"/>
              <w:marBottom w:val="0"/>
              <w:divBdr>
                <w:top w:val="none" w:sz="0" w:space="0" w:color="auto"/>
                <w:left w:val="none" w:sz="0" w:space="0" w:color="auto"/>
                <w:bottom w:val="none" w:sz="0" w:space="0" w:color="auto"/>
                <w:right w:val="none" w:sz="0" w:space="0" w:color="auto"/>
              </w:divBdr>
            </w:div>
            <w:div w:id="2108236223">
              <w:marLeft w:val="0"/>
              <w:marRight w:val="0"/>
              <w:marTop w:val="0"/>
              <w:marBottom w:val="0"/>
              <w:divBdr>
                <w:top w:val="none" w:sz="0" w:space="0" w:color="auto"/>
                <w:left w:val="none" w:sz="0" w:space="0" w:color="auto"/>
                <w:bottom w:val="none" w:sz="0" w:space="0" w:color="auto"/>
                <w:right w:val="none" w:sz="0" w:space="0" w:color="auto"/>
              </w:divBdr>
            </w:div>
            <w:div w:id="1122921430">
              <w:marLeft w:val="0"/>
              <w:marRight w:val="0"/>
              <w:marTop w:val="0"/>
              <w:marBottom w:val="0"/>
              <w:divBdr>
                <w:top w:val="none" w:sz="0" w:space="0" w:color="auto"/>
                <w:left w:val="none" w:sz="0" w:space="0" w:color="auto"/>
                <w:bottom w:val="none" w:sz="0" w:space="0" w:color="auto"/>
                <w:right w:val="none" w:sz="0" w:space="0" w:color="auto"/>
              </w:divBdr>
            </w:div>
            <w:div w:id="164561443">
              <w:marLeft w:val="0"/>
              <w:marRight w:val="0"/>
              <w:marTop w:val="0"/>
              <w:marBottom w:val="0"/>
              <w:divBdr>
                <w:top w:val="none" w:sz="0" w:space="0" w:color="auto"/>
                <w:left w:val="none" w:sz="0" w:space="0" w:color="auto"/>
                <w:bottom w:val="none" w:sz="0" w:space="0" w:color="auto"/>
                <w:right w:val="none" w:sz="0" w:space="0" w:color="auto"/>
              </w:divBdr>
            </w:div>
            <w:div w:id="327638826">
              <w:marLeft w:val="0"/>
              <w:marRight w:val="0"/>
              <w:marTop w:val="0"/>
              <w:marBottom w:val="0"/>
              <w:divBdr>
                <w:top w:val="none" w:sz="0" w:space="0" w:color="auto"/>
                <w:left w:val="none" w:sz="0" w:space="0" w:color="auto"/>
                <w:bottom w:val="none" w:sz="0" w:space="0" w:color="auto"/>
                <w:right w:val="none" w:sz="0" w:space="0" w:color="auto"/>
              </w:divBdr>
            </w:div>
            <w:div w:id="1760755877">
              <w:marLeft w:val="0"/>
              <w:marRight w:val="0"/>
              <w:marTop w:val="0"/>
              <w:marBottom w:val="0"/>
              <w:divBdr>
                <w:top w:val="none" w:sz="0" w:space="0" w:color="auto"/>
                <w:left w:val="none" w:sz="0" w:space="0" w:color="auto"/>
                <w:bottom w:val="none" w:sz="0" w:space="0" w:color="auto"/>
                <w:right w:val="none" w:sz="0" w:space="0" w:color="auto"/>
              </w:divBdr>
            </w:div>
          </w:divsChild>
        </w:div>
        <w:div w:id="695427194">
          <w:marLeft w:val="0"/>
          <w:marRight w:val="0"/>
          <w:marTop w:val="0"/>
          <w:marBottom w:val="0"/>
          <w:divBdr>
            <w:top w:val="none" w:sz="0" w:space="0" w:color="auto"/>
            <w:left w:val="none" w:sz="0" w:space="0" w:color="auto"/>
            <w:bottom w:val="none" w:sz="0" w:space="0" w:color="auto"/>
            <w:right w:val="none" w:sz="0" w:space="0" w:color="auto"/>
          </w:divBdr>
        </w:div>
        <w:div w:id="984969064">
          <w:marLeft w:val="0"/>
          <w:marRight w:val="0"/>
          <w:marTop w:val="0"/>
          <w:marBottom w:val="0"/>
          <w:divBdr>
            <w:top w:val="none" w:sz="0" w:space="0" w:color="auto"/>
            <w:left w:val="none" w:sz="0" w:space="0" w:color="auto"/>
            <w:bottom w:val="none" w:sz="0" w:space="0" w:color="auto"/>
            <w:right w:val="none" w:sz="0" w:space="0" w:color="auto"/>
          </w:divBdr>
        </w:div>
        <w:div w:id="306477833">
          <w:marLeft w:val="0"/>
          <w:marRight w:val="0"/>
          <w:marTop w:val="0"/>
          <w:marBottom w:val="0"/>
          <w:divBdr>
            <w:top w:val="none" w:sz="0" w:space="0" w:color="auto"/>
            <w:left w:val="none" w:sz="0" w:space="0" w:color="auto"/>
            <w:bottom w:val="none" w:sz="0" w:space="0" w:color="auto"/>
            <w:right w:val="none" w:sz="0" w:space="0" w:color="auto"/>
          </w:divBdr>
        </w:div>
        <w:div w:id="839152561">
          <w:marLeft w:val="0"/>
          <w:marRight w:val="0"/>
          <w:marTop w:val="0"/>
          <w:marBottom w:val="0"/>
          <w:divBdr>
            <w:top w:val="none" w:sz="0" w:space="0" w:color="auto"/>
            <w:left w:val="none" w:sz="0" w:space="0" w:color="auto"/>
            <w:bottom w:val="none" w:sz="0" w:space="0" w:color="auto"/>
            <w:right w:val="none" w:sz="0" w:space="0" w:color="auto"/>
          </w:divBdr>
        </w:div>
        <w:div w:id="2130857888">
          <w:marLeft w:val="0"/>
          <w:marRight w:val="0"/>
          <w:marTop w:val="0"/>
          <w:marBottom w:val="0"/>
          <w:divBdr>
            <w:top w:val="none" w:sz="0" w:space="0" w:color="auto"/>
            <w:left w:val="none" w:sz="0" w:space="0" w:color="auto"/>
            <w:bottom w:val="none" w:sz="0" w:space="0" w:color="auto"/>
            <w:right w:val="none" w:sz="0" w:space="0" w:color="auto"/>
          </w:divBdr>
        </w:div>
        <w:div w:id="1447769444">
          <w:marLeft w:val="0"/>
          <w:marRight w:val="0"/>
          <w:marTop w:val="0"/>
          <w:marBottom w:val="0"/>
          <w:divBdr>
            <w:top w:val="none" w:sz="0" w:space="0" w:color="auto"/>
            <w:left w:val="none" w:sz="0" w:space="0" w:color="auto"/>
            <w:bottom w:val="none" w:sz="0" w:space="0" w:color="auto"/>
            <w:right w:val="none" w:sz="0" w:space="0" w:color="auto"/>
          </w:divBdr>
        </w:div>
        <w:div w:id="1139615113">
          <w:marLeft w:val="0"/>
          <w:marRight w:val="0"/>
          <w:marTop w:val="0"/>
          <w:marBottom w:val="0"/>
          <w:divBdr>
            <w:top w:val="none" w:sz="0" w:space="0" w:color="auto"/>
            <w:left w:val="none" w:sz="0" w:space="0" w:color="auto"/>
            <w:bottom w:val="none" w:sz="0" w:space="0" w:color="auto"/>
            <w:right w:val="none" w:sz="0" w:space="0" w:color="auto"/>
          </w:divBdr>
        </w:div>
      </w:divsChild>
    </w:div>
    <w:div w:id="823277801">
      <w:bodyDiv w:val="1"/>
      <w:marLeft w:val="0"/>
      <w:marRight w:val="0"/>
      <w:marTop w:val="0"/>
      <w:marBottom w:val="0"/>
      <w:divBdr>
        <w:top w:val="none" w:sz="0" w:space="0" w:color="auto"/>
        <w:left w:val="none" w:sz="0" w:space="0" w:color="auto"/>
        <w:bottom w:val="none" w:sz="0" w:space="0" w:color="auto"/>
        <w:right w:val="none" w:sz="0" w:space="0" w:color="auto"/>
      </w:divBdr>
      <w:divsChild>
        <w:div w:id="1719475412">
          <w:marLeft w:val="0"/>
          <w:marRight w:val="0"/>
          <w:marTop w:val="0"/>
          <w:marBottom w:val="0"/>
          <w:divBdr>
            <w:top w:val="none" w:sz="0" w:space="0" w:color="auto"/>
            <w:left w:val="none" w:sz="0" w:space="0" w:color="auto"/>
            <w:bottom w:val="none" w:sz="0" w:space="0" w:color="auto"/>
            <w:right w:val="none" w:sz="0" w:space="0" w:color="auto"/>
          </w:divBdr>
          <w:divsChild>
            <w:div w:id="731729824">
              <w:marLeft w:val="0"/>
              <w:marRight w:val="0"/>
              <w:marTop w:val="0"/>
              <w:marBottom w:val="0"/>
              <w:divBdr>
                <w:top w:val="none" w:sz="0" w:space="0" w:color="auto"/>
                <w:left w:val="none" w:sz="0" w:space="0" w:color="auto"/>
                <w:bottom w:val="none" w:sz="0" w:space="0" w:color="auto"/>
                <w:right w:val="none" w:sz="0" w:space="0" w:color="auto"/>
              </w:divBdr>
            </w:div>
            <w:div w:id="977108899">
              <w:marLeft w:val="0"/>
              <w:marRight w:val="0"/>
              <w:marTop w:val="0"/>
              <w:marBottom w:val="0"/>
              <w:divBdr>
                <w:top w:val="none" w:sz="0" w:space="0" w:color="auto"/>
                <w:left w:val="none" w:sz="0" w:space="0" w:color="auto"/>
                <w:bottom w:val="none" w:sz="0" w:space="0" w:color="auto"/>
                <w:right w:val="none" w:sz="0" w:space="0" w:color="auto"/>
              </w:divBdr>
            </w:div>
            <w:div w:id="806552397">
              <w:marLeft w:val="0"/>
              <w:marRight w:val="0"/>
              <w:marTop w:val="0"/>
              <w:marBottom w:val="0"/>
              <w:divBdr>
                <w:top w:val="none" w:sz="0" w:space="0" w:color="auto"/>
                <w:left w:val="none" w:sz="0" w:space="0" w:color="auto"/>
                <w:bottom w:val="none" w:sz="0" w:space="0" w:color="auto"/>
                <w:right w:val="none" w:sz="0" w:space="0" w:color="auto"/>
              </w:divBdr>
            </w:div>
            <w:div w:id="686907788">
              <w:marLeft w:val="0"/>
              <w:marRight w:val="0"/>
              <w:marTop w:val="0"/>
              <w:marBottom w:val="0"/>
              <w:divBdr>
                <w:top w:val="none" w:sz="0" w:space="0" w:color="auto"/>
                <w:left w:val="none" w:sz="0" w:space="0" w:color="auto"/>
                <w:bottom w:val="none" w:sz="0" w:space="0" w:color="auto"/>
                <w:right w:val="none" w:sz="0" w:space="0" w:color="auto"/>
              </w:divBdr>
            </w:div>
            <w:div w:id="1868910371">
              <w:marLeft w:val="0"/>
              <w:marRight w:val="0"/>
              <w:marTop w:val="0"/>
              <w:marBottom w:val="0"/>
              <w:divBdr>
                <w:top w:val="none" w:sz="0" w:space="0" w:color="auto"/>
                <w:left w:val="none" w:sz="0" w:space="0" w:color="auto"/>
                <w:bottom w:val="none" w:sz="0" w:space="0" w:color="auto"/>
                <w:right w:val="none" w:sz="0" w:space="0" w:color="auto"/>
              </w:divBdr>
            </w:div>
            <w:div w:id="437991456">
              <w:marLeft w:val="0"/>
              <w:marRight w:val="0"/>
              <w:marTop w:val="0"/>
              <w:marBottom w:val="0"/>
              <w:divBdr>
                <w:top w:val="none" w:sz="0" w:space="0" w:color="auto"/>
                <w:left w:val="none" w:sz="0" w:space="0" w:color="auto"/>
                <w:bottom w:val="none" w:sz="0" w:space="0" w:color="auto"/>
                <w:right w:val="none" w:sz="0" w:space="0" w:color="auto"/>
              </w:divBdr>
            </w:div>
            <w:div w:id="1007899312">
              <w:marLeft w:val="0"/>
              <w:marRight w:val="0"/>
              <w:marTop w:val="0"/>
              <w:marBottom w:val="0"/>
              <w:divBdr>
                <w:top w:val="none" w:sz="0" w:space="0" w:color="auto"/>
                <w:left w:val="none" w:sz="0" w:space="0" w:color="auto"/>
                <w:bottom w:val="none" w:sz="0" w:space="0" w:color="auto"/>
                <w:right w:val="none" w:sz="0" w:space="0" w:color="auto"/>
              </w:divBdr>
            </w:div>
            <w:div w:id="1178542723">
              <w:marLeft w:val="0"/>
              <w:marRight w:val="0"/>
              <w:marTop w:val="0"/>
              <w:marBottom w:val="0"/>
              <w:divBdr>
                <w:top w:val="none" w:sz="0" w:space="0" w:color="auto"/>
                <w:left w:val="none" w:sz="0" w:space="0" w:color="auto"/>
                <w:bottom w:val="none" w:sz="0" w:space="0" w:color="auto"/>
                <w:right w:val="none" w:sz="0" w:space="0" w:color="auto"/>
              </w:divBdr>
            </w:div>
            <w:div w:id="68967033">
              <w:marLeft w:val="0"/>
              <w:marRight w:val="0"/>
              <w:marTop w:val="0"/>
              <w:marBottom w:val="0"/>
              <w:divBdr>
                <w:top w:val="none" w:sz="0" w:space="0" w:color="auto"/>
                <w:left w:val="none" w:sz="0" w:space="0" w:color="auto"/>
                <w:bottom w:val="none" w:sz="0" w:space="0" w:color="auto"/>
                <w:right w:val="none" w:sz="0" w:space="0" w:color="auto"/>
              </w:divBdr>
            </w:div>
            <w:div w:id="1764951986">
              <w:marLeft w:val="0"/>
              <w:marRight w:val="0"/>
              <w:marTop w:val="0"/>
              <w:marBottom w:val="0"/>
              <w:divBdr>
                <w:top w:val="none" w:sz="0" w:space="0" w:color="auto"/>
                <w:left w:val="none" w:sz="0" w:space="0" w:color="auto"/>
                <w:bottom w:val="none" w:sz="0" w:space="0" w:color="auto"/>
                <w:right w:val="none" w:sz="0" w:space="0" w:color="auto"/>
              </w:divBdr>
            </w:div>
            <w:div w:id="1122502996">
              <w:marLeft w:val="0"/>
              <w:marRight w:val="0"/>
              <w:marTop w:val="0"/>
              <w:marBottom w:val="0"/>
              <w:divBdr>
                <w:top w:val="none" w:sz="0" w:space="0" w:color="auto"/>
                <w:left w:val="none" w:sz="0" w:space="0" w:color="auto"/>
                <w:bottom w:val="none" w:sz="0" w:space="0" w:color="auto"/>
                <w:right w:val="none" w:sz="0" w:space="0" w:color="auto"/>
              </w:divBdr>
            </w:div>
            <w:div w:id="1542934412">
              <w:marLeft w:val="0"/>
              <w:marRight w:val="0"/>
              <w:marTop w:val="0"/>
              <w:marBottom w:val="0"/>
              <w:divBdr>
                <w:top w:val="none" w:sz="0" w:space="0" w:color="auto"/>
                <w:left w:val="none" w:sz="0" w:space="0" w:color="auto"/>
                <w:bottom w:val="none" w:sz="0" w:space="0" w:color="auto"/>
                <w:right w:val="none" w:sz="0" w:space="0" w:color="auto"/>
              </w:divBdr>
            </w:div>
            <w:div w:id="979844735">
              <w:marLeft w:val="0"/>
              <w:marRight w:val="0"/>
              <w:marTop w:val="0"/>
              <w:marBottom w:val="0"/>
              <w:divBdr>
                <w:top w:val="none" w:sz="0" w:space="0" w:color="auto"/>
                <w:left w:val="none" w:sz="0" w:space="0" w:color="auto"/>
                <w:bottom w:val="none" w:sz="0" w:space="0" w:color="auto"/>
                <w:right w:val="none" w:sz="0" w:space="0" w:color="auto"/>
              </w:divBdr>
            </w:div>
            <w:div w:id="484129545">
              <w:marLeft w:val="0"/>
              <w:marRight w:val="0"/>
              <w:marTop w:val="0"/>
              <w:marBottom w:val="0"/>
              <w:divBdr>
                <w:top w:val="none" w:sz="0" w:space="0" w:color="auto"/>
                <w:left w:val="none" w:sz="0" w:space="0" w:color="auto"/>
                <w:bottom w:val="none" w:sz="0" w:space="0" w:color="auto"/>
                <w:right w:val="none" w:sz="0" w:space="0" w:color="auto"/>
              </w:divBdr>
            </w:div>
            <w:div w:id="1219710861">
              <w:marLeft w:val="0"/>
              <w:marRight w:val="0"/>
              <w:marTop w:val="0"/>
              <w:marBottom w:val="0"/>
              <w:divBdr>
                <w:top w:val="none" w:sz="0" w:space="0" w:color="auto"/>
                <w:left w:val="none" w:sz="0" w:space="0" w:color="auto"/>
                <w:bottom w:val="none" w:sz="0" w:space="0" w:color="auto"/>
                <w:right w:val="none" w:sz="0" w:space="0" w:color="auto"/>
              </w:divBdr>
            </w:div>
            <w:div w:id="225991101">
              <w:marLeft w:val="0"/>
              <w:marRight w:val="0"/>
              <w:marTop w:val="0"/>
              <w:marBottom w:val="0"/>
              <w:divBdr>
                <w:top w:val="none" w:sz="0" w:space="0" w:color="auto"/>
                <w:left w:val="none" w:sz="0" w:space="0" w:color="auto"/>
                <w:bottom w:val="none" w:sz="0" w:space="0" w:color="auto"/>
                <w:right w:val="none" w:sz="0" w:space="0" w:color="auto"/>
              </w:divBdr>
            </w:div>
            <w:div w:id="56393398">
              <w:marLeft w:val="0"/>
              <w:marRight w:val="0"/>
              <w:marTop w:val="0"/>
              <w:marBottom w:val="0"/>
              <w:divBdr>
                <w:top w:val="none" w:sz="0" w:space="0" w:color="auto"/>
                <w:left w:val="none" w:sz="0" w:space="0" w:color="auto"/>
                <w:bottom w:val="none" w:sz="0" w:space="0" w:color="auto"/>
                <w:right w:val="none" w:sz="0" w:space="0" w:color="auto"/>
              </w:divBdr>
            </w:div>
            <w:div w:id="736365867">
              <w:marLeft w:val="0"/>
              <w:marRight w:val="0"/>
              <w:marTop w:val="0"/>
              <w:marBottom w:val="0"/>
              <w:divBdr>
                <w:top w:val="none" w:sz="0" w:space="0" w:color="auto"/>
                <w:left w:val="none" w:sz="0" w:space="0" w:color="auto"/>
                <w:bottom w:val="none" w:sz="0" w:space="0" w:color="auto"/>
                <w:right w:val="none" w:sz="0" w:space="0" w:color="auto"/>
              </w:divBdr>
            </w:div>
            <w:div w:id="652416775">
              <w:marLeft w:val="0"/>
              <w:marRight w:val="0"/>
              <w:marTop w:val="0"/>
              <w:marBottom w:val="0"/>
              <w:divBdr>
                <w:top w:val="none" w:sz="0" w:space="0" w:color="auto"/>
                <w:left w:val="none" w:sz="0" w:space="0" w:color="auto"/>
                <w:bottom w:val="none" w:sz="0" w:space="0" w:color="auto"/>
                <w:right w:val="none" w:sz="0" w:space="0" w:color="auto"/>
              </w:divBdr>
            </w:div>
            <w:div w:id="4478938">
              <w:marLeft w:val="0"/>
              <w:marRight w:val="0"/>
              <w:marTop w:val="0"/>
              <w:marBottom w:val="0"/>
              <w:divBdr>
                <w:top w:val="none" w:sz="0" w:space="0" w:color="auto"/>
                <w:left w:val="none" w:sz="0" w:space="0" w:color="auto"/>
                <w:bottom w:val="none" w:sz="0" w:space="0" w:color="auto"/>
                <w:right w:val="none" w:sz="0" w:space="0" w:color="auto"/>
              </w:divBdr>
            </w:div>
          </w:divsChild>
        </w:div>
        <w:div w:id="184639240">
          <w:marLeft w:val="0"/>
          <w:marRight w:val="0"/>
          <w:marTop w:val="0"/>
          <w:marBottom w:val="0"/>
          <w:divBdr>
            <w:top w:val="none" w:sz="0" w:space="0" w:color="auto"/>
            <w:left w:val="none" w:sz="0" w:space="0" w:color="auto"/>
            <w:bottom w:val="none" w:sz="0" w:space="0" w:color="auto"/>
            <w:right w:val="none" w:sz="0" w:space="0" w:color="auto"/>
          </w:divBdr>
        </w:div>
        <w:div w:id="1732116702">
          <w:marLeft w:val="0"/>
          <w:marRight w:val="0"/>
          <w:marTop w:val="0"/>
          <w:marBottom w:val="0"/>
          <w:divBdr>
            <w:top w:val="none" w:sz="0" w:space="0" w:color="auto"/>
            <w:left w:val="none" w:sz="0" w:space="0" w:color="auto"/>
            <w:bottom w:val="none" w:sz="0" w:space="0" w:color="auto"/>
            <w:right w:val="none" w:sz="0" w:space="0" w:color="auto"/>
          </w:divBdr>
        </w:div>
        <w:div w:id="1130515974">
          <w:marLeft w:val="0"/>
          <w:marRight w:val="0"/>
          <w:marTop w:val="0"/>
          <w:marBottom w:val="0"/>
          <w:divBdr>
            <w:top w:val="none" w:sz="0" w:space="0" w:color="auto"/>
            <w:left w:val="none" w:sz="0" w:space="0" w:color="auto"/>
            <w:bottom w:val="none" w:sz="0" w:space="0" w:color="auto"/>
            <w:right w:val="none" w:sz="0" w:space="0" w:color="auto"/>
          </w:divBdr>
        </w:div>
        <w:div w:id="1290743750">
          <w:marLeft w:val="0"/>
          <w:marRight w:val="0"/>
          <w:marTop w:val="0"/>
          <w:marBottom w:val="0"/>
          <w:divBdr>
            <w:top w:val="none" w:sz="0" w:space="0" w:color="auto"/>
            <w:left w:val="none" w:sz="0" w:space="0" w:color="auto"/>
            <w:bottom w:val="none" w:sz="0" w:space="0" w:color="auto"/>
            <w:right w:val="none" w:sz="0" w:space="0" w:color="auto"/>
          </w:divBdr>
        </w:div>
        <w:div w:id="1214536379">
          <w:marLeft w:val="0"/>
          <w:marRight w:val="0"/>
          <w:marTop w:val="0"/>
          <w:marBottom w:val="0"/>
          <w:divBdr>
            <w:top w:val="none" w:sz="0" w:space="0" w:color="auto"/>
            <w:left w:val="none" w:sz="0" w:space="0" w:color="auto"/>
            <w:bottom w:val="none" w:sz="0" w:space="0" w:color="auto"/>
            <w:right w:val="none" w:sz="0" w:space="0" w:color="auto"/>
          </w:divBdr>
        </w:div>
        <w:div w:id="1578320636">
          <w:marLeft w:val="0"/>
          <w:marRight w:val="0"/>
          <w:marTop w:val="0"/>
          <w:marBottom w:val="0"/>
          <w:divBdr>
            <w:top w:val="none" w:sz="0" w:space="0" w:color="auto"/>
            <w:left w:val="none" w:sz="0" w:space="0" w:color="auto"/>
            <w:bottom w:val="none" w:sz="0" w:space="0" w:color="auto"/>
            <w:right w:val="none" w:sz="0" w:space="0" w:color="auto"/>
          </w:divBdr>
        </w:div>
        <w:div w:id="1593246214">
          <w:marLeft w:val="0"/>
          <w:marRight w:val="0"/>
          <w:marTop w:val="0"/>
          <w:marBottom w:val="0"/>
          <w:divBdr>
            <w:top w:val="none" w:sz="0" w:space="0" w:color="auto"/>
            <w:left w:val="none" w:sz="0" w:space="0" w:color="auto"/>
            <w:bottom w:val="none" w:sz="0" w:space="0" w:color="auto"/>
            <w:right w:val="none" w:sz="0" w:space="0" w:color="auto"/>
          </w:divBdr>
        </w:div>
      </w:divsChild>
    </w:div>
    <w:div w:id="1178078137">
      <w:bodyDiv w:val="1"/>
      <w:marLeft w:val="0"/>
      <w:marRight w:val="0"/>
      <w:marTop w:val="0"/>
      <w:marBottom w:val="0"/>
      <w:divBdr>
        <w:top w:val="none" w:sz="0" w:space="0" w:color="auto"/>
        <w:left w:val="none" w:sz="0" w:space="0" w:color="auto"/>
        <w:bottom w:val="none" w:sz="0" w:space="0" w:color="auto"/>
        <w:right w:val="none" w:sz="0" w:space="0" w:color="auto"/>
      </w:divBdr>
      <w:divsChild>
        <w:div w:id="512838786">
          <w:marLeft w:val="0"/>
          <w:marRight w:val="0"/>
          <w:marTop w:val="0"/>
          <w:marBottom w:val="0"/>
          <w:divBdr>
            <w:top w:val="none" w:sz="0" w:space="0" w:color="auto"/>
            <w:left w:val="none" w:sz="0" w:space="0" w:color="auto"/>
            <w:bottom w:val="none" w:sz="0" w:space="0" w:color="auto"/>
            <w:right w:val="none" w:sz="0" w:space="0" w:color="auto"/>
          </w:divBdr>
          <w:divsChild>
            <w:div w:id="13579223">
              <w:marLeft w:val="0"/>
              <w:marRight w:val="0"/>
              <w:marTop w:val="0"/>
              <w:marBottom w:val="0"/>
              <w:divBdr>
                <w:top w:val="none" w:sz="0" w:space="0" w:color="auto"/>
                <w:left w:val="none" w:sz="0" w:space="0" w:color="auto"/>
                <w:bottom w:val="none" w:sz="0" w:space="0" w:color="auto"/>
                <w:right w:val="none" w:sz="0" w:space="0" w:color="auto"/>
              </w:divBdr>
            </w:div>
            <w:div w:id="1494251820">
              <w:marLeft w:val="0"/>
              <w:marRight w:val="0"/>
              <w:marTop w:val="0"/>
              <w:marBottom w:val="0"/>
              <w:divBdr>
                <w:top w:val="none" w:sz="0" w:space="0" w:color="auto"/>
                <w:left w:val="none" w:sz="0" w:space="0" w:color="auto"/>
                <w:bottom w:val="none" w:sz="0" w:space="0" w:color="auto"/>
                <w:right w:val="none" w:sz="0" w:space="0" w:color="auto"/>
              </w:divBdr>
            </w:div>
            <w:div w:id="1056464435">
              <w:marLeft w:val="0"/>
              <w:marRight w:val="0"/>
              <w:marTop w:val="0"/>
              <w:marBottom w:val="0"/>
              <w:divBdr>
                <w:top w:val="none" w:sz="0" w:space="0" w:color="auto"/>
                <w:left w:val="none" w:sz="0" w:space="0" w:color="auto"/>
                <w:bottom w:val="none" w:sz="0" w:space="0" w:color="auto"/>
                <w:right w:val="none" w:sz="0" w:space="0" w:color="auto"/>
              </w:divBdr>
            </w:div>
            <w:div w:id="1744452156">
              <w:marLeft w:val="0"/>
              <w:marRight w:val="0"/>
              <w:marTop w:val="0"/>
              <w:marBottom w:val="0"/>
              <w:divBdr>
                <w:top w:val="none" w:sz="0" w:space="0" w:color="auto"/>
                <w:left w:val="none" w:sz="0" w:space="0" w:color="auto"/>
                <w:bottom w:val="none" w:sz="0" w:space="0" w:color="auto"/>
                <w:right w:val="none" w:sz="0" w:space="0" w:color="auto"/>
              </w:divBdr>
            </w:div>
            <w:div w:id="857813983">
              <w:marLeft w:val="0"/>
              <w:marRight w:val="0"/>
              <w:marTop w:val="0"/>
              <w:marBottom w:val="0"/>
              <w:divBdr>
                <w:top w:val="none" w:sz="0" w:space="0" w:color="auto"/>
                <w:left w:val="none" w:sz="0" w:space="0" w:color="auto"/>
                <w:bottom w:val="none" w:sz="0" w:space="0" w:color="auto"/>
                <w:right w:val="none" w:sz="0" w:space="0" w:color="auto"/>
              </w:divBdr>
            </w:div>
            <w:div w:id="184175045">
              <w:marLeft w:val="0"/>
              <w:marRight w:val="0"/>
              <w:marTop w:val="0"/>
              <w:marBottom w:val="0"/>
              <w:divBdr>
                <w:top w:val="none" w:sz="0" w:space="0" w:color="auto"/>
                <w:left w:val="none" w:sz="0" w:space="0" w:color="auto"/>
                <w:bottom w:val="none" w:sz="0" w:space="0" w:color="auto"/>
                <w:right w:val="none" w:sz="0" w:space="0" w:color="auto"/>
              </w:divBdr>
            </w:div>
            <w:div w:id="588732770">
              <w:marLeft w:val="0"/>
              <w:marRight w:val="0"/>
              <w:marTop w:val="0"/>
              <w:marBottom w:val="0"/>
              <w:divBdr>
                <w:top w:val="none" w:sz="0" w:space="0" w:color="auto"/>
                <w:left w:val="none" w:sz="0" w:space="0" w:color="auto"/>
                <w:bottom w:val="none" w:sz="0" w:space="0" w:color="auto"/>
                <w:right w:val="none" w:sz="0" w:space="0" w:color="auto"/>
              </w:divBdr>
            </w:div>
            <w:div w:id="378556651">
              <w:marLeft w:val="0"/>
              <w:marRight w:val="0"/>
              <w:marTop w:val="0"/>
              <w:marBottom w:val="0"/>
              <w:divBdr>
                <w:top w:val="none" w:sz="0" w:space="0" w:color="auto"/>
                <w:left w:val="none" w:sz="0" w:space="0" w:color="auto"/>
                <w:bottom w:val="none" w:sz="0" w:space="0" w:color="auto"/>
                <w:right w:val="none" w:sz="0" w:space="0" w:color="auto"/>
              </w:divBdr>
            </w:div>
            <w:div w:id="1991857746">
              <w:marLeft w:val="0"/>
              <w:marRight w:val="0"/>
              <w:marTop w:val="0"/>
              <w:marBottom w:val="0"/>
              <w:divBdr>
                <w:top w:val="none" w:sz="0" w:space="0" w:color="auto"/>
                <w:left w:val="none" w:sz="0" w:space="0" w:color="auto"/>
                <w:bottom w:val="none" w:sz="0" w:space="0" w:color="auto"/>
                <w:right w:val="none" w:sz="0" w:space="0" w:color="auto"/>
              </w:divBdr>
            </w:div>
            <w:div w:id="499389599">
              <w:marLeft w:val="0"/>
              <w:marRight w:val="0"/>
              <w:marTop w:val="0"/>
              <w:marBottom w:val="0"/>
              <w:divBdr>
                <w:top w:val="none" w:sz="0" w:space="0" w:color="auto"/>
                <w:left w:val="none" w:sz="0" w:space="0" w:color="auto"/>
                <w:bottom w:val="none" w:sz="0" w:space="0" w:color="auto"/>
                <w:right w:val="none" w:sz="0" w:space="0" w:color="auto"/>
              </w:divBdr>
            </w:div>
            <w:div w:id="465976399">
              <w:marLeft w:val="0"/>
              <w:marRight w:val="0"/>
              <w:marTop w:val="0"/>
              <w:marBottom w:val="0"/>
              <w:divBdr>
                <w:top w:val="none" w:sz="0" w:space="0" w:color="auto"/>
                <w:left w:val="none" w:sz="0" w:space="0" w:color="auto"/>
                <w:bottom w:val="none" w:sz="0" w:space="0" w:color="auto"/>
                <w:right w:val="none" w:sz="0" w:space="0" w:color="auto"/>
              </w:divBdr>
            </w:div>
            <w:div w:id="1073816760">
              <w:marLeft w:val="0"/>
              <w:marRight w:val="0"/>
              <w:marTop w:val="0"/>
              <w:marBottom w:val="0"/>
              <w:divBdr>
                <w:top w:val="none" w:sz="0" w:space="0" w:color="auto"/>
                <w:left w:val="none" w:sz="0" w:space="0" w:color="auto"/>
                <w:bottom w:val="none" w:sz="0" w:space="0" w:color="auto"/>
                <w:right w:val="none" w:sz="0" w:space="0" w:color="auto"/>
              </w:divBdr>
            </w:div>
            <w:div w:id="1186023419">
              <w:marLeft w:val="0"/>
              <w:marRight w:val="0"/>
              <w:marTop w:val="0"/>
              <w:marBottom w:val="0"/>
              <w:divBdr>
                <w:top w:val="none" w:sz="0" w:space="0" w:color="auto"/>
                <w:left w:val="none" w:sz="0" w:space="0" w:color="auto"/>
                <w:bottom w:val="none" w:sz="0" w:space="0" w:color="auto"/>
                <w:right w:val="none" w:sz="0" w:space="0" w:color="auto"/>
              </w:divBdr>
            </w:div>
            <w:div w:id="242688570">
              <w:marLeft w:val="0"/>
              <w:marRight w:val="0"/>
              <w:marTop w:val="0"/>
              <w:marBottom w:val="0"/>
              <w:divBdr>
                <w:top w:val="none" w:sz="0" w:space="0" w:color="auto"/>
                <w:left w:val="none" w:sz="0" w:space="0" w:color="auto"/>
                <w:bottom w:val="none" w:sz="0" w:space="0" w:color="auto"/>
                <w:right w:val="none" w:sz="0" w:space="0" w:color="auto"/>
              </w:divBdr>
            </w:div>
            <w:div w:id="1611742393">
              <w:marLeft w:val="0"/>
              <w:marRight w:val="0"/>
              <w:marTop w:val="0"/>
              <w:marBottom w:val="0"/>
              <w:divBdr>
                <w:top w:val="none" w:sz="0" w:space="0" w:color="auto"/>
                <w:left w:val="none" w:sz="0" w:space="0" w:color="auto"/>
                <w:bottom w:val="none" w:sz="0" w:space="0" w:color="auto"/>
                <w:right w:val="none" w:sz="0" w:space="0" w:color="auto"/>
              </w:divBdr>
            </w:div>
            <w:div w:id="1077747417">
              <w:marLeft w:val="0"/>
              <w:marRight w:val="0"/>
              <w:marTop w:val="0"/>
              <w:marBottom w:val="0"/>
              <w:divBdr>
                <w:top w:val="none" w:sz="0" w:space="0" w:color="auto"/>
                <w:left w:val="none" w:sz="0" w:space="0" w:color="auto"/>
                <w:bottom w:val="none" w:sz="0" w:space="0" w:color="auto"/>
                <w:right w:val="none" w:sz="0" w:space="0" w:color="auto"/>
              </w:divBdr>
            </w:div>
            <w:div w:id="656417233">
              <w:marLeft w:val="0"/>
              <w:marRight w:val="0"/>
              <w:marTop w:val="0"/>
              <w:marBottom w:val="0"/>
              <w:divBdr>
                <w:top w:val="none" w:sz="0" w:space="0" w:color="auto"/>
                <w:left w:val="none" w:sz="0" w:space="0" w:color="auto"/>
                <w:bottom w:val="none" w:sz="0" w:space="0" w:color="auto"/>
                <w:right w:val="none" w:sz="0" w:space="0" w:color="auto"/>
              </w:divBdr>
            </w:div>
            <w:div w:id="1320890757">
              <w:marLeft w:val="0"/>
              <w:marRight w:val="0"/>
              <w:marTop w:val="0"/>
              <w:marBottom w:val="0"/>
              <w:divBdr>
                <w:top w:val="none" w:sz="0" w:space="0" w:color="auto"/>
                <w:left w:val="none" w:sz="0" w:space="0" w:color="auto"/>
                <w:bottom w:val="none" w:sz="0" w:space="0" w:color="auto"/>
                <w:right w:val="none" w:sz="0" w:space="0" w:color="auto"/>
              </w:divBdr>
            </w:div>
            <w:div w:id="1398550588">
              <w:marLeft w:val="0"/>
              <w:marRight w:val="0"/>
              <w:marTop w:val="0"/>
              <w:marBottom w:val="0"/>
              <w:divBdr>
                <w:top w:val="none" w:sz="0" w:space="0" w:color="auto"/>
                <w:left w:val="none" w:sz="0" w:space="0" w:color="auto"/>
                <w:bottom w:val="none" w:sz="0" w:space="0" w:color="auto"/>
                <w:right w:val="none" w:sz="0" w:space="0" w:color="auto"/>
              </w:divBdr>
            </w:div>
            <w:div w:id="52122153">
              <w:marLeft w:val="0"/>
              <w:marRight w:val="0"/>
              <w:marTop w:val="0"/>
              <w:marBottom w:val="0"/>
              <w:divBdr>
                <w:top w:val="none" w:sz="0" w:space="0" w:color="auto"/>
                <w:left w:val="none" w:sz="0" w:space="0" w:color="auto"/>
                <w:bottom w:val="none" w:sz="0" w:space="0" w:color="auto"/>
                <w:right w:val="none" w:sz="0" w:space="0" w:color="auto"/>
              </w:divBdr>
            </w:div>
          </w:divsChild>
        </w:div>
        <w:div w:id="710543485">
          <w:marLeft w:val="0"/>
          <w:marRight w:val="0"/>
          <w:marTop w:val="0"/>
          <w:marBottom w:val="0"/>
          <w:divBdr>
            <w:top w:val="none" w:sz="0" w:space="0" w:color="auto"/>
            <w:left w:val="none" w:sz="0" w:space="0" w:color="auto"/>
            <w:bottom w:val="none" w:sz="0" w:space="0" w:color="auto"/>
            <w:right w:val="none" w:sz="0" w:space="0" w:color="auto"/>
          </w:divBdr>
        </w:div>
        <w:div w:id="922027456">
          <w:marLeft w:val="0"/>
          <w:marRight w:val="0"/>
          <w:marTop w:val="0"/>
          <w:marBottom w:val="0"/>
          <w:divBdr>
            <w:top w:val="none" w:sz="0" w:space="0" w:color="auto"/>
            <w:left w:val="none" w:sz="0" w:space="0" w:color="auto"/>
            <w:bottom w:val="none" w:sz="0" w:space="0" w:color="auto"/>
            <w:right w:val="none" w:sz="0" w:space="0" w:color="auto"/>
          </w:divBdr>
        </w:div>
        <w:div w:id="368184314">
          <w:marLeft w:val="0"/>
          <w:marRight w:val="0"/>
          <w:marTop w:val="0"/>
          <w:marBottom w:val="0"/>
          <w:divBdr>
            <w:top w:val="none" w:sz="0" w:space="0" w:color="auto"/>
            <w:left w:val="none" w:sz="0" w:space="0" w:color="auto"/>
            <w:bottom w:val="none" w:sz="0" w:space="0" w:color="auto"/>
            <w:right w:val="none" w:sz="0" w:space="0" w:color="auto"/>
          </w:divBdr>
        </w:div>
        <w:div w:id="215511463">
          <w:marLeft w:val="0"/>
          <w:marRight w:val="0"/>
          <w:marTop w:val="0"/>
          <w:marBottom w:val="0"/>
          <w:divBdr>
            <w:top w:val="none" w:sz="0" w:space="0" w:color="auto"/>
            <w:left w:val="none" w:sz="0" w:space="0" w:color="auto"/>
            <w:bottom w:val="none" w:sz="0" w:space="0" w:color="auto"/>
            <w:right w:val="none" w:sz="0" w:space="0" w:color="auto"/>
          </w:divBdr>
        </w:div>
        <w:div w:id="1007974965">
          <w:marLeft w:val="0"/>
          <w:marRight w:val="0"/>
          <w:marTop w:val="0"/>
          <w:marBottom w:val="0"/>
          <w:divBdr>
            <w:top w:val="none" w:sz="0" w:space="0" w:color="auto"/>
            <w:left w:val="none" w:sz="0" w:space="0" w:color="auto"/>
            <w:bottom w:val="none" w:sz="0" w:space="0" w:color="auto"/>
            <w:right w:val="none" w:sz="0" w:space="0" w:color="auto"/>
          </w:divBdr>
        </w:div>
        <w:div w:id="1623462701">
          <w:marLeft w:val="0"/>
          <w:marRight w:val="0"/>
          <w:marTop w:val="0"/>
          <w:marBottom w:val="0"/>
          <w:divBdr>
            <w:top w:val="none" w:sz="0" w:space="0" w:color="auto"/>
            <w:left w:val="none" w:sz="0" w:space="0" w:color="auto"/>
            <w:bottom w:val="none" w:sz="0" w:space="0" w:color="auto"/>
            <w:right w:val="none" w:sz="0" w:space="0" w:color="auto"/>
          </w:divBdr>
        </w:div>
        <w:div w:id="1112476500">
          <w:marLeft w:val="0"/>
          <w:marRight w:val="0"/>
          <w:marTop w:val="0"/>
          <w:marBottom w:val="0"/>
          <w:divBdr>
            <w:top w:val="none" w:sz="0" w:space="0" w:color="auto"/>
            <w:left w:val="none" w:sz="0" w:space="0" w:color="auto"/>
            <w:bottom w:val="none" w:sz="0" w:space="0" w:color="auto"/>
            <w:right w:val="none" w:sz="0" w:space="0" w:color="auto"/>
          </w:divBdr>
        </w:div>
        <w:div w:id="367805587">
          <w:marLeft w:val="0"/>
          <w:marRight w:val="0"/>
          <w:marTop w:val="0"/>
          <w:marBottom w:val="0"/>
          <w:divBdr>
            <w:top w:val="none" w:sz="0" w:space="0" w:color="auto"/>
            <w:left w:val="none" w:sz="0" w:space="0" w:color="auto"/>
            <w:bottom w:val="none" w:sz="0" w:space="0" w:color="auto"/>
            <w:right w:val="none" w:sz="0" w:space="0" w:color="auto"/>
          </w:divBdr>
        </w:div>
      </w:divsChild>
    </w:div>
    <w:div w:id="1287159583">
      <w:bodyDiv w:val="1"/>
      <w:marLeft w:val="0"/>
      <w:marRight w:val="0"/>
      <w:marTop w:val="0"/>
      <w:marBottom w:val="0"/>
      <w:divBdr>
        <w:top w:val="none" w:sz="0" w:space="0" w:color="auto"/>
        <w:left w:val="none" w:sz="0" w:space="0" w:color="auto"/>
        <w:bottom w:val="none" w:sz="0" w:space="0" w:color="auto"/>
        <w:right w:val="none" w:sz="0" w:space="0" w:color="auto"/>
      </w:divBdr>
      <w:divsChild>
        <w:div w:id="1692536192">
          <w:marLeft w:val="0"/>
          <w:marRight w:val="0"/>
          <w:marTop w:val="0"/>
          <w:marBottom w:val="0"/>
          <w:divBdr>
            <w:top w:val="none" w:sz="0" w:space="0" w:color="auto"/>
            <w:left w:val="none" w:sz="0" w:space="0" w:color="auto"/>
            <w:bottom w:val="none" w:sz="0" w:space="0" w:color="auto"/>
            <w:right w:val="none" w:sz="0" w:space="0" w:color="auto"/>
          </w:divBdr>
          <w:divsChild>
            <w:div w:id="1332370141">
              <w:marLeft w:val="0"/>
              <w:marRight w:val="0"/>
              <w:marTop w:val="0"/>
              <w:marBottom w:val="0"/>
              <w:divBdr>
                <w:top w:val="none" w:sz="0" w:space="0" w:color="auto"/>
                <w:left w:val="none" w:sz="0" w:space="0" w:color="auto"/>
                <w:bottom w:val="none" w:sz="0" w:space="0" w:color="auto"/>
                <w:right w:val="none" w:sz="0" w:space="0" w:color="auto"/>
              </w:divBdr>
            </w:div>
            <w:div w:id="1624992638">
              <w:marLeft w:val="0"/>
              <w:marRight w:val="0"/>
              <w:marTop w:val="0"/>
              <w:marBottom w:val="0"/>
              <w:divBdr>
                <w:top w:val="none" w:sz="0" w:space="0" w:color="auto"/>
                <w:left w:val="none" w:sz="0" w:space="0" w:color="auto"/>
                <w:bottom w:val="none" w:sz="0" w:space="0" w:color="auto"/>
                <w:right w:val="none" w:sz="0" w:space="0" w:color="auto"/>
              </w:divBdr>
            </w:div>
            <w:div w:id="1504392750">
              <w:marLeft w:val="0"/>
              <w:marRight w:val="0"/>
              <w:marTop w:val="0"/>
              <w:marBottom w:val="0"/>
              <w:divBdr>
                <w:top w:val="none" w:sz="0" w:space="0" w:color="auto"/>
                <w:left w:val="none" w:sz="0" w:space="0" w:color="auto"/>
                <w:bottom w:val="none" w:sz="0" w:space="0" w:color="auto"/>
                <w:right w:val="none" w:sz="0" w:space="0" w:color="auto"/>
              </w:divBdr>
            </w:div>
            <w:div w:id="678119100">
              <w:marLeft w:val="0"/>
              <w:marRight w:val="0"/>
              <w:marTop w:val="0"/>
              <w:marBottom w:val="0"/>
              <w:divBdr>
                <w:top w:val="none" w:sz="0" w:space="0" w:color="auto"/>
                <w:left w:val="none" w:sz="0" w:space="0" w:color="auto"/>
                <w:bottom w:val="none" w:sz="0" w:space="0" w:color="auto"/>
                <w:right w:val="none" w:sz="0" w:space="0" w:color="auto"/>
              </w:divBdr>
            </w:div>
            <w:div w:id="905528226">
              <w:marLeft w:val="0"/>
              <w:marRight w:val="0"/>
              <w:marTop w:val="0"/>
              <w:marBottom w:val="0"/>
              <w:divBdr>
                <w:top w:val="none" w:sz="0" w:space="0" w:color="auto"/>
                <w:left w:val="none" w:sz="0" w:space="0" w:color="auto"/>
                <w:bottom w:val="none" w:sz="0" w:space="0" w:color="auto"/>
                <w:right w:val="none" w:sz="0" w:space="0" w:color="auto"/>
              </w:divBdr>
            </w:div>
            <w:div w:id="1140076958">
              <w:marLeft w:val="0"/>
              <w:marRight w:val="0"/>
              <w:marTop w:val="0"/>
              <w:marBottom w:val="0"/>
              <w:divBdr>
                <w:top w:val="none" w:sz="0" w:space="0" w:color="auto"/>
                <w:left w:val="none" w:sz="0" w:space="0" w:color="auto"/>
                <w:bottom w:val="none" w:sz="0" w:space="0" w:color="auto"/>
                <w:right w:val="none" w:sz="0" w:space="0" w:color="auto"/>
              </w:divBdr>
            </w:div>
            <w:div w:id="543830085">
              <w:marLeft w:val="0"/>
              <w:marRight w:val="0"/>
              <w:marTop w:val="0"/>
              <w:marBottom w:val="0"/>
              <w:divBdr>
                <w:top w:val="none" w:sz="0" w:space="0" w:color="auto"/>
                <w:left w:val="none" w:sz="0" w:space="0" w:color="auto"/>
                <w:bottom w:val="none" w:sz="0" w:space="0" w:color="auto"/>
                <w:right w:val="none" w:sz="0" w:space="0" w:color="auto"/>
              </w:divBdr>
            </w:div>
            <w:div w:id="1824465226">
              <w:marLeft w:val="0"/>
              <w:marRight w:val="0"/>
              <w:marTop w:val="0"/>
              <w:marBottom w:val="0"/>
              <w:divBdr>
                <w:top w:val="none" w:sz="0" w:space="0" w:color="auto"/>
                <w:left w:val="none" w:sz="0" w:space="0" w:color="auto"/>
                <w:bottom w:val="none" w:sz="0" w:space="0" w:color="auto"/>
                <w:right w:val="none" w:sz="0" w:space="0" w:color="auto"/>
              </w:divBdr>
            </w:div>
            <w:div w:id="386300358">
              <w:marLeft w:val="0"/>
              <w:marRight w:val="0"/>
              <w:marTop w:val="0"/>
              <w:marBottom w:val="0"/>
              <w:divBdr>
                <w:top w:val="none" w:sz="0" w:space="0" w:color="auto"/>
                <w:left w:val="none" w:sz="0" w:space="0" w:color="auto"/>
                <w:bottom w:val="none" w:sz="0" w:space="0" w:color="auto"/>
                <w:right w:val="none" w:sz="0" w:space="0" w:color="auto"/>
              </w:divBdr>
            </w:div>
            <w:div w:id="1553955364">
              <w:marLeft w:val="0"/>
              <w:marRight w:val="0"/>
              <w:marTop w:val="0"/>
              <w:marBottom w:val="0"/>
              <w:divBdr>
                <w:top w:val="none" w:sz="0" w:space="0" w:color="auto"/>
                <w:left w:val="none" w:sz="0" w:space="0" w:color="auto"/>
                <w:bottom w:val="none" w:sz="0" w:space="0" w:color="auto"/>
                <w:right w:val="none" w:sz="0" w:space="0" w:color="auto"/>
              </w:divBdr>
            </w:div>
            <w:div w:id="1562406506">
              <w:marLeft w:val="0"/>
              <w:marRight w:val="0"/>
              <w:marTop w:val="0"/>
              <w:marBottom w:val="0"/>
              <w:divBdr>
                <w:top w:val="none" w:sz="0" w:space="0" w:color="auto"/>
                <w:left w:val="none" w:sz="0" w:space="0" w:color="auto"/>
                <w:bottom w:val="none" w:sz="0" w:space="0" w:color="auto"/>
                <w:right w:val="none" w:sz="0" w:space="0" w:color="auto"/>
              </w:divBdr>
            </w:div>
            <w:div w:id="266814468">
              <w:marLeft w:val="0"/>
              <w:marRight w:val="0"/>
              <w:marTop w:val="0"/>
              <w:marBottom w:val="0"/>
              <w:divBdr>
                <w:top w:val="none" w:sz="0" w:space="0" w:color="auto"/>
                <w:left w:val="none" w:sz="0" w:space="0" w:color="auto"/>
                <w:bottom w:val="none" w:sz="0" w:space="0" w:color="auto"/>
                <w:right w:val="none" w:sz="0" w:space="0" w:color="auto"/>
              </w:divBdr>
            </w:div>
            <w:div w:id="1646742869">
              <w:marLeft w:val="0"/>
              <w:marRight w:val="0"/>
              <w:marTop w:val="0"/>
              <w:marBottom w:val="0"/>
              <w:divBdr>
                <w:top w:val="none" w:sz="0" w:space="0" w:color="auto"/>
                <w:left w:val="none" w:sz="0" w:space="0" w:color="auto"/>
                <w:bottom w:val="none" w:sz="0" w:space="0" w:color="auto"/>
                <w:right w:val="none" w:sz="0" w:space="0" w:color="auto"/>
              </w:divBdr>
            </w:div>
            <w:div w:id="1243025995">
              <w:marLeft w:val="0"/>
              <w:marRight w:val="0"/>
              <w:marTop w:val="0"/>
              <w:marBottom w:val="0"/>
              <w:divBdr>
                <w:top w:val="none" w:sz="0" w:space="0" w:color="auto"/>
                <w:left w:val="none" w:sz="0" w:space="0" w:color="auto"/>
                <w:bottom w:val="none" w:sz="0" w:space="0" w:color="auto"/>
                <w:right w:val="none" w:sz="0" w:space="0" w:color="auto"/>
              </w:divBdr>
            </w:div>
            <w:div w:id="1915165990">
              <w:marLeft w:val="0"/>
              <w:marRight w:val="0"/>
              <w:marTop w:val="0"/>
              <w:marBottom w:val="0"/>
              <w:divBdr>
                <w:top w:val="none" w:sz="0" w:space="0" w:color="auto"/>
                <w:left w:val="none" w:sz="0" w:space="0" w:color="auto"/>
                <w:bottom w:val="none" w:sz="0" w:space="0" w:color="auto"/>
                <w:right w:val="none" w:sz="0" w:space="0" w:color="auto"/>
              </w:divBdr>
            </w:div>
            <w:div w:id="1654066788">
              <w:marLeft w:val="0"/>
              <w:marRight w:val="0"/>
              <w:marTop w:val="0"/>
              <w:marBottom w:val="0"/>
              <w:divBdr>
                <w:top w:val="none" w:sz="0" w:space="0" w:color="auto"/>
                <w:left w:val="none" w:sz="0" w:space="0" w:color="auto"/>
                <w:bottom w:val="none" w:sz="0" w:space="0" w:color="auto"/>
                <w:right w:val="none" w:sz="0" w:space="0" w:color="auto"/>
              </w:divBdr>
            </w:div>
            <w:div w:id="1823230333">
              <w:marLeft w:val="0"/>
              <w:marRight w:val="0"/>
              <w:marTop w:val="0"/>
              <w:marBottom w:val="0"/>
              <w:divBdr>
                <w:top w:val="none" w:sz="0" w:space="0" w:color="auto"/>
                <w:left w:val="none" w:sz="0" w:space="0" w:color="auto"/>
                <w:bottom w:val="none" w:sz="0" w:space="0" w:color="auto"/>
                <w:right w:val="none" w:sz="0" w:space="0" w:color="auto"/>
              </w:divBdr>
            </w:div>
            <w:div w:id="1397774895">
              <w:marLeft w:val="0"/>
              <w:marRight w:val="0"/>
              <w:marTop w:val="0"/>
              <w:marBottom w:val="0"/>
              <w:divBdr>
                <w:top w:val="none" w:sz="0" w:space="0" w:color="auto"/>
                <w:left w:val="none" w:sz="0" w:space="0" w:color="auto"/>
                <w:bottom w:val="none" w:sz="0" w:space="0" w:color="auto"/>
                <w:right w:val="none" w:sz="0" w:space="0" w:color="auto"/>
              </w:divBdr>
            </w:div>
            <w:div w:id="1685128665">
              <w:marLeft w:val="0"/>
              <w:marRight w:val="0"/>
              <w:marTop w:val="0"/>
              <w:marBottom w:val="0"/>
              <w:divBdr>
                <w:top w:val="none" w:sz="0" w:space="0" w:color="auto"/>
                <w:left w:val="none" w:sz="0" w:space="0" w:color="auto"/>
                <w:bottom w:val="none" w:sz="0" w:space="0" w:color="auto"/>
                <w:right w:val="none" w:sz="0" w:space="0" w:color="auto"/>
              </w:divBdr>
            </w:div>
            <w:div w:id="1901134774">
              <w:marLeft w:val="0"/>
              <w:marRight w:val="0"/>
              <w:marTop w:val="0"/>
              <w:marBottom w:val="0"/>
              <w:divBdr>
                <w:top w:val="none" w:sz="0" w:space="0" w:color="auto"/>
                <w:left w:val="none" w:sz="0" w:space="0" w:color="auto"/>
                <w:bottom w:val="none" w:sz="0" w:space="0" w:color="auto"/>
                <w:right w:val="none" w:sz="0" w:space="0" w:color="auto"/>
              </w:divBdr>
            </w:div>
          </w:divsChild>
        </w:div>
        <w:div w:id="1840580550">
          <w:marLeft w:val="0"/>
          <w:marRight w:val="0"/>
          <w:marTop w:val="0"/>
          <w:marBottom w:val="0"/>
          <w:divBdr>
            <w:top w:val="none" w:sz="0" w:space="0" w:color="auto"/>
            <w:left w:val="none" w:sz="0" w:space="0" w:color="auto"/>
            <w:bottom w:val="none" w:sz="0" w:space="0" w:color="auto"/>
            <w:right w:val="none" w:sz="0" w:space="0" w:color="auto"/>
          </w:divBdr>
        </w:div>
        <w:div w:id="1012296127">
          <w:marLeft w:val="0"/>
          <w:marRight w:val="0"/>
          <w:marTop w:val="0"/>
          <w:marBottom w:val="0"/>
          <w:divBdr>
            <w:top w:val="none" w:sz="0" w:space="0" w:color="auto"/>
            <w:left w:val="none" w:sz="0" w:space="0" w:color="auto"/>
            <w:bottom w:val="none" w:sz="0" w:space="0" w:color="auto"/>
            <w:right w:val="none" w:sz="0" w:space="0" w:color="auto"/>
          </w:divBdr>
        </w:div>
        <w:div w:id="1561095929">
          <w:marLeft w:val="0"/>
          <w:marRight w:val="0"/>
          <w:marTop w:val="0"/>
          <w:marBottom w:val="0"/>
          <w:divBdr>
            <w:top w:val="none" w:sz="0" w:space="0" w:color="auto"/>
            <w:left w:val="none" w:sz="0" w:space="0" w:color="auto"/>
            <w:bottom w:val="none" w:sz="0" w:space="0" w:color="auto"/>
            <w:right w:val="none" w:sz="0" w:space="0" w:color="auto"/>
          </w:divBdr>
        </w:div>
        <w:div w:id="40063010">
          <w:marLeft w:val="0"/>
          <w:marRight w:val="0"/>
          <w:marTop w:val="0"/>
          <w:marBottom w:val="0"/>
          <w:divBdr>
            <w:top w:val="none" w:sz="0" w:space="0" w:color="auto"/>
            <w:left w:val="none" w:sz="0" w:space="0" w:color="auto"/>
            <w:bottom w:val="none" w:sz="0" w:space="0" w:color="auto"/>
            <w:right w:val="none" w:sz="0" w:space="0" w:color="auto"/>
          </w:divBdr>
        </w:div>
        <w:div w:id="963922749">
          <w:marLeft w:val="0"/>
          <w:marRight w:val="0"/>
          <w:marTop w:val="0"/>
          <w:marBottom w:val="0"/>
          <w:divBdr>
            <w:top w:val="none" w:sz="0" w:space="0" w:color="auto"/>
            <w:left w:val="none" w:sz="0" w:space="0" w:color="auto"/>
            <w:bottom w:val="none" w:sz="0" w:space="0" w:color="auto"/>
            <w:right w:val="none" w:sz="0" w:space="0" w:color="auto"/>
          </w:divBdr>
        </w:div>
        <w:div w:id="170068463">
          <w:marLeft w:val="0"/>
          <w:marRight w:val="0"/>
          <w:marTop w:val="0"/>
          <w:marBottom w:val="0"/>
          <w:divBdr>
            <w:top w:val="none" w:sz="0" w:space="0" w:color="auto"/>
            <w:left w:val="none" w:sz="0" w:space="0" w:color="auto"/>
            <w:bottom w:val="none" w:sz="0" w:space="0" w:color="auto"/>
            <w:right w:val="none" w:sz="0" w:space="0" w:color="auto"/>
          </w:divBdr>
        </w:div>
        <w:div w:id="827550882">
          <w:marLeft w:val="0"/>
          <w:marRight w:val="0"/>
          <w:marTop w:val="0"/>
          <w:marBottom w:val="0"/>
          <w:divBdr>
            <w:top w:val="none" w:sz="0" w:space="0" w:color="auto"/>
            <w:left w:val="none" w:sz="0" w:space="0" w:color="auto"/>
            <w:bottom w:val="none" w:sz="0" w:space="0" w:color="auto"/>
            <w:right w:val="none" w:sz="0" w:space="0" w:color="auto"/>
          </w:divBdr>
        </w:div>
        <w:div w:id="793983722">
          <w:marLeft w:val="0"/>
          <w:marRight w:val="0"/>
          <w:marTop w:val="0"/>
          <w:marBottom w:val="0"/>
          <w:divBdr>
            <w:top w:val="none" w:sz="0" w:space="0" w:color="auto"/>
            <w:left w:val="none" w:sz="0" w:space="0" w:color="auto"/>
            <w:bottom w:val="none" w:sz="0" w:space="0" w:color="auto"/>
            <w:right w:val="none" w:sz="0" w:space="0" w:color="auto"/>
          </w:divBdr>
        </w:div>
      </w:divsChild>
    </w:div>
    <w:div w:id="1387485824">
      <w:bodyDiv w:val="1"/>
      <w:marLeft w:val="0"/>
      <w:marRight w:val="0"/>
      <w:marTop w:val="0"/>
      <w:marBottom w:val="0"/>
      <w:divBdr>
        <w:top w:val="none" w:sz="0" w:space="0" w:color="auto"/>
        <w:left w:val="none" w:sz="0" w:space="0" w:color="auto"/>
        <w:bottom w:val="none" w:sz="0" w:space="0" w:color="auto"/>
        <w:right w:val="none" w:sz="0" w:space="0" w:color="auto"/>
      </w:divBdr>
      <w:divsChild>
        <w:div w:id="566189773">
          <w:marLeft w:val="0"/>
          <w:marRight w:val="0"/>
          <w:marTop w:val="0"/>
          <w:marBottom w:val="0"/>
          <w:divBdr>
            <w:top w:val="none" w:sz="0" w:space="0" w:color="auto"/>
            <w:left w:val="none" w:sz="0" w:space="0" w:color="auto"/>
            <w:bottom w:val="none" w:sz="0" w:space="0" w:color="auto"/>
            <w:right w:val="none" w:sz="0" w:space="0" w:color="auto"/>
          </w:divBdr>
          <w:divsChild>
            <w:div w:id="532116940">
              <w:marLeft w:val="0"/>
              <w:marRight w:val="0"/>
              <w:marTop w:val="0"/>
              <w:marBottom w:val="0"/>
              <w:divBdr>
                <w:top w:val="none" w:sz="0" w:space="0" w:color="auto"/>
                <w:left w:val="none" w:sz="0" w:space="0" w:color="auto"/>
                <w:bottom w:val="none" w:sz="0" w:space="0" w:color="auto"/>
                <w:right w:val="none" w:sz="0" w:space="0" w:color="auto"/>
              </w:divBdr>
            </w:div>
            <w:div w:id="866337719">
              <w:marLeft w:val="0"/>
              <w:marRight w:val="0"/>
              <w:marTop w:val="0"/>
              <w:marBottom w:val="0"/>
              <w:divBdr>
                <w:top w:val="none" w:sz="0" w:space="0" w:color="auto"/>
                <w:left w:val="none" w:sz="0" w:space="0" w:color="auto"/>
                <w:bottom w:val="none" w:sz="0" w:space="0" w:color="auto"/>
                <w:right w:val="none" w:sz="0" w:space="0" w:color="auto"/>
              </w:divBdr>
            </w:div>
            <w:div w:id="1365863192">
              <w:marLeft w:val="0"/>
              <w:marRight w:val="0"/>
              <w:marTop w:val="0"/>
              <w:marBottom w:val="0"/>
              <w:divBdr>
                <w:top w:val="none" w:sz="0" w:space="0" w:color="auto"/>
                <w:left w:val="none" w:sz="0" w:space="0" w:color="auto"/>
                <w:bottom w:val="none" w:sz="0" w:space="0" w:color="auto"/>
                <w:right w:val="none" w:sz="0" w:space="0" w:color="auto"/>
              </w:divBdr>
            </w:div>
            <w:div w:id="222259061">
              <w:marLeft w:val="0"/>
              <w:marRight w:val="0"/>
              <w:marTop w:val="0"/>
              <w:marBottom w:val="0"/>
              <w:divBdr>
                <w:top w:val="none" w:sz="0" w:space="0" w:color="auto"/>
                <w:left w:val="none" w:sz="0" w:space="0" w:color="auto"/>
                <w:bottom w:val="none" w:sz="0" w:space="0" w:color="auto"/>
                <w:right w:val="none" w:sz="0" w:space="0" w:color="auto"/>
              </w:divBdr>
            </w:div>
            <w:div w:id="722172749">
              <w:marLeft w:val="0"/>
              <w:marRight w:val="0"/>
              <w:marTop w:val="0"/>
              <w:marBottom w:val="0"/>
              <w:divBdr>
                <w:top w:val="none" w:sz="0" w:space="0" w:color="auto"/>
                <w:left w:val="none" w:sz="0" w:space="0" w:color="auto"/>
                <w:bottom w:val="none" w:sz="0" w:space="0" w:color="auto"/>
                <w:right w:val="none" w:sz="0" w:space="0" w:color="auto"/>
              </w:divBdr>
            </w:div>
            <w:div w:id="1620606177">
              <w:marLeft w:val="0"/>
              <w:marRight w:val="0"/>
              <w:marTop w:val="0"/>
              <w:marBottom w:val="0"/>
              <w:divBdr>
                <w:top w:val="none" w:sz="0" w:space="0" w:color="auto"/>
                <w:left w:val="none" w:sz="0" w:space="0" w:color="auto"/>
                <w:bottom w:val="none" w:sz="0" w:space="0" w:color="auto"/>
                <w:right w:val="none" w:sz="0" w:space="0" w:color="auto"/>
              </w:divBdr>
            </w:div>
            <w:div w:id="1653365373">
              <w:marLeft w:val="0"/>
              <w:marRight w:val="0"/>
              <w:marTop w:val="0"/>
              <w:marBottom w:val="0"/>
              <w:divBdr>
                <w:top w:val="none" w:sz="0" w:space="0" w:color="auto"/>
                <w:left w:val="none" w:sz="0" w:space="0" w:color="auto"/>
                <w:bottom w:val="none" w:sz="0" w:space="0" w:color="auto"/>
                <w:right w:val="none" w:sz="0" w:space="0" w:color="auto"/>
              </w:divBdr>
            </w:div>
            <w:div w:id="409232478">
              <w:marLeft w:val="0"/>
              <w:marRight w:val="0"/>
              <w:marTop w:val="0"/>
              <w:marBottom w:val="0"/>
              <w:divBdr>
                <w:top w:val="none" w:sz="0" w:space="0" w:color="auto"/>
                <w:left w:val="none" w:sz="0" w:space="0" w:color="auto"/>
                <w:bottom w:val="none" w:sz="0" w:space="0" w:color="auto"/>
                <w:right w:val="none" w:sz="0" w:space="0" w:color="auto"/>
              </w:divBdr>
            </w:div>
            <w:div w:id="527834263">
              <w:marLeft w:val="0"/>
              <w:marRight w:val="0"/>
              <w:marTop w:val="0"/>
              <w:marBottom w:val="0"/>
              <w:divBdr>
                <w:top w:val="none" w:sz="0" w:space="0" w:color="auto"/>
                <w:left w:val="none" w:sz="0" w:space="0" w:color="auto"/>
                <w:bottom w:val="none" w:sz="0" w:space="0" w:color="auto"/>
                <w:right w:val="none" w:sz="0" w:space="0" w:color="auto"/>
              </w:divBdr>
            </w:div>
            <w:div w:id="1367564386">
              <w:marLeft w:val="0"/>
              <w:marRight w:val="0"/>
              <w:marTop w:val="0"/>
              <w:marBottom w:val="0"/>
              <w:divBdr>
                <w:top w:val="none" w:sz="0" w:space="0" w:color="auto"/>
                <w:left w:val="none" w:sz="0" w:space="0" w:color="auto"/>
                <w:bottom w:val="none" w:sz="0" w:space="0" w:color="auto"/>
                <w:right w:val="none" w:sz="0" w:space="0" w:color="auto"/>
              </w:divBdr>
            </w:div>
            <w:div w:id="976881390">
              <w:marLeft w:val="0"/>
              <w:marRight w:val="0"/>
              <w:marTop w:val="0"/>
              <w:marBottom w:val="0"/>
              <w:divBdr>
                <w:top w:val="none" w:sz="0" w:space="0" w:color="auto"/>
                <w:left w:val="none" w:sz="0" w:space="0" w:color="auto"/>
                <w:bottom w:val="none" w:sz="0" w:space="0" w:color="auto"/>
                <w:right w:val="none" w:sz="0" w:space="0" w:color="auto"/>
              </w:divBdr>
            </w:div>
            <w:div w:id="1364280702">
              <w:marLeft w:val="0"/>
              <w:marRight w:val="0"/>
              <w:marTop w:val="0"/>
              <w:marBottom w:val="0"/>
              <w:divBdr>
                <w:top w:val="none" w:sz="0" w:space="0" w:color="auto"/>
                <w:left w:val="none" w:sz="0" w:space="0" w:color="auto"/>
                <w:bottom w:val="none" w:sz="0" w:space="0" w:color="auto"/>
                <w:right w:val="none" w:sz="0" w:space="0" w:color="auto"/>
              </w:divBdr>
            </w:div>
            <w:div w:id="508907719">
              <w:marLeft w:val="0"/>
              <w:marRight w:val="0"/>
              <w:marTop w:val="0"/>
              <w:marBottom w:val="0"/>
              <w:divBdr>
                <w:top w:val="none" w:sz="0" w:space="0" w:color="auto"/>
                <w:left w:val="none" w:sz="0" w:space="0" w:color="auto"/>
                <w:bottom w:val="none" w:sz="0" w:space="0" w:color="auto"/>
                <w:right w:val="none" w:sz="0" w:space="0" w:color="auto"/>
              </w:divBdr>
            </w:div>
            <w:div w:id="9331766">
              <w:marLeft w:val="0"/>
              <w:marRight w:val="0"/>
              <w:marTop w:val="0"/>
              <w:marBottom w:val="0"/>
              <w:divBdr>
                <w:top w:val="none" w:sz="0" w:space="0" w:color="auto"/>
                <w:left w:val="none" w:sz="0" w:space="0" w:color="auto"/>
                <w:bottom w:val="none" w:sz="0" w:space="0" w:color="auto"/>
                <w:right w:val="none" w:sz="0" w:space="0" w:color="auto"/>
              </w:divBdr>
            </w:div>
            <w:div w:id="1596748781">
              <w:marLeft w:val="0"/>
              <w:marRight w:val="0"/>
              <w:marTop w:val="0"/>
              <w:marBottom w:val="0"/>
              <w:divBdr>
                <w:top w:val="none" w:sz="0" w:space="0" w:color="auto"/>
                <w:left w:val="none" w:sz="0" w:space="0" w:color="auto"/>
                <w:bottom w:val="none" w:sz="0" w:space="0" w:color="auto"/>
                <w:right w:val="none" w:sz="0" w:space="0" w:color="auto"/>
              </w:divBdr>
            </w:div>
            <w:div w:id="830099175">
              <w:marLeft w:val="0"/>
              <w:marRight w:val="0"/>
              <w:marTop w:val="0"/>
              <w:marBottom w:val="0"/>
              <w:divBdr>
                <w:top w:val="none" w:sz="0" w:space="0" w:color="auto"/>
                <w:left w:val="none" w:sz="0" w:space="0" w:color="auto"/>
                <w:bottom w:val="none" w:sz="0" w:space="0" w:color="auto"/>
                <w:right w:val="none" w:sz="0" w:space="0" w:color="auto"/>
              </w:divBdr>
            </w:div>
            <w:div w:id="777870138">
              <w:marLeft w:val="0"/>
              <w:marRight w:val="0"/>
              <w:marTop w:val="0"/>
              <w:marBottom w:val="0"/>
              <w:divBdr>
                <w:top w:val="none" w:sz="0" w:space="0" w:color="auto"/>
                <w:left w:val="none" w:sz="0" w:space="0" w:color="auto"/>
                <w:bottom w:val="none" w:sz="0" w:space="0" w:color="auto"/>
                <w:right w:val="none" w:sz="0" w:space="0" w:color="auto"/>
              </w:divBdr>
            </w:div>
            <w:div w:id="1773354630">
              <w:marLeft w:val="0"/>
              <w:marRight w:val="0"/>
              <w:marTop w:val="0"/>
              <w:marBottom w:val="0"/>
              <w:divBdr>
                <w:top w:val="none" w:sz="0" w:space="0" w:color="auto"/>
                <w:left w:val="none" w:sz="0" w:space="0" w:color="auto"/>
                <w:bottom w:val="none" w:sz="0" w:space="0" w:color="auto"/>
                <w:right w:val="none" w:sz="0" w:space="0" w:color="auto"/>
              </w:divBdr>
            </w:div>
            <w:div w:id="816921186">
              <w:marLeft w:val="0"/>
              <w:marRight w:val="0"/>
              <w:marTop w:val="0"/>
              <w:marBottom w:val="0"/>
              <w:divBdr>
                <w:top w:val="none" w:sz="0" w:space="0" w:color="auto"/>
                <w:left w:val="none" w:sz="0" w:space="0" w:color="auto"/>
                <w:bottom w:val="none" w:sz="0" w:space="0" w:color="auto"/>
                <w:right w:val="none" w:sz="0" w:space="0" w:color="auto"/>
              </w:divBdr>
            </w:div>
            <w:div w:id="1345783909">
              <w:marLeft w:val="0"/>
              <w:marRight w:val="0"/>
              <w:marTop w:val="0"/>
              <w:marBottom w:val="0"/>
              <w:divBdr>
                <w:top w:val="none" w:sz="0" w:space="0" w:color="auto"/>
                <w:left w:val="none" w:sz="0" w:space="0" w:color="auto"/>
                <w:bottom w:val="none" w:sz="0" w:space="0" w:color="auto"/>
                <w:right w:val="none" w:sz="0" w:space="0" w:color="auto"/>
              </w:divBdr>
            </w:div>
          </w:divsChild>
        </w:div>
        <w:div w:id="155197337">
          <w:marLeft w:val="0"/>
          <w:marRight w:val="0"/>
          <w:marTop w:val="0"/>
          <w:marBottom w:val="0"/>
          <w:divBdr>
            <w:top w:val="none" w:sz="0" w:space="0" w:color="auto"/>
            <w:left w:val="none" w:sz="0" w:space="0" w:color="auto"/>
            <w:bottom w:val="none" w:sz="0" w:space="0" w:color="auto"/>
            <w:right w:val="none" w:sz="0" w:space="0" w:color="auto"/>
          </w:divBdr>
        </w:div>
        <w:div w:id="990714165">
          <w:marLeft w:val="0"/>
          <w:marRight w:val="0"/>
          <w:marTop w:val="0"/>
          <w:marBottom w:val="0"/>
          <w:divBdr>
            <w:top w:val="none" w:sz="0" w:space="0" w:color="auto"/>
            <w:left w:val="none" w:sz="0" w:space="0" w:color="auto"/>
            <w:bottom w:val="none" w:sz="0" w:space="0" w:color="auto"/>
            <w:right w:val="none" w:sz="0" w:space="0" w:color="auto"/>
          </w:divBdr>
        </w:div>
        <w:div w:id="274792931">
          <w:marLeft w:val="0"/>
          <w:marRight w:val="0"/>
          <w:marTop w:val="0"/>
          <w:marBottom w:val="0"/>
          <w:divBdr>
            <w:top w:val="none" w:sz="0" w:space="0" w:color="auto"/>
            <w:left w:val="none" w:sz="0" w:space="0" w:color="auto"/>
            <w:bottom w:val="none" w:sz="0" w:space="0" w:color="auto"/>
            <w:right w:val="none" w:sz="0" w:space="0" w:color="auto"/>
          </w:divBdr>
        </w:div>
        <w:div w:id="2001276871">
          <w:marLeft w:val="0"/>
          <w:marRight w:val="0"/>
          <w:marTop w:val="0"/>
          <w:marBottom w:val="0"/>
          <w:divBdr>
            <w:top w:val="none" w:sz="0" w:space="0" w:color="auto"/>
            <w:left w:val="none" w:sz="0" w:space="0" w:color="auto"/>
            <w:bottom w:val="none" w:sz="0" w:space="0" w:color="auto"/>
            <w:right w:val="none" w:sz="0" w:space="0" w:color="auto"/>
          </w:divBdr>
        </w:div>
        <w:div w:id="1167134261">
          <w:marLeft w:val="0"/>
          <w:marRight w:val="0"/>
          <w:marTop w:val="0"/>
          <w:marBottom w:val="0"/>
          <w:divBdr>
            <w:top w:val="none" w:sz="0" w:space="0" w:color="auto"/>
            <w:left w:val="none" w:sz="0" w:space="0" w:color="auto"/>
            <w:bottom w:val="none" w:sz="0" w:space="0" w:color="auto"/>
            <w:right w:val="none" w:sz="0" w:space="0" w:color="auto"/>
          </w:divBdr>
        </w:div>
        <w:div w:id="436868434">
          <w:marLeft w:val="0"/>
          <w:marRight w:val="0"/>
          <w:marTop w:val="0"/>
          <w:marBottom w:val="0"/>
          <w:divBdr>
            <w:top w:val="none" w:sz="0" w:space="0" w:color="auto"/>
            <w:left w:val="none" w:sz="0" w:space="0" w:color="auto"/>
            <w:bottom w:val="none" w:sz="0" w:space="0" w:color="auto"/>
            <w:right w:val="none" w:sz="0" w:space="0" w:color="auto"/>
          </w:divBdr>
        </w:div>
        <w:div w:id="1878851599">
          <w:marLeft w:val="0"/>
          <w:marRight w:val="0"/>
          <w:marTop w:val="0"/>
          <w:marBottom w:val="0"/>
          <w:divBdr>
            <w:top w:val="none" w:sz="0" w:space="0" w:color="auto"/>
            <w:left w:val="none" w:sz="0" w:space="0" w:color="auto"/>
            <w:bottom w:val="none" w:sz="0" w:space="0" w:color="auto"/>
            <w:right w:val="none" w:sz="0" w:space="0" w:color="auto"/>
          </w:divBdr>
        </w:div>
        <w:div w:id="1374575124">
          <w:marLeft w:val="0"/>
          <w:marRight w:val="0"/>
          <w:marTop w:val="0"/>
          <w:marBottom w:val="0"/>
          <w:divBdr>
            <w:top w:val="none" w:sz="0" w:space="0" w:color="auto"/>
            <w:left w:val="none" w:sz="0" w:space="0" w:color="auto"/>
            <w:bottom w:val="none" w:sz="0" w:space="0" w:color="auto"/>
            <w:right w:val="none" w:sz="0" w:space="0" w:color="auto"/>
          </w:divBdr>
        </w:div>
      </w:divsChild>
    </w:div>
    <w:div w:id="1982298401">
      <w:bodyDiv w:val="1"/>
      <w:marLeft w:val="0"/>
      <w:marRight w:val="0"/>
      <w:marTop w:val="0"/>
      <w:marBottom w:val="0"/>
      <w:divBdr>
        <w:top w:val="none" w:sz="0" w:space="0" w:color="auto"/>
        <w:left w:val="none" w:sz="0" w:space="0" w:color="auto"/>
        <w:bottom w:val="none" w:sz="0" w:space="0" w:color="auto"/>
        <w:right w:val="none" w:sz="0" w:space="0" w:color="auto"/>
      </w:divBdr>
      <w:divsChild>
        <w:div w:id="1252659796">
          <w:marLeft w:val="0"/>
          <w:marRight w:val="0"/>
          <w:marTop w:val="0"/>
          <w:marBottom w:val="0"/>
          <w:divBdr>
            <w:top w:val="none" w:sz="0" w:space="0" w:color="auto"/>
            <w:left w:val="none" w:sz="0" w:space="0" w:color="auto"/>
            <w:bottom w:val="none" w:sz="0" w:space="0" w:color="auto"/>
            <w:right w:val="none" w:sz="0" w:space="0" w:color="auto"/>
          </w:divBdr>
          <w:divsChild>
            <w:div w:id="325329250">
              <w:marLeft w:val="0"/>
              <w:marRight w:val="0"/>
              <w:marTop w:val="0"/>
              <w:marBottom w:val="0"/>
              <w:divBdr>
                <w:top w:val="none" w:sz="0" w:space="0" w:color="auto"/>
                <w:left w:val="none" w:sz="0" w:space="0" w:color="auto"/>
                <w:bottom w:val="none" w:sz="0" w:space="0" w:color="auto"/>
                <w:right w:val="none" w:sz="0" w:space="0" w:color="auto"/>
              </w:divBdr>
            </w:div>
            <w:div w:id="766924635">
              <w:marLeft w:val="0"/>
              <w:marRight w:val="0"/>
              <w:marTop w:val="0"/>
              <w:marBottom w:val="0"/>
              <w:divBdr>
                <w:top w:val="none" w:sz="0" w:space="0" w:color="auto"/>
                <w:left w:val="none" w:sz="0" w:space="0" w:color="auto"/>
                <w:bottom w:val="none" w:sz="0" w:space="0" w:color="auto"/>
                <w:right w:val="none" w:sz="0" w:space="0" w:color="auto"/>
              </w:divBdr>
            </w:div>
            <w:div w:id="1742411862">
              <w:marLeft w:val="0"/>
              <w:marRight w:val="0"/>
              <w:marTop w:val="0"/>
              <w:marBottom w:val="0"/>
              <w:divBdr>
                <w:top w:val="none" w:sz="0" w:space="0" w:color="auto"/>
                <w:left w:val="none" w:sz="0" w:space="0" w:color="auto"/>
                <w:bottom w:val="none" w:sz="0" w:space="0" w:color="auto"/>
                <w:right w:val="none" w:sz="0" w:space="0" w:color="auto"/>
              </w:divBdr>
            </w:div>
            <w:div w:id="633174811">
              <w:marLeft w:val="0"/>
              <w:marRight w:val="0"/>
              <w:marTop w:val="0"/>
              <w:marBottom w:val="0"/>
              <w:divBdr>
                <w:top w:val="none" w:sz="0" w:space="0" w:color="auto"/>
                <w:left w:val="none" w:sz="0" w:space="0" w:color="auto"/>
                <w:bottom w:val="none" w:sz="0" w:space="0" w:color="auto"/>
                <w:right w:val="none" w:sz="0" w:space="0" w:color="auto"/>
              </w:divBdr>
            </w:div>
            <w:div w:id="1667904160">
              <w:marLeft w:val="0"/>
              <w:marRight w:val="0"/>
              <w:marTop w:val="0"/>
              <w:marBottom w:val="0"/>
              <w:divBdr>
                <w:top w:val="none" w:sz="0" w:space="0" w:color="auto"/>
                <w:left w:val="none" w:sz="0" w:space="0" w:color="auto"/>
                <w:bottom w:val="none" w:sz="0" w:space="0" w:color="auto"/>
                <w:right w:val="none" w:sz="0" w:space="0" w:color="auto"/>
              </w:divBdr>
            </w:div>
            <w:div w:id="813445314">
              <w:marLeft w:val="0"/>
              <w:marRight w:val="0"/>
              <w:marTop w:val="0"/>
              <w:marBottom w:val="0"/>
              <w:divBdr>
                <w:top w:val="none" w:sz="0" w:space="0" w:color="auto"/>
                <w:left w:val="none" w:sz="0" w:space="0" w:color="auto"/>
                <w:bottom w:val="none" w:sz="0" w:space="0" w:color="auto"/>
                <w:right w:val="none" w:sz="0" w:space="0" w:color="auto"/>
              </w:divBdr>
            </w:div>
            <w:div w:id="145781632">
              <w:marLeft w:val="0"/>
              <w:marRight w:val="0"/>
              <w:marTop w:val="0"/>
              <w:marBottom w:val="0"/>
              <w:divBdr>
                <w:top w:val="none" w:sz="0" w:space="0" w:color="auto"/>
                <w:left w:val="none" w:sz="0" w:space="0" w:color="auto"/>
                <w:bottom w:val="none" w:sz="0" w:space="0" w:color="auto"/>
                <w:right w:val="none" w:sz="0" w:space="0" w:color="auto"/>
              </w:divBdr>
            </w:div>
            <w:div w:id="232593110">
              <w:marLeft w:val="0"/>
              <w:marRight w:val="0"/>
              <w:marTop w:val="0"/>
              <w:marBottom w:val="0"/>
              <w:divBdr>
                <w:top w:val="none" w:sz="0" w:space="0" w:color="auto"/>
                <w:left w:val="none" w:sz="0" w:space="0" w:color="auto"/>
                <w:bottom w:val="none" w:sz="0" w:space="0" w:color="auto"/>
                <w:right w:val="none" w:sz="0" w:space="0" w:color="auto"/>
              </w:divBdr>
            </w:div>
            <w:div w:id="770055279">
              <w:marLeft w:val="0"/>
              <w:marRight w:val="0"/>
              <w:marTop w:val="0"/>
              <w:marBottom w:val="0"/>
              <w:divBdr>
                <w:top w:val="none" w:sz="0" w:space="0" w:color="auto"/>
                <w:left w:val="none" w:sz="0" w:space="0" w:color="auto"/>
                <w:bottom w:val="none" w:sz="0" w:space="0" w:color="auto"/>
                <w:right w:val="none" w:sz="0" w:space="0" w:color="auto"/>
              </w:divBdr>
            </w:div>
            <w:div w:id="1365519042">
              <w:marLeft w:val="0"/>
              <w:marRight w:val="0"/>
              <w:marTop w:val="0"/>
              <w:marBottom w:val="0"/>
              <w:divBdr>
                <w:top w:val="none" w:sz="0" w:space="0" w:color="auto"/>
                <w:left w:val="none" w:sz="0" w:space="0" w:color="auto"/>
                <w:bottom w:val="none" w:sz="0" w:space="0" w:color="auto"/>
                <w:right w:val="none" w:sz="0" w:space="0" w:color="auto"/>
              </w:divBdr>
            </w:div>
            <w:div w:id="1467233938">
              <w:marLeft w:val="0"/>
              <w:marRight w:val="0"/>
              <w:marTop w:val="0"/>
              <w:marBottom w:val="0"/>
              <w:divBdr>
                <w:top w:val="none" w:sz="0" w:space="0" w:color="auto"/>
                <w:left w:val="none" w:sz="0" w:space="0" w:color="auto"/>
                <w:bottom w:val="none" w:sz="0" w:space="0" w:color="auto"/>
                <w:right w:val="none" w:sz="0" w:space="0" w:color="auto"/>
              </w:divBdr>
            </w:div>
            <w:div w:id="553663971">
              <w:marLeft w:val="0"/>
              <w:marRight w:val="0"/>
              <w:marTop w:val="0"/>
              <w:marBottom w:val="0"/>
              <w:divBdr>
                <w:top w:val="none" w:sz="0" w:space="0" w:color="auto"/>
                <w:left w:val="none" w:sz="0" w:space="0" w:color="auto"/>
                <w:bottom w:val="none" w:sz="0" w:space="0" w:color="auto"/>
                <w:right w:val="none" w:sz="0" w:space="0" w:color="auto"/>
              </w:divBdr>
            </w:div>
            <w:div w:id="1216506198">
              <w:marLeft w:val="0"/>
              <w:marRight w:val="0"/>
              <w:marTop w:val="0"/>
              <w:marBottom w:val="0"/>
              <w:divBdr>
                <w:top w:val="none" w:sz="0" w:space="0" w:color="auto"/>
                <w:left w:val="none" w:sz="0" w:space="0" w:color="auto"/>
                <w:bottom w:val="none" w:sz="0" w:space="0" w:color="auto"/>
                <w:right w:val="none" w:sz="0" w:space="0" w:color="auto"/>
              </w:divBdr>
            </w:div>
            <w:div w:id="754668078">
              <w:marLeft w:val="0"/>
              <w:marRight w:val="0"/>
              <w:marTop w:val="0"/>
              <w:marBottom w:val="0"/>
              <w:divBdr>
                <w:top w:val="none" w:sz="0" w:space="0" w:color="auto"/>
                <w:left w:val="none" w:sz="0" w:space="0" w:color="auto"/>
                <w:bottom w:val="none" w:sz="0" w:space="0" w:color="auto"/>
                <w:right w:val="none" w:sz="0" w:space="0" w:color="auto"/>
              </w:divBdr>
            </w:div>
            <w:div w:id="686440795">
              <w:marLeft w:val="0"/>
              <w:marRight w:val="0"/>
              <w:marTop w:val="0"/>
              <w:marBottom w:val="0"/>
              <w:divBdr>
                <w:top w:val="none" w:sz="0" w:space="0" w:color="auto"/>
                <w:left w:val="none" w:sz="0" w:space="0" w:color="auto"/>
                <w:bottom w:val="none" w:sz="0" w:space="0" w:color="auto"/>
                <w:right w:val="none" w:sz="0" w:space="0" w:color="auto"/>
              </w:divBdr>
            </w:div>
            <w:div w:id="544685369">
              <w:marLeft w:val="0"/>
              <w:marRight w:val="0"/>
              <w:marTop w:val="0"/>
              <w:marBottom w:val="0"/>
              <w:divBdr>
                <w:top w:val="none" w:sz="0" w:space="0" w:color="auto"/>
                <w:left w:val="none" w:sz="0" w:space="0" w:color="auto"/>
                <w:bottom w:val="none" w:sz="0" w:space="0" w:color="auto"/>
                <w:right w:val="none" w:sz="0" w:space="0" w:color="auto"/>
              </w:divBdr>
            </w:div>
            <w:div w:id="1347245886">
              <w:marLeft w:val="0"/>
              <w:marRight w:val="0"/>
              <w:marTop w:val="0"/>
              <w:marBottom w:val="0"/>
              <w:divBdr>
                <w:top w:val="none" w:sz="0" w:space="0" w:color="auto"/>
                <w:left w:val="none" w:sz="0" w:space="0" w:color="auto"/>
                <w:bottom w:val="none" w:sz="0" w:space="0" w:color="auto"/>
                <w:right w:val="none" w:sz="0" w:space="0" w:color="auto"/>
              </w:divBdr>
            </w:div>
            <w:div w:id="122580239">
              <w:marLeft w:val="0"/>
              <w:marRight w:val="0"/>
              <w:marTop w:val="0"/>
              <w:marBottom w:val="0"/>
              <w:divBdr>
                <w:top w:val="none" w:sz="0" w:space="0" w:color="auto"/>
                <w:left w:val="none" w:sz="0" w:space="0" w:color="auto"/>
                <w:bottom w:val="none" w:sz="0" w:space="0" w:color="auto"/>
                <w:right w:val="none" w:sz="0" w:space="0" w:color="auto"/>
              </w:divBdr>
            </w:div>
            <w:div w:id="1318637">
              <w:marLeft w:val="0"/>
              <w:marRight w:val="0"/>
              <w:marTop w:val="0"/>
              <w:marBottom w:val="0"/>
              <w:divBdr>
                <w:top w:val="none" w:sz="0" w:space="0" w:color="auto"/>
                <w:left w:val="none" w:sz="0" w:space="0" w:color="auto"/>
                <w:bottom w:val="none" w:sz="0" w:space="0" w:color="auto"/>
                <w:right w:val="none" w:sz="0" w:space="0" w:color="auto"/>
              </w:divBdr>
            </w:div>
            <w:div w:id="135027513">
              <w:marLeft w:val="0"/>
              <w:marRight w:val="0"/>
              <w:marTop w:val="0"/>
              <w:marBottom w:val="0"/>
              <w:divBdr>
                <w:top w:val="none" w:sz="0" w:space="0" w:color="auto"/>
                <w:left w:val="none" w:sz="0" w:space="0" w:color="auto"/>
                <w:bottom w:val="none" w:sz="0" w:space="0" w:color="auto"/>
                <w:right w:val="none" w:sz="0" w:space="0" w:color="auto"/>
              </w:divBdr>
            </w:div>
          </w:divsChild>
        </w:div>
        <w:div w:id="1075279007">
          <w:marLeft w:val="0"/>
          <w:marRight w:val="0"/>
          <w:marTop w:val="0"/>
          <w:marBottom w:val="0"/>
          <w:divBdr>
            <w:top w:val="none" w:sz="0" w:space="0" w:color="auto"/>
            <w:left w:val="none" w:sz="0" w:space="0" w:color="auto"/>
            <w:bottom w:val="none" w:sz="0" w:space="0" w:color="auto"/>
            <w:right w:val="none" w:sz="0" w:space="0" w:color="auto"/>
          </w:divBdr>
        </w:div>
        <w:div w:id="329136980">
          <w:marLeft w:val="0"/>
          <w:marRight w:val="0"/>
          <w:marTop w:val="0"/>
          <w:marBottom w:val="0"/>
          <w:divBdr>
            <w:top w:val="none" w:sz="0" w:space="0" w:color="auto"/>
            <w:left w:val="none" w:sz="0" w:space="0" w:color="auto"/>
            <w:bottom w:val="none" w:sz="0" w:space="0" w:color="auto"/>
            <w:right w:val="none" w:sz="0" w:space="0" w:color="auto"/>
          </w:divBdr>
        </w:div>
        <w:div w:id="642201394">
          <w:marLeft w:val="0"/>
          <w:marRight w:val="0"/>
          <w:marTop w:val="0"/>
          <w:marBottom w:val="0"/>
          <w:divBdr>
            <w:top w:val="none" w:sz="0" w:space="0" w:color="auto"/>
            <w:left w:val="none" w:sz="0" w:space="0" w:color="auto"/>
            <w:bottom w:val="none" w:sz="0" w:space="0" w:color="auto"/>
            <w:right w:val="none" w:sz="0" w:space="0" w:color="auto"/>
          </w:divBdr>
        </w:div>
        <w:div w:id="614098155">
          <w:marLeft w:val="0"/>
          <w:marRight w:val="0"/>
          <w:marTop w:val="0"/>
          <w:marBottom w:val="0"/>
          <w:divBdr>
            <w:top w:val="none" w:sz="0" w:space="0" w:color="auto"/>
            <w:left w:val="none" w:sz="0" w:space="0" w:color="auto"/>
            <w:bottom w:val="none" w:sz="0" w:space="0" w:color="auto"/>
            <w:right w:val="none" w:sz="0" w:space="0" w:color="auto"/>
          </w:divBdr>
        </w:div>
        <w:div w:id="909273952">
          <w:marLeft w:val="0"/>
          <w:marRight w:val="0"/>
          <w:marTop w:val="0"/>
          <w:marBottom w:val="0"/>
          <w:divBdr>
            <w:top w:val="none" w:sz="0" w:space="0" w:color="auto"/>
            <w:left w:val="none" w:sz="0" w:space="0" w:color="auto"/>
            <w:bottom w:val="none" w:sz="0" w:space="0" w:color="auto"/>
            <w:right w:val="none" w:sz="0" w:space="0" w:color="auto"/>
          </w:divBdr>
        </w:div>
        <w:div w:id="1766226570">
          <w:marLeft w:val="0"/>
          <w:marRight w:val="0"/>
          <w:marTop w:val="0"/>
          <w:marBottom w:val="0"/>
          <w:divBdr>
            <w:top w:val="none" w:sz="0" w:space="0" w:color="auto"/>
            <w:left w:val="none" w:sz="0" w:space="0" w:color="auto"/>
            <w:bottom w:val="none" w:sz="0" w:space="0" w:color="auto"/>
            <w:right w:val="none" w:sz="0" w:space="0" w:color="auto"/>
          </w:divBdr>
        </w:div>
        <w:div w:id="693918320">
          <w:marLeft w:val="0"/>
          <w:marRight w:val="0"/>
          <w:marTop w:val="0"/>
          <w:marBottom w:val="0"/>
          <w:divBdr>
            <w:top w:val="none" w:sz="0" w:space="0" w:color="auto"/>
            <w:left w:val="none" w:sz="0" w:space="0" w:color="auto"/>
            <w:bottom w:val="none" w:sz="0" w:space="0" w:color="auto"/>
            <w:right w:val="none" w:sz="0" w:space="0" w:color="auto"/>
          </w:divBdr>
        </w:div>
        <w:div w:id="58230281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7.sv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Precision AI">
      <a:dk1>
        <a:sysClr val="windowText" lastClr="000000"/>
      </a:dk1>
      <a:lt1>
        <a:sysClr val="window" lastClr="FFFFFF"/>
      </a:lt1>
      <a:dk2>
        <a:srgbClr val="00697C"/>
      </a:dk2>
      <a:lt2>
        <a:srgbClr val="04CCA5"/>
      </a:lt2>
      <a:accent1>
        <a:srgbClr val="6DF2A3"/>
      </a:accent1>
      <a:accent2>
        <a:srgbClr val="02AA51"/>
      </a:accent2>
      <a:accent3>
        <a:srgbClr val="E8E6B5"/>
      </a:accent3>
      <a:accent4>
        <a:srgbClr val="68462A"/>
      </a:accent4>
      <a:accent5>
        <a:srgbClr val="FFFFFF"/>
      </a:accent5>
      <a:accent6>
        <a:srgbClr val="FFFFFF"/>
      </a:accent6>
      <a:hlink>
        <a:srgbClr val="04CCA5"/>
      </a:hlink>
      <a:folHlink>
        <a:srgbClr val="00697C"/>
      </a:folHlink>
    </a:clrScheme>
    <a:fontScheme name="Custom 5">
      <a:majorFont>
        <a:latin typeface="inter bold"/>
        <a:ea typeface=""/>
        <a:cs typeface=""/>
      </a:majorFont>
      <a:minorFont>
        <a:latin typeface="int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4EC32-CFA3-487C-ADB6-9B6810C7B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3</Pages>
  <Words>283</Words>
  <Characters>1817</Characters>
  <Application>Microsoft Office Word</Application>
  <DocSecurity>0</DocSecurity>
  <Lines>45</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McCann</dc:creator>
  <cp:keywords/>
  <cp:lastModifiedBy>Dan McCann</cp:lastModifiedBy>
  <cp:revision>131</cp:revision>
  <dcterms:created xsi:type="dcterms:W3CDTF">2025-12-27T17:49:00Z</dcterms:created>
  <dcterms:modified xsi:type="dcterms:W3CDTF">2025-12-27T22:23:00Z</dcterms:modified>
</cp:coreProperties>
</file>