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2006/wordml" xmlns:wps="http://schemas.microsoft.com/office/word/2010/wordprocessingShape" mc:Ignorable="w14 w15 w16se w16cid w16 w16cex w16sdtdh w16sdtfl w16du wp14">
  <w:body>
    <w:p w14:paraId="0734B902" w14:textId="77777777" w:rsidR="00290AC6" w:rsidRDefault="00290AC6" w:rsidP="FFB6C1B7">
      <w:pPr>
        <w:jc w:val="center"/>
        <w:rPr>
          <w:rFonts w:ascii="Calibri" w:hAnsi="Calibri"/>
          <w:b/>
          <w:sz w:val="48"/>
        </w:rPr>
      </w:pPr>
    </w:p>
    <w:p w14:paraId="25413FE2" w14:textId="68F88135" w:rsidR="FFB6C1B7" w:rsidRDefault="00312490" w:rsidP="FFB6C1B7">
      <w:pPr>
        <w:jc w:val="center"/>
      </w:pPr>
      <w:r>
        <w:rPr>
          <w:rFonts w:ascii="Calibri" w:hAnsi="Calibri"/>
          <w:b/>
          <w:sz w:val="48"/>
        </w:rPr>
        <w:t xml:space="preserve">The Future of Electric Vehicles and Their Environmental Effects</w:t>
      </w:r>
    </w:p>
    <w:p w14:paraId="533C9266" w14:textId="77777777" w:rsidR="FFB6C1B7" w:rsidRDefault="FFB6C1B7" w:rsidP="FFB6C1B7">
      <w:pPr>
        <w:jc w:val="center"/>
      </w:pPr>
      <w:r>
        <w:rPr>
          <w:rFonts w:ascii="Calibri" w:hAnsi="Calibri"/>
          <w:sz w:val="28"/>
        </w:rPr>
        <w:t xml:space="preserve">A Comprehensive Analysis of Technology, Market Dynamics, and Sustainability</w:t>
      </w:r>
    </w:p>
    <w:p w14:paraId="55C92FF7" w14:textId="77777777" w:rsidR="FFB6C1B7" w:rsidRDefault="FFB6C1B7" w:rsidP="FFB6C1B7"/>
    <w:p w14:paraId="2241F990" w14:textId="77777777" w:rsidR="FFB6C1B7" w:rsidRDefault="FFB6C1B7" w:rsidP="FFB6C1B7"/>
    <w:p w14:paraId="07684EDB" w14:textId="77777777" w:rsidR="000D2336" w:rsidRDefault="FFB6C1B7" w:rsidP="FFB6C1B7">
      <w:pPr>
        <w:jc w:val="center"/>
        <w:rPr>
          <w:rFonts w:ascii="Calibri" w:hAnsi="Calibri"/>
          <w:sz w:val="22"/>
        </w:rPr>
      </w:pPr>
      <w:r>
        <w:rPr>
          <w:rFonts w:ascii="Calibri" w:hAnsi="Calibri"/>
          <w:sz w:val="22"/>
        </w:rPr>
        <w:t xml:space="preserve">Client: Stakeholders in Sustainable Transportation</w:t>
      </w:r>
      <w:r>
        <w:rPr>
          <w:rFonts w:ascii="Calibri" w:hAnsi="Calibri"/>
          <w:sz w:val="22"/>
        </w:rPr>
        <w:br/>
        <w:t xml:space="preserve">Prepared for: Policymakers, Industry Professionals, Educators, and General Public</w:t>
      </w:r>
      <w:r>
        <w:rPr>
          <w:rFonts w:ascii="Calibri" w:hAnsi="Calibri"/>
          <w:sz w:val="22"/>
        </w:rPr>
        <w:br/>
        <w:t xml:space="preserve">Prepared by: </w:t>
      </w:r>
      <w:r w:rsidR="000D2336">
        <w:rPr>
          <w:rFonts w:ascii="Calibri" w:hAnsi="Calibri"/>
          <w:sz w:val="22"/>
        </w:rPr>
        <w:t xml:space="preserve">EV Research and Documentation Team</w:t>
      </w:r>
    </w:p>
    <w:p w14:paraId="580FD331" w14:textId="43407DE1" w:rsidR="FFB6C1B7" w:rsidRDefault="FFB6C1B7" w:rsidP="FFB6C1B7">
      <w:pPr>
        <w:jc w:val="center"/>
      </w:pPr>
      <w:r>
        <w:rPr>
          <w:rFonts w:ascii="Calibri" w:hAnsi="Calibri"/>
          <w:sz w:val="22"/>
        </w:rPr>
        <w:t xml:space="preserve">Date: February 2026</w:t>
      </w:r>
    </w:p>
    <w:p w14:paraId="7225DC62" w14:textId="77777777" w:rsidR="FFB6C1B7" w:rsidRDefault="FFB6C1B7" w:rsidP="FFB6C1B7"/>
    <w:p w14:paraId="318496C9" w14:textId="77777777" w:rsidR="FFB6C1B7" w:rsidRDefault="FFB6C1B7" w:rsidP="FFB6C1B7">
      <w:pPr>
        <w:jc w:val="center"/>
      </w:pPr>
      <w:r>
        <w:rPr>
          <w:rFonts w:ascii="Calibri" w:hAnsi="Calibri"/>
          <w:i/>
        </w:rPr>
        <w:t xml:space="preserve">This document contains publicly available research and analysis on electric vehicles and their environmental impacts. Information may be shared for educational and policy purposes.</w:t>
      </w:r>
      <w:r>
        <w:rPr>
          <w:rFonts w:ascii="Calibri" w:hAnsi="Calibri"/>
          <w:i/>
        </w:rPr>
        <w:br/>
        <w:t xml:space="preserve">To provide a comprehensive, data-driven overview of the future of electric vehicles, examining technological advancements, environmental lifecycle impacts, market dynamics, challenges, best practices, and policy recommendations to inform decision-making in the transition to sustainable transportation.</w:t>
      </w:r>
    </w:p>
    <w:p w14:paraId="4699682C" w14:textId="77777777" w:rsidR="FFB6C1B7" w:rsidRDefault="FFB6C1B7" w:rsidP="FFB6C1B7">
      <w:r>
        <w:br w:type="page"/>
      </w:r>
    </w:p>
    <w:p>
      <w:pPr>
        <w:sectPr w:rsidR="006C3ED7" w:rsidRPr="00777527" w:rsidSect="00E97CAF">
          <w:headerReference w:type="default" r:id="rId8"/>
          <w:footerReference w:type="default" r:id="rId9"/>
          <w:headerReference w:type="first" r:id="rId10"/>
          <w:footerReference w:type="first" r:id="rId11"/>
          <w:pgSz w:w="12240" w:h="15840"/>
          <w:pgMar w:top="1909" w:right="1442" w:bottom="1800" w:left="1433" w:header="720" w:footer="432" w:gutter="0"/>
          <w:cols w:space="720"/>
          <w:titlePg/>
          <w:docGrid w:linePitch="299"/>
        </w:sectPr>
      </w:pPr>
    </w:p>
    <w:p>
      <w:pPr>
        <w:pStyle w:val="Title"/>
      </w:pPr>
      <w:r>
        <w:t xml:space="preserve">The</w:t>
      </w:r>
      <w:r>
        <w:t xml:space="preserve"> </w:t>
      </w:r>
      <w:r>
        <w:t xml:space="preserve">Future</w:t>
      </w:r>
      <w:r>
        <w:t xml:space="preserve"> </w:t>
      </w:r>
      <w:r>
        <w:t xml:space="preserve">of</w:t>
      </w:r>
      <w:r>
        <w:t xml:space="preserve"> </w:t>
      </w:r>
      <w:r>
        <w:t xml:space="preserve">Electric</w:t>
      </w:r>
      <w:r>
        <w:t xml:space="preserve"> </w:t>
      </w:r>
      <w:r>
        <w:t xml:space="preserve">Vehicles</w:t>
      </w:r>
      <w:r>
        <w:t xml:space="preserve"> </w:t>
      </w:r>
      <w:r>
        <w:t xml:space="preserve">and</w:t>
      </w:r>
      <w:r>
        <w:t xml:space="preserve"> </w:t>
      </w:r>
      <w:r>
        <w:t xml:space="preserve">Their</w:t>
      </w:r>
      <w:r>
        <w:t xml:space="preserve"> </w:t>
      </w:r>
      <w:r>
        <w:t xml:space="preserve">Environmental</w:t>
      </w:r>
      <w:r>
        <w:t xml:space="preserve"> </w:t>
      </w:r>
      <w:r>
        <w:t xml:space="preserve">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overview"/>
      <w:r>
        <w:rPr>
          <w:color w:val="FF0000"/>
        </w:rPr>
        <w:t xml:space="preserve">Overview</w:t>
      </w:r>
      <w:bookmarkEnd w:id="20"/>
    </w:p>
    <w:p>
      <w:pPr>
        <w:pStyle w:val="Normal"/>
      </w:pPr>
      <w:r>
        <w:t xml:space="preserve">This document provides a comprehensive analysis of the electric vehicle industry and its environmental implications. The global shift towards sustainable transportation has accelerated dramatically in recent years, driven by technological advancements, policy initiatives, and growing consumer awareness of climate change impacts.</w:t>
      </w:r>
    </w:p>
    <w:p>
      <w:pPr>
        <w:pStyle w:val="BodyText"/>
      </w:pPr>
      <w:r>
        <w:t xml:space="preserve">Electric vehicles represent a transformative technology that promises to reshape urban mobility, energy systems, and manufacturing supply chains. As nations worldwide commit to ambitious carbon neutrality targets, understanding the full spectrum of EV impacts becomes essential for informed decision-making.</w:t>
      </w:r>
    </w:p>
    <w:p>
      <w:pPr>
        <w:pStyle w:val="BodyText"/>
      </w:pPr>
      <w:r>
        <w:t xml:space="preserve">The following sections explore the multifaceted dimensions of the EV revolution, from technological innovations to market dynamics, environmental considerations to policy frameworks. This analysis aims to provide stakeholders with actionable insights for navigating the transition to electric mobility.</w:t>
      </w:r>
    </w:p>
    <w:p>
      <w:pPr>
        <w:pStyle w:val="Heading1"/>
      </w:pPr>
      <w:bookmarkStart w:id="21" w:name="executive-summary"/>
      <w:r>
        <w:rPr>
          <w:color w:val="FF0000"/>
          <w:u w:val="single"/>
        </w:rPr>
        <w:t xml:space="preserve">Executive Summary</w:t>
      </w:r>
      <w:bookmarkEnd w:id="21"/>
    </w:p>
    <w:p>
      <w:pPr>
        <w:pStyle w:val="Normal"/>
      </w:pPr>
      <w:r>
        <w:rPr>
          <w:color w:val="FFFF00"/>
          <w:u w:val="single"/>
        </w:rPr>
        <w:t xml:space="preserve">The rapid advancement of electric vehicles (EVs) is reshaping the global transportation landscape, promising a future less dependent on fossil fuels and more attuned to environmental sustainability. As governments, industries, and consumers increasingly prioritize climate change mitigation, EVs have emerged as a central technology in efforts to reduce greenhouse gas emissions and urban air pollution.</w:t>
      </w:r>
    </w:p>
    <w:p>
      <w:pPr>
        <w:pStyle w:val="BodyText"/>
      </w:pPr>
      <w:r>
        <w:rPr>
          <w:color w:val="FFFF00"/>
          <w:u w:val="single"/>
        </w:rPr>
        <w:t xml:space="preserve">This comprehensive report examines the technological, economic, and ecological dimensions of the EV transition. The analysis reveals that while EVs offer a definitive pathway to decarbonizing road transport during the operational phase, they introduce complex environmental trade-offs in manufacturing and end-of-life phases.</w:t>
      </w:r>
    </w:p>
    <w:p>
      <w:pPr>
        <w:pStyle w:val="BodyText"/>
      </w:pPr>
      <w:r>
        <w:rPr>
          <w:b/>
          <w:color w:val="FFFF00"/>
          <w:u w:val="single"/>
        </w:rPr>
        <w:t xml:space="preserve">Key Findings:</w:t>
      </w:r>
    </w:p>
    <w:p>
      <w:pPr>
        <w:numPr>
          <w:ilvl w:val="0"/>
          <w:numId w:val="1001"/>
        </w:numPr>
        <w:pStyle w:val="Normal"/>
      </w:pPr>
      <w:r>
        <w:rPr>
          <w:color w:val="FFFF00"/>
          <w:u w:val="single"/>
        </w:rPr>
        <w:t xml:space="preserve">Over a lifecycle of 250,000 km, battery electric vehicles manufactured in 2023 emit 27-71% less CO2 than equivalent internal combustion engine vehicles, depending on the region</w:t>
      </w:r>
    </w:p>
    <w:p>
      <w:pPr>
        <w:numPr>
          <w:ilvl w:val="0"/>
          <w:numId w:val="1001"/>
        </w:numPr>
        <w:pStyle w:val="Normal"/>
      </w:pPr>
      <w:r>
        <w:rPr>
          <w:color w:val="FFFF00"/>
          <w:u w:val="single"/>
        </w:rPr>
        <w:t xml:space="preserve">Global EV stock exceeded 26 million units in 2022, with annual sales reaching 10.2 million (14% of all new car sales)</w:t>
      </w:r>
    </w:p>
    <w:p>
      <w:pPr>
        <w:numPr>
          <w:ilvl w:val="0"/>
          <w:numId w:val="1001"/>
        </w:numPr>
        <w:pStyle w:val="Normal"/>
      </w:pPr>
      <w:r>
        <w:rPr>
          <w:color w:val="FFFF00"/>
          <w:u w:val="single"/>
        </w:rPr>
        <w:t xml:space="preserve">Battery pack costs have declined from approximately $1,200/kWh in 2010 to $151/kWh in 2022, with projections below $60/kWh by 2030</w:t>
      </w:r>
    </w:p>
    <w:p>
      <w:pPr>
        <w:numPr>
          <w:ilvl w:val="0"/>
          <w:numId w:val="1001"/>
        </w:numPr>
        <w:pStyle w:val="Normal"/>
      </w:pPr>
      <w:r>
        <w:rPr>
          <w:color w:val="FFFF00"/>
          <w:u w:val="single"/>
        </w:rPr>
        <w:t xml:space="preserve">The carbon</w:t>
      </w:r>
      <w:r>
        <w:rPr>
          <w:color w:val="FFFF00"/>
          <w:u w:val="single"/>
        </w:rPr>
        <w:t xml:space="preserve"> </w:t>
      </w:r>
      <w:r>
        <w:rPr>
          <w:color w:val="FFFF00"/>
          <w:u w:val="single"/>
        </w:rPr>
        <w:t xml:space="preserve">"</w:t>
      </w:r>
      <w:r>
        <w:rPr>
          <w:color w:val="FFFF00"/>
          <w:u w:val="single"/>
        </w:rPr>
        <w:t xml:space="preserve">breakeven</w:t>
      </w:r>
      <w:r>
        <w:rPr>
          <w:color w:val="FFFF00"/>
          <w:u w:val="single"/>
        </w:rPr>
        <w:t xml:space="preserve">"</w:t>
      </w:r>
      <w:r>
        <w:rPr>
          <w:color w:val="FFFF00"/>
          <w:u w:val="single"/>
        </w:rPr>
        <w:t xml:space="preserve"> </w:t>
      </w:r>
      <w:r>
        <w:rPr>
          <w:color w:val="FFFF00"/>
          <w:u w:val="single"/>
        </w:rPr>
        <w:t xml:space="preserve">point for EVs ranges from 41,000 km in the US to 120,000 km in coal-heavy regions like China</w:t>
      </w:r>
    </w:p>
    <w:p>
      <w:pPr>
        <w:numPr>
          <w:ilvl w:val="0"/>
          <w:numId w:val="1001"/>
        </w:numPr>
        <w:pStyle w:val="Normal"/>
      </w:pPr>
      <w:r>
        <w:rPr>
          <w:color w:val="FFFF00"/>
          <w:u w:val="single"/>
        </w:rPr>
        <w:t xml:space="preserve">China controls 70-95% of critical mineral refining capacity, creating significant geopolitical vulnerabilities</w:t>
      </w:r>
    </w:p>
    <w:p>
      <w:pPr>
        <w:numPr>
          <w:ilvl w:val="0"/>
          <w:numId w:val="1001"/>
        </w:numPr>
        <w:pStyle w:val="Normal"/>
      </w:pPr>
      <w:r>
        <w:rPr>
          <w:i/>
          <w:b/>
          <w:color w:val="FFFF00"/>
          <w:u w:val="single"/>
        </w:rPr>
        <w:t xml:space="preserve">Solid-state batteries are projected to reach commercial production by 2027-2028, offering 400+ Wh/kg energy density</w:t>
      </w:r>
    </w:p>
    <w:p>
      <w:pPr>
        <w:numPr>
          <w:ilvl w:val="0"/>
          <w:numId w:val="1001"/>
        </w:numPr>
        <w:pStyle w:val="Normal"/>
      </w:pPr>
      <w:r>
        <w:rPr>
          <w:i/>
          <w:b/>
          <w:color w:val="FFFF00"/>
          <w:u w:val="single"/>
        </w:rPr>
        <w:t xml:space="preserve">By 2030, EVs are expected to comprise 50-60% of global new car sales, accelerating the transition to sustainable mobility</w:t>
      </w:r>
    </w:p>
    <w:p>
      <w:pPr>
        <w:numPr>
          <w:ilvl w:val="0"/>
          <w:numId w:val="1001"/>
        </w:numPr>
        <w:pStyle w:val="Normal"/>
      </w:pPr>
      <w:r>
        <w:rPr>
          <w:i/>
          <w:b/>
          <w:color w:val="FFFF00"/>
          <w:u w:val="single"/>
        </w:rPr>
        <w:t xml:space="preserve">Vehicle-to-Grid (V2G) technology is emerging as a critical solution for grid stability and renewable energy integration</w:t>
      </w:r>
    </w:p>
    <w:p>
      <w:pPr>
        <w:pStyle w:val="Normal"/>
      </w:pPr>
      <w:r>
        <w:rPr>
          <w:b/>
          <w:color w:val="FFFF00"/>
          <w:u w:val="single"/>
        </w:rPr>
        <w:t xml:space="preserve">Areas of Controversy and Uncertainty:</w:t>
      </w:r>
    </w:p>
    <w:p>
      <w:pPr>
        <w:numPr>
          <w:ilvl w:val="0"/>
          <w:numId w:val="1002"/>
        </w:numPr>
        <w:pStyle w:val="Normal"/>
      </w:pPr>
      <w:r>
        <w:rPr>
          <w:color w:val="FFFF00"/>
          <w:u w:val="single"/>
        </w:rPr>
        <w:t xml:space="preserve">Resource dependency threatens to replace oil reliance with critical mineral dependency</w:t>
      </w:r>
    </w:p>
    <w:p>
      <w:pPr>
        <w:numPr>
          <w:ilvl w:val="0"/>
          <w:numId w:val="1002"/>
        </w:numPr>
        <w:pStyle w:val="Normal"/>
      </w:pPr>
      <w:r>
        <w:rPr>
          <w:color w:val="FFFF00"/>
          <w:u w:val="single"/>
        </w:rPr>
        <w:t xml:space="preserve">Deep sea mining presents a polarizing debate between battery metal needs and ocean biodiversity protection</w:t>
      </w:r>
    </w:p>
    <w:p>
      <w:pPr>
        <w:numPr>
          <w:ilvl w:val="0"/>
          <w:numId w:val="1002"/>
        </w:numPr>
        <w:pStyle w:val="Normal"/>
      </w:pPr>
      <w:r>
        <w:rPr>
          <w:color w:val="FFFF00"/>
          <w:u w:val="single"/>
        </w:rPr>
        <w:t xml:space="preserve">Structural battery pack designs have increased insurance premiums by 20-23% and repair unavailability</w:t>
      </w:r>
    </w:p>
    <w:p>
      <w:pPr>
        <w:numPr>
          <w:ilvl w:val="0"/>
          <w:numId w:val="1002"/>
        </w:numPr>
        <w:pStyle w:val="Normal"/>
      </w:pPr>
      <w:r>
        <w:rPr>
          <w:color w:val="FFFF00"/>
          <w:u w:val="single"/>
        </w:rPr>
        <w:t xml:space="preserve">Grid infrastructure upgrades may not keep pace with projected EV charging demand</w:t>
      </w:r>
    </w:p>
    <w:p>
      <w:pPr>
        <w:pStyle w:val="Normal"/>
      </w:pPr>
      <w:r>
        <w:rPr>
          <w:color w:val="FFFF00"/>
          <w:u w:val="single"/>
        </w:rPr>
        <w:t xml:space="preserve">The scope of this document encompasses historical evolution, current market dynamics, environmental implications across the vehicle lifecycle, key challenges and debates, best practices for maximizing benefits, future trends, and real-world case studies from Norway, China, and California.</w:t>
      </w:r>
    </w:p>
    <w:p>
      <w:pPr>
        <w:pStyle w:val="Heading1"/>
      </w:pPr>
      <w:bookmarkStart w:id="22" w:name="document-overview"/>
      <w:r>
        <w:rPr>
          <w:color w:val="FF0000"/>
        </w:rPr>
        <w:t xml:space="preserve">Document Overview</w:t>
      </w:r>
      <w:bookmarkEnd w:id="22"/>
    </w:p>
    <w:p>
      <w:pPr>
        <w:pStyle w:val="Normal"/>
      </w:pPr>
      <w:r>
        <w:t xml:space="preserve">Hello world. This section provides an additional overview of the key themes and topics covered in this comprehensive analysis of electric vehicles and their environmental effects.</w:t>
      </w:r>
    </w:p>
    <w:p>
      <w:pPr>
        <w:pStyle w:val="Heading1"/>
      </w:pPr>
      <w:bookmarkStart w:id="23" w:name="introduction"/>
      <w:r>
        <w:rPr>
          <w:color w:val="FF0000"/>
        </w:rPr>
        <w:t xml:space="preserve">Introduction</w:t>
      </w:r>
      <w:bookmarkEnd w:id="23"/>
    </w:p>
    <w:p>
      <w:pPr>
        <w:pStyle w:val="Heading2"/>
      </w:pPr>
      <w:bookmarkStart w:id="24" w:name="scope-and-objectives"/>
      <w:r>
        <w:rPr>
          <w:color w:val="FF0000"/>
          <w:b/>
        </w:rPr>
        <w:t xml:space="preserve">Scope and Objectives</w:t>
      </w:r>
      <w:bookmarkEnd w:id="24"/>
    </w:p>
    <w:p>
      <w:pPr>
        <w:pStyle w:val="Normal"/>
      </w:pPr>
      <w:r>
        <w:rPr>
          <w:b/>
        </w:rPr>
        <w:t xml:space="preserve">Understanding the environmental impacts of EVs is critical for policymakers, industry leaders, and the general public. While EVs are often touted as a cleaner alternative to internal combustion engine (ICE) vehicles, their true environmental footprint depends on factors such as battery production, energy sources, and end-of-life management. This report delves into these complexities, offering a balanced analysis of both the benefits and challenges associated with widespread EV adoption.</w:t>
      </w:r>
    </w:p>
    <w:p>
      <w:pPr>
        <w:pStyle w:val="Heading2"/>
      </w:pPr>
      <w:bookmarkStart w:id="25" w:name="significance-of-the-ev-transition"/>
      <w:r>
        <w:rPr>
          <w:color w:val="FF0000"/>
        </w:rPr>
        <w:t xml:space="preserve">Significance of the EV Transition</w:t>
      </w:r>
      <w:bookmarkEnd w:id="25"/>
    </w:p>
    <w:p>
      <w:pPr>
        <w:pStyle w:val="Normal"/>
      </w:pPr>
      <w:r>
        <w:rPr>
          <w:b/>
        </w:rPr>
        <w:t xml:space="preserve">The transition from ICE vehicles to EVs represents a profound shift in global energy and transportation architectures. Research suggests that while EVs offer a definitive pathway to decarbonizing the operational phase of road transport, they introduce complex environmental trade-offs in the manufacturing and end-of-life phases.</w:t>
      </w:r>
    </w:p>
    <w:p>
      <w:pPr>
        <w:pStyle w:val="BodyText"/>
      </w:pPr>
      <w:r>
        <w:rPr>
          <w:b/>
        </w:rPr>
        <w:t xml:space="preserve">The immediate future (2025-2030) is characterized by rapid diversification of battery chemistries, specifically the commercialization of solid-state and sodium-ion technologies, aimed at mitigating raw material bottlenecks currently dominated by Chinese supply chains. However, significant architectural risks remain regarding grid stability, specifically transformer aging due to harmonic distortion from charging, and the economic sustainability of the insurance and repair sectors due to structural battery packs.</w:t>
      </w:r>
    </w:p>
    <w:p>
      <w:pPr>
        <w:pStyle w:val="Heading2"/>
      </w:pPr>
      <w:bookmarkStart w:id="26" w:name="target-audience"/>
      <w:r>
        <w:rPr>
          <w:color w:val="FF0000"/>
        </w:rPr>
        <w:t xml:space="preserve">Target Audience</w:t>
      </w:r>
      <w:bookmarkEnd w:id="26"/>
    </w:p>
    <w:p>
      <w:pPr>
        <w:pStyle w:val="Normal"/>
      </w:pPr>
      <w:r>
        <w:t xml:space="preserve">This report is structured for clarity, accessibility, and suitability for:</w:t>
      </w:r>
    </w:p>
    <w:p>
      <w:pPr>
        <w:numPr>
          <w:ilvl w:val="0"/>
          <w:numId w:val="1003"/>
        </w:numPr>
        <w:pStyle w:val="Normal"/>
      </w:pPr>
      <w:r>
        <w:rPr>
          <w:b/>
        </w:rPr>
        <w:t xml:space="preserve">Policymakers</w:t>
      </w:r>
      <w:r>
        <w:rPr>
          <w:b/>
        </w:rPr>
        <w:t xml:space="preserve"> </w:t>
      </w:r>
      <w:r>
        <w:rPr>
          <w:b/>
        </w:rPr>
        <w:t xml:space="preserve">seeking evidence-based guidance for transportation and energy policy</w:t>
      </w:r>
    </w:p>
    <w:p>
      <w:pPr>
        <w:numPr>
          <w:ilvl w:val="0"/>
          <w:numId w:val="1003"/>
        </w:numPr>
        <w:pStyle w:val="Normal"/>
      </w:pPr>
      <w:r>
        <w:rPr>
          <w:b/>
        </w:rPr>
        <w:t xml:space="preserve">Industry professionals</w:t>
      </w:r>
      <w:r>
        <w:rPr>
          <w:b/>
        </w:rPr>
        <w:t xml:space="preserve"> </w:t>
      </w:r>
      <w:r>
        <w:rPr>
          <w:b/>
        </w:rPr>
        <w:t xml:space="preserve">navigating the EV transition in automotive, energy, and related sectors</w:t>
      </w:r>
    </w:p>
    <w:p>
      <w:pPr>
        <w:numPr>
          <w:ilvl w:val="0"/>
          <w:numId w:val="1003"/>
        </w:numPr>
        <w:pStyle w:val="Normal"/>
      </w:pPr>
      <w:r>
        <w:rPr>
          <w:b/>
        </w:rPr>
        <w:t xml:space="preserve">Educators</w:t>
      </w:r>
      <w:r>
        <w:rPr>
          <w:b/>
        </w:rPr>
        <w:t xml:space="preserve"> </w:t>
      </w:r>
      <w:r>
        <w:rPr>
          <w:b/>
        </w:rPr>
        <w:t xml:space="preserve">requiring comprehensive materials on sustainable transportation</w:t>
      </w:r>
    </w:p>
    <w:p>
      <w:pPr>
        <w:numPr>
          <w:ilvl w:val="0"/>
          <w:numId w:val="1003"/>
        </w:numPr>
        <w:pStyle w:val="Normal"/>
      </w:pPr>
      <w:r>
        <w:rPr>
          <w:b/>
        </w:rPr>
        <w:t xml:space="preserve">General public</w:t>
      </w:r>
      <w:r>
        <w:rPr>
          <w:b/>
        </w:rPr>
        <w:t xml:space="preserve"> </w:t>
      </w:r>
      <w:r>
        <w:rPr>
          <w:b/>
        </w:rPr>
        <w:t xml:space="preserve">interested in understanding the role of EVs in addressing climate change</w:t>
      </w:r>
    </w:p>
    <w:p>
      <w:pPr>
        <w:pStyle w:val="Heading1"/>
      </w:pPr>
      <w:bookmarkStart w:id="27" w:name="background-and-historical-context"/>
      <w:r>
        <w:rPr>
          <w:color w:val="FF0000"/>
          <w:i/>
        </w:rPr>
        <w:t xml:space="preserve">Background and Historical Context</w:t>
      </w:r>
      <w:bookmarkEnd w:id="27"/>
    </w:p>
    <w:p>
      <w:pPr>
        <w:pStyle w:val="Heading2"/>
      </w:pPr>
      <w:bookmarkStart w:id="28" w:name="early-development-1820s-1920s"/>
      <w:r>
        <w:rPr>
          <w:color w:val="FF0000"/>
          <w:i/>
        </w:rPr>
        <w:t xml:space="preserve">Early Development (1820s-1920s)</w:t>
      </w:r>
      <w:bookmarkEnd w:id="28"/>
    </w:p>
    <w:p>
      <w:pPr>
        <w:pStyle w:val="Normal"/>
      </w:pPr>
      <w:r>
        <w:rPr>
          <w:i/>
        </w:rPr>
        <w:t xml:space="preserve">The concept of electric vehicles dates back to the early 19th century, preceding the dominance of gasoline-powered cars. In the 1820s and 1830s, inventors such as Anyos Jedlik and Robert Anderson developed rudimentary electric carriages powered by non-rechargeable batteries.</w:t>
      </w:r>
    </w:p>
    <w:p>
      <w:pPr>
        <w:pStyle w:val="BodyText"/>
      </w:pPr>
      <w:r>
        <w:rPr>
          <w:i/>
        </w:rPr>
        <w:t xml:space="preserve">By the late 19th and early 20th centuries, EVs enjoyed a period of popularity, particularly in urban areas, due to their quiet operation and ease of use compared to steam or gasoline vehicles. In 1899, Camille Jenatzy's electric car,</w:t>
      </w:r>
      <w:r>
        <w:rPr>
          <w:i/>
        </w:rPr>
        <w:t xml:space="preserve"> </w:t>
      </w:r>
      <w:r>
        <w:rPr>
          <w:i/>
        </w:rPr>
        <w:t xml:space="preserve">"</w:t>
      </w:r>
      <w:r>
        <w:rPr>
          <w:i/>
        </w:rPr>
        <w:t xml:space="preserve">La Jamais Contente,</w:t>
      </w:r>
      <w:r>
        <w:rPr>
          <w:i/>
        </w:rPr>
        <w:t xml:space="preserve">"</w:t>
      </w:r>
      <w:r>
        <w:rPr>
          <w:i/>
        </w:rPr>
        <w:t xml:space="preserve"> </w:t>
      </w:r>
      <w:r>
        <w:rPr>
          <w:i/>
        </w:rPr>
        <w:t xml:space="preserve">became the first vehicle to exceed 100 km/h (62 mph).</w:t>
      </w:r>
    </w:p>
    <w:p>
      <w:pPr>
        <w:pStyle w:val="Heading2"/>
      </w:pPr>
      <w:bookmarkStart w:id="29" w:name="the-gasoline-era-1920s-1970s"/>
      <w:r>
        <w:rPr>
          <w:color w:val="FF0000"/>
          <w:i/>
        </w:rPr>
        <w:t xml:space="preserve">The Gasoline Era (1920s-1970s)</w:t>
      </w:r>
      <w:bookmarkEnd w:id="29"/>
    </w:p>
    <w:p>
      <w:pPr>
        <w:pStyle w:val="Normal"/>
      </w:pPr>
      <w:r>
        <w:rPr>
          <w:i/>
        </w:rPr>
        <w:t xml:space="preserve">The rise of the internal combustion engine, fueled by the discovery of abundant petroleum reserves and innovations like the electric starter, led to the decline of early EVs. By the 1920s, gasoline vehicles had become more affordable and offered greater range, relegating EVs to niche roles such as milk floats and golf carts for much of the 20th century.</w:t>
      </w:r>
    </w:p>
    <w:p>
      <w:pPr>
        <w:pStyle w:val="Heading2"/>
      </w:pPr>
      <w:bookmarkStart w:id="30" w:name="modern-revival-1970s-2000s"/>
      <w:r>
        <w:rPr>
          <w:color w:val="FFFFFF"/>
          <w:i/>
          <w:shd w:fill="ADD8E6"/>
        </w:rPr>
        <w:t xml:space="preserve">Modern Revival (1970s-2000s)</w:t>
      </w:r>
      <w:bookmarkEnd w:id="30"/>
    </w:p>
    <w:p>
      <w:pPr>
        <w:pStyle w:val="Normal"/>
      </w:pPr>
      <w:r>
        <w:rPr>
          <w:i/>
          <w:color w:val="FFFFFF"/>
          <w:shd w:fill="ADD8E6"/>
        </w:rPr>
        <w:t xml:space="preserve">Interest in EVs resurged in the 1970s amid oil crises and growing environmental awareness. Despite technological limitations, several automakers experimented with electric prototypes. The 1990s saw further momentum with the introduction of vehicles like the General Motors EV1, spurred by regulatory measures such as California's Zero Emission Vehicle (ZEV) mandate.</w:t>
      </w:r>
    </w:p>
    <w:p>
      <w:pPr>
        <w:pStyle w:val="Heading2"/>
      </w:pPr>
      <w:bookmarkStart w:id="31" w:name="the-ev-revolution-2000s-present"/>
      <w:r>
        <w:rPr>
          <w:color w:val="FF0000"/>
          <w:i/>
        </w:rPr>
        <w:t xml:space="preserve">The EV Revolution (2000s-Present)</w:t>
      </w:r>
      <w:bookmarkEnd w:id="31"/>
    </w:p>
    <w:p>
      <w:pPr>
        <w:pStyle w:val="Normal"/>
      </w:pPr>
      <w:r>
        <w:rPr>
          <w:i/>
        </w:rPr>
        <w:t xml:space="preserve">The 21st century has witnessed a dramatic transformation. Advances in lithium-ion battery technology, coupled with concerns over climate change and air quality, have propelled EVs into the mainstream.</w:t>
      </w:r>
    </w:p>
    <w:p>
      <w:pPr>
        <w:pStyle w:val="Heading3"/>
      </w:pPr>
      <w:bookmarkStart w:id="32" w:name="table-key-milestones-in-ev-history"/>
      <w:r>
        <w:rPr>
          <w:color w:val="FF0000"/>
          <w:i/>
        </w:rPr>
        <w:t xml:space="preserve">Table: Key Milestones in EV History</w:t>
      </w:r>
      <w:bookmarkEnd w:id="32"/>
    </w:p>
    <w:tbl>
      <w:tblPr>
        <w:tblStyle w:val="TableNormal"/>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32"/>
        <w:gridCol w:w="2810"/>
        <w:gridCol w:w="3576"/>
      </w:tblGrid>
      <w:tr>
        <w:trPr>
          <w:cnfStyle w:firstRow="1"/>
        </w:trPr>
        <w:tc>
          <w:tcPr>
            <w:tcBorders>
              <w:bottom w:val="single"/>
            </w:tcBorders>
            <w:vAlign w:val="bottom"/>
            <w:shd w:fill="FFB6C1"/>
          </w:tcPr>
          <w:p>
            <w:pPr>
              <w:pStyle w:val="Normal"/>
              <w:jc w:val="left"/>
              <w:shd w:fill="FFB6C1"/>
              <w:pBdr>
                <w:top w:val="single" w:sz="6" w:space="1" w:color="FFB6C1"/>
                <w:left w:val="single" w:sz="6" w:space="1" w:color="FFB6C1"/>
                <w:bottom w:val="single" w:sz="6" w:space="1" w:color="FFB6C1"/>
                <w:right w:val="single" w:sz="6" w:space="1" w:color="FFB6C1"/>
              </w:pBdr>
            </w:pPr>
            <w:r>
              <w:rPr>
                <w:color w:val="008000"/>
                <w:b/>
                <w:i/>
                <w:u w:val="single"/>
              </w:rPr>
              <w:t xml:space="preserve">Year</w:t>
            </w:r>
          </w:p>
        </w:tc>
        <w:tc>
          <w:tcPr>
            <w:tcBorders>
              <w:bottom w:val="single"/>
            </w:tcBorders>
            <w:vAlign w:val="bottom"/>
            <w:shd w:fill="FFB6C1"/>
          </w:tcPr>
          <w:p>
            <w:pPr>
              <w:pStyle w:val="Normal"/>
              <w:jc w:val="left"/>
              <w:shd w:fill="FFB6C1"/>
              <w:pBdr>
                <w:top w:val="single" w:sz="6" w:space="1" w:color="FFB6C1"/>
                <w:left w:val="single" w:sz="6" w:space="1" w:color="FFB6C1"/>
                <w:bottom w:val="single" w:sz="6" w:space="1" w:color="FFB6C1"/>
                <w:right w:val="single" w:sz="6" w:space="1" w:color="FFB6C1"/>
              </w:pBdr>
            </w:pPr>
            <w:r>
              <w:rPr>
                <w:color w:val="008000"/>
                <w:b/>
                <w:i/>
                <w:u w:val="single"/>
              </w:rPr>
              <w:t xml:space="preserve">Milestone</w:t>
            </w:r>
          </w:p>
        </w:tc>
        <w:tc>
          <w:tcPr>
            <w:tcBorders>
              <w:bottom w:val="single"/>
            </w:tcBorders>
            <w:vAlign w:val="bottom"/>
            <w:shd w:fill="FFB6C1"/>
          </w:tcPr>
          <w:p>
            <w:pPr>
              <w:pStyle w:val="Normal"/>
              <w:jc w:val="left"/>
              <w:shd w:fill="FFB6C1"/>
              <w:pBdr>
                <w:top w:val="single" w:sz="6" w:space="1" w:color="FFB6C1"/>
                <w:left w:val="single" w:sz="6" w:space="1" w:color="FFB6C1"/>
                <w:bottom w:val="single" w:sz="6" w:space="1" w:color="FFB6C1"/>
                <w:right w:val="single" w:sz="6" w:space="1" w:color="FFB6C1"/>
              </w:pBdr>
            </w:pPr>
            <w:r>
              <w:rPr>
                <w:color w:val="008000"/>
                <w:b/>
                <w:i/>
                <w:u w:val="single"/>
              </w:rPr>
              <w:t xml:space="preserve">Significance</w:t>
            </w:r>
          </w:p>
        </w:tc>
      </w:tr>
      <w:tr>
        <w:tc>
          <w:p>
            <w:pPr>
              <w:pStyle w:val="Normal"/>
              <w:jc w:val="left"/>
            </w:pPr>
            <w:r>
              <w:t xml:space="preserve">1828</w:t>
            </w:r>
          </w:p>
        </w:tc>
        <w:tc>
          <w:p>
            <w:pPr>
              <w:pStyle w:val="Normal"/>
              <w:jc w:val="left"/>
            </w:pPr>
            <w:r>
              <w:t xml:space="preserve">Anyos Jedlik's electric motor model</w:t>
            </w:r>
          </w:p>
        </w:tc>
        <w:tc>
          <w:p>
            <w:pPr>
              <w:pStyle w:val="Normal"/>
              <w:jc w:val="left"/>
            </w:pPr>
            <w:r>
              <w:t xml:space="preserve">First practical electric motor demonstration</w:t>
            </w:r>
          </w:p>
        </w:tc>
      </w:tr>
      <w:tr>
        <w:tc>
          <w:p>
            <w:pPr>
              <w:pStyle w:val="Normal"/>
              <w:jc w:val="left"/>
            </w:pPr>
            <w:r>
              <w:t xml:space="preserve">1899</w:t>
            </w:r>
          </w:p>
        </w:tc>
        <w:tc>
          <w:p>
            <w:pPr>
              <w:pStyle w:val="Normal"/>
              <w:jc w:val="left"/>
            </w:pPr>
            <w:r>
              <w:t xml:space="preserve">La Jamais Contente exceeds 100 km/h</w:t>
            </w:r>
          </w:p>
        </w:tc>
        <w:tc>
          <w:p>
            <w:pPr>
              <w:pStyle w:val="Normal"/>
              <w:jc w:val="left"/>
            </w:pPr>
            <w:r>
              <w:t xml:space="preserve">First vehicle to break 100 km/h barrier</w:t>
            </w:r>
          </w:p>
        </w:tc>
      </w:tr>
      <w:tr>
        <w:tc>
          <w:p>
            <w:pPr>
              <w:pStyle w:val="Normal"/>
              <w:jc w:val="left"/>
            </w:pPr>
            <w:r>
              <w:t xml:space="preserve">1996</w:t>
            </w:r>
          </w:p>
        </w:tc>
        <w:tc>
          <w:p>
            <w:pPr>
              <w:pStyle w:val="Normal"/>
              <w:jc w:val="left"/>
            </w:pPr>
            <w:r>
              <w:t xml:space="preserve">GM EV1 launch</w:t>
            </w:r>
          </w:p>
        </w:tc>
        <w:tc>
          <w:p>
            <w:pPr>
              <w:pStyle w:val="Normal"/>
              <w:jc w:val="left"/>
            </w:pPr>
            <w:r>
              <w:t xml:space="preserve">First mass-produced modern EV</w:t>
            </w:r>
          </w:p>
        </w:tc>
      </w:tr>
      <w:tr>
        <w:tc>
          <w:p>
            <w:pPr>
              <w:pStyle w:val="Normal"/>
              <w:jc w:val="left"/>
            </w:pPr>
            <w:r>
              <w:t xml:space="preserve">2008</w:t>
            </w:r>
          </w:p>
        </w:tc>
        <w:tc>
          <w:p>
            <w:pPr>
              <w:pStyle w:val="Normal"/>
              <w:jc w:val="left"/>
            </w:pPr>
            <w:r>
              <w:t xml:space="preserve">Tesla Roadster debut</w:t>
            </w:r>
          </w:p>
        </w:tc>
        <w:tc>
          <w:p>
            <w:pPr>
              <w:pStyle w:val="Normal"/>
              <w:jc w:val="left"/>
            </w:pPr>
            <w:r>
              <w:t xml:space="preserve">Proved EVs could be desirable performance vehicles</w:t>
            </w:r>
          </w:p>
        </w:tc>
      </w:tr>
      <w:tr>
        <w:tc>
          <w:p>
            <w:pPr>
              <w:pStyle w:val="Normal"/>
              <w:jc w:val="left"/>
            </w:pPr>
            <w:r>
              <w:t xml:space="preserve">2010</w:t>
            </w:r>
          </w:p>
        </w:tc>
        <w:tc>
          <w:p>
            <w:pPr>
              <w:pStyle w:val="Normal"/>
              <w:jc w:val="left"/>
            </w:pPr>
            <w:r>
              <w:t xml:space="preserve">Nissan Leaf launch</w:t>
            </w:r>
          </w:p>
        </w:tc>
        <w:tc>
          <w:p>
            <w:pPr>
              <w:pStyle w:val="Normal"/>
              <w:jc w:val="left"/>
            </w:pPr>
            <w:r>
              <w:t xml:space="preserve">First affordable mass-market EV</w:t>
            </w:r>
          </w:p>
        </w:tc>
      </w:tr>
      <w:tr>
        <w:tc>
          <w:p>
            <w:pPr>
              <w:pStyle w:val="Normal"/>
              <w:jc w:val="left"/>
            </w:pPr>
            <w:r>
              <w:t xml:space="preserve">2022</w:t>
            </w:r>
          </w:p>
        </w:tc>
        <w:tc>
          <w:p>
            <w:pPr>
              <w:pStyle w:val="Normal"/>
              <w:jc w:val="left"/>
            </w:pPr>
            <w:r>
              <w:t xml:space="preserve">Global EV sales exceed 10 million</w:t>
            </w:r>
          </w:p>
        </w:tc>
        <w:tc>
          <w:p>
            <w:pPr>
              <w:pStyle w:val="Normal"/>
              <w:jc w:val="left"/>
            </w:pPr>
            <w:r>
              <w:t xml:space="preserve">EVs reach mainstream adoption</w:t>
            </w:r>
          </w:p>
        </w:tc>
      </w:tr>
    </w:tbl>
    <w:p>
      <w:pPr>
        <w:pStyle w:val="BodyText"/>
      </w:pPr>
      <w:r>
        <w:rPr>
          <w:i/>
        </w:rPr>
        <w:t xml:space="preserve">Companies like Tesla, Nissan, and BYD have played pivotal roles in commercializing long-range, affordable EVs. Governments worldwide have introduced incentives, set ambitious targets for phasing out ICE vehicles, and invested in charging infrastructure. Today, EVs are at the forefront of the global transition to sustainable mobility.</w:t>
      </w:r>
    </w:p>
    <w:p>
      <w:pPr>
        <w:pStyle w:val="Heading1"/>
      </w:pPr>
      <w:bookmarkStart w:id="33" w:name="Xa7183d302f1b0694ec6572d17067614a56098bc"/>
      <w:r>
        <w:rPr>
          <w:color w:val="FF0000"/>
        </w:rPr>
        <w:t xml:space="preserve">Core Content: Types and Technologies of Electric Vehicles</w:t>
      </w:r>
      <w:bookmarkEnd w:id="33"/>
    </w:p>
    <w:p>
      <w:pPr>
        <w:pStyle w:val="Heading2"/>
      </w:pPr>
      <w:bookmarkStart w:id="34" w:name="battery-electric-vehicles-bevs"/>
      <w:r>
        <w:rPr>
          <w:color w:val="FF0000"/>
        </w:rPr>
        <w:t xml:space="preserve">Battery Electric Vehicles (BEVs)</w:t>
      </w:r>
      <w:bookmarkEnd w:id="34"/>
    </w:p>
    <w:p>
      <w:pPr>
        <w:pStyle w:val="Normal"/>
      </w:pPr>
      <w:r>
        <w:t xml:space="preserve">BEVs are powered solely by electricity stored in rechargeable batteries. They have no tailpipe emissions and rely on electric motors for propulsion. Popular examples include the Tesla Model 3, Nissan Leaf, and Chevrolet Bolt.</w:t>
      </w:r>
    </w:p>
    <w:p>
      <w:pPr>
        <w:pStyle w:val="BodyText"/>
      </w:pPr>
      <w:r>
        <w:rPr>
          <w:b/>
        </w:rPr>
        <w:t xml:space="preserve">Advantages:</w:t>
      </w:r>
    </w:p>
    <w:p>
      <w:pPr>
        <w:numPr>
          <w:ilvl w:val="0"/>
          <w:numId w:val="1004"/>
        </w:numPr>
        <w:pStyle w:val="Normal"/>
      </w:pPr>
      <w:r>
        <w:t xml:space="preserve">High efficiency (often exceeding 90% from battery to wheels)</w:t>
      </w:r>
    </w:p>
    <w:p>
      <w:pPr>
        <w:numPr>
          <w:ilvl w:val="0"/>
          <w:numId w:val="1004"/>
        </w:numPr>
        <w:pStyle w:val="Normal"/>
      </w:pPr>
      <w:r>
        <w:t xml:space="preserve">Zero tailpipe emissions</w:t>
      </w:r>
    </w:p>
    <w:p>
      <w:pPr>
        <w:numPr>
          <w:ilvl w:val="0"/>
          <w:numId w:val="1004"/>
        </w:numPr>
        <w:pStyle w:val="Normal"/>
      </w:pPr>
      <w:r>
        <w:t xml:space="preserve">Low operating costs</w:t>
      </w:r>
    </w:p>
    <w:p>
      <w:pPr>
        <w:numPr>
          <w:ilvl w:val="0"/>
          <w:numId w:val="1004"/>
        </w:numPr>
        <w:pStyle w:val="Normal"/>
      </w:pPr>
      <w:r>
        <w:t xml:space="preserve">Minimal maintenance requirements</w:t>
      </w:r>
    </w:p>
    <w:p>
      <w:pPr>
        <w:pStyle w:val="Normal"/>
      </w:pPr>
      <w:r>
        <w:rPr>
          <w:b/>
        </w:rPr>
        <w:t xml:space="preserve">Limitations:</w:t>
      </w:r>
    </w:p>
    <w:p>
      <w:pPr>
        <w:numPr>
          <w:ilvl w:val="0"/>
          <w:numId w:val="1005"/>
        </w:numPr>
        <w:pStyle w:val="Normal"/>
      </w:pPr>
      <w:r>
        <w:t xml:space="preserve">Range limited by battery capacity</w:t>
      </w:r>
    </w:p>
    <w:p>
      <w:pPr>
        <w:numPr>
          <w:ilvl w:val="0"/>
          <w:numId w:val="1005"/>
        </w:numPr>
        <w:pStyle w:val="Normal"/>
      </w:pPr>
      <w:r>
        <w:t xml:space="preserve">Charging infrastructure dependency</w:t>
      </w:r>
    </w:p>
    <w:p>
      <w:pPr>
        <w:numPr>
          <w:ilvl w:val="0"/>
          <w:numId w:val="1005"/>
        </w:numPr>
        <w:pStyle w:val="Normal"/>
      </w:pPr>
      <w:r>
        <w:t xml:space="preserve">Higher upfront purchase cost</w:t>
      </w:r>
    </w:p>
    <w:p>
      <w:pPr>
        <w:pStyle w:val="Heading2"/>
      </w:pPr>
      <w:bookmarkStart w:id="35" w:name="plug-in-hybrid-electric-vehicles-phevs"/>
      <w:r>
        <w:rPr>
          <w:color w:val="FF0000"/>
        </w:rPr>
        <w:t xml:space="preserve">Plug-in Hybrid Electric Vehicles (PHEVs)</w:t>
      </w:r>
      <w:bookmarkEnd w:id="35"/>
    </w:p>
    <w:p>
      <w:pPr>
        <w:pStyle w:val="Normal"/>
      </w:pPr>
      <w:r>
        <w:t xml:space="preserve">PHEVs combine an internal combustion engine with an electric motor and a battery that can be recharged via external power sources. They can operate in all-electric mode for a limited range (typically 20-50 miles) before switching to gasoline.</w:t>
      </w:r>
    </w:p>
    <w:p>
      <w:pPr>
        <w:pStyle w:val="BodyText"/>
      </w:pPr>
      <w:r>
        <w:rPr>
          <w:b/>
        </w:rPr>
        <w:t xml:space="preserve">Examples:</w:t>
      </w:r>
      <w:r>
        <w:t xml:space="preserve"> </w:t>
      </w:r>
      <w:r>
        <w:t xml:space="preserve">Toyota Prius Prime, Chevrolet Volt</w:t>
      </w:r>
    </w:p>
    <w:p>
      <w:pPr>
        <w:pStyle w:val="BodyText"/>
      </w:pPr>
      <w:r>
        <w:rPr>
          <w:b/>
        </w:rPr>
        <w:t xml:space="preserve">Advantages:</w:t>
      </w:r>
    </w:p>
    <w:p>
      <w:pPr>
        <w:numPr>
          <w:ilvl w:val="0"/>
          <w:numId w:val="1006"/>
        </w:numPr>
        <w:pStyle w:val="Normal"/>
      </w:pPr>
      <w:r>
        <w:t xml:space="preserve">Addresses range anxiety</w:t>
      </w:r>
    </w:p>
    <w:p>
      <w:pPr>
        <w:numPr>
          <w:ilvl w:val="0"/>
          <w:numId w:val="1006"/>
        </w:numPr>
        <w:pStyle w:val="Normal"/>
      </w:pPr>
      <w:r>
        <w:t xml:space="preserve">Flexibility for long trips</w:t>
      </w:r>
    </w:p>
    <w:p>
      <w:pPr>
        <w:numPr>
          <w:ilvl w:val="0"/>
          <w:numId w:val="1006"/>
        </w:numPr>
        <w:pStyle w:val="Normal"/>
      </w:pPr>
      <w:r>
        <w:t xml:space="preserve">Reduced fuel consumption</w:t>
      </w:r>
    </w:p>
    <w:p>
      <w:pPr>
        <w:pStyle w:val="Normal"/>
      </w:pPr>
      <w:r>
        <w:rPr>
          <w:b/>
        </w:rPr>
        <w:t xml:space="preserve">Limitations:</w:t>
      </w:r>
    </w:p>
    <w:p>
      <w:pPr>
        <w:numPr>
          <w:ilvl w:val="0"/>
          <w:numId w:val="1007"/>
        </w:numPr>
        <w:pStyle w:val="Normal"/>
      </w:pPr>
      <w:r>
        <w:t xml:space="preserve">Added complexity</w:t>
      </w:r>
    </w:p>
    <w:p>
      <w:pPr>
        <w:numPr>
          <w:ilvl w:val="0"/>
          <w:numId w:val="1007"/>
        </w:numPr>
        <w:pStyle w:val="Normal"/>
      </w:pPr>
      <w:r>
        <w:t xml:space="preserve">Potential emissions when operating on fuel</w:t>
      </w:r>
    </w:p>
    <w:p>
      <w:pPr>
        <w:numPr>
          <w:ilvl w:val="0"/>
          <w:numId w:val="1007"/>
        </w:numPr>
        <w:pStyle w:val="Normal"/>
      </w:pPr>
      <w:r>
        <w:t xml:space="preserve">Higher maintenance than BEVs</w:t>
      </w:r>
    </w:p>
    <w:p>
      <w:pPr>
        <w:pStyle w:val="Heading2"/>
      </w:pPr>
      <w:bookmarkStart w:id="36" w:name="hybrid-electric-vehicles-hevs"/>
      <w:r>
        <w:rPr>
          <w:color w:val="FF0000"/>
        </w:rPr>
        <w:t xml:space="preserve">Hybrid Electric Vehicles (HEVs)</w:t>
      </w:r>
      <w:bookmarkEnd w:id="36"/>
    </w:p>
    <w:p>
      <w:pPr>
        <w:pStyle w:val="Normal"/>
      </w:pPr>
      <w:r>
        <w:t xml:space="preserve">HEVs use both an internal combustion engine and an electric motor, but the battery is charged through regenerative braking and the engine itself, not by plugging in. The Toyota Prius is the archetype of this category.</w:t>
      </w:r>
    </w:p>
    <w:p>
      <w:pPr>
        <w:pStyle w:val="BodyText"/>
      </w:pPr>
      <w:r>
        <w:rPr>
          <w:b/>
        </w:rPr>
        <w:t xml:space="preserve">Characteristics:</w:t>
      </w:r>
    </w:p>
    <w:p>
      <w:pPr>
        <w:numPr>
          <w:ilvl w:val="0"/>
          <w:numId w:val="1008"/>
        </w:numPr>
        <w:pStyle w:val="Normal"/>
      </w:pPr>
      <w:r>
        <w:t xml:space="preserve">Improved fuel efficiency compared to conventional vehicles</w:t>
      </w:r>
    </w:p>
    <w:p>
      <w:pPr>
        <w:numPr>
          <w:ilvl w:val="0"/>
          <w:numId w:val="1008"/>
        </w:numPr>
        <w:pStyle w:val="Normal"/>
      </w:pPr>
      <w:r>
        <w:t xml:space="preserve">No external charging required</w:t>
      </w:r>
    </w:p>
    <w:p>
      <w:pPr>
        <w:numPr>
          <w:ilvl w:val="0"/>
          <w:numId w:val="1008"/>
        </w:numPr>
        <w:pStyle w:val="Normal"/>
      </w:pPr>
      <w:r>
        <w:t xml:space="preserve">Cannot operate in pure electric mode for extended periods</w:t>
      </w:r>
    </w:p>
    <w:p>
      <w:pPr>
        <w:numPr>
          <w:ilvl w:val="0"/>
          <w:numId w:val="1008"/>
        </w:numPr>
        <w:pStyle w:val="Normal"/>
      </w:pPr>
      <w:r>
        <w:t xml:space="preserve">Not zero-emission capable</w:t>
      </w:r>
    </w:p>
    <w:p>
      <w:pPr>
        <w:pStyle w:val="Heading2"/>
      </w:pPr>
      <w:bookmarkStart w:id="37" w:name="fuel-cell-electric-vehicles-fcevs"/>
      <w:r>
        <w:rPr>
          <w:color w:val="FF0000"/>
        </w:rPr>
        <w:t xml:space="preserve">Fuel Cell Electric Vehicles (FCEVs)</w:t>
      </w:r>
      <w:bookmarkEnd w:id="37"/>
    </w:p>
    <w:p>
      <w:pPr>
        <w:pStyle w:val="Normal"/>
      </w:pPr>
      <w:r>
        <w:t xml:space="preserve">FCEVs generate electricity onboard using hydrogen fuel cells. They emit only water vapor and offer fast refueling and long range.</w:t>
      </w:r>
    </w:p>
    <w:p>
      <w:pPr>
        <w:pStyle w:val="BodyText"/>
      </w:pPr>
      <w:r>
        <w:rPr>
          <w:b/>
        </w:rPr>
        <w:t xml:space="preserve">Examples:</w:t>
      </w:r>
      <w:r>
        <w:t xml:space="preserve"> </w:t>
      </w:r>
      <w:r>
        <w:t xml:space="preserve">Toyota Mirai, Hyundai Nexo</w:t>
      </w:r>
    </w:p>
    <w:p>
      <w:pPr>
        <w:pStyle w:val="BodyText"/>
      </w:pPr>
      <w:r>
        <w:rPr>
          <w:b/>
        </w:rPr>
        <w:t xml:space="preserve">Advantages:</w:t>
      </w:r>
    </w:p>
    <w:p>
      <w:pPr>
        <w:numPr>
          <w:ilvl w:val="0"/>
          <w:numId w:val="1009"/>
        </w:numPr>
        <w:pStyle w:val="Normal"/>
      </w:pPr>
      <w:r>
        <w:t xml:space="preserve">Fast refueling (approximately 5 minutes)</w:t>
      </w:r>
    </w:p>
    <w:p>
      <w:pPr>
        <w:numPr>
          <w:ilvl w:val="0"/>
          <w:numId w:val="1009"/>
        </w:numPr>
        <w:pStyle w:val="Normal"/>
      </w:pPr>
      <w:r>
        <w:t xml:space="preserve">Long range (300-400 miles)</w:t>
      </w:r>
    </w:p>
    <w:p>
      <w:pPr>
        <w:numPr>
          <w:ilvl w:val="0"/>
          <w:numId w:val="1009"/>
        </w:numPr>
        <w:pStyle w:val="Normal"/>
      </w:pPr>
      <w:r>
        <w:t xml:space="preserve">Zero tailpipe emissions (only water vapor)</w:t>
      </w:r>
    </w:p>
    <w:p>
      <w:pPr>
        <w:pStyle w:val="Normal"/>
      </w:pPr>
      <w:r>
        <w:rPr>
          <w:b/>
        </w:rPr>
        <w:t xml:space="preserve">Challenges:</w:t>
      </w:r>
    </w:p>
    <w:p>
      <w:pPr>
        <w:numPr>
          <w:ilvl w:val="0"/>
          <w:numId w:val="1010"/>
        </w:numPr>
        <w:pStyle w:val="Normal"/>
      </w:pPr>
      <w:r>
        <w:t xml:space="preserve">Hydrogen production energy intensity</w:t>
      </w:r>
    </w:p>
    <w:p>
      <w:pPr>
        <w:numPr>
          <w:ilvl w:val="0"/>
          <w:numId w:val="1010"/>
        </w:numPr>
        <w:pStyle w:val="Normal"/>
      </w:pPr>
      <w:r>
        <w:t xml:space="preserve">Limited refueling infrastructure</w:t>
      </w:r>
    </w:p>
    <w:p>
      <w:pPr>
        <w:numPr>
          <w:ilvl w:val="0"/>
          <w:numId w:val="1010"/>
        </w:numPr>
        <w:pStyle w:val="Normal"/>
      </w:pPr>
      <w:r>
        <w:t xml:space="preserve">Higher vehicle costs</w:t>
      </w:r>
    </w:p>
    <w:p>
      <w:pPr>
        <w:pStyle w:val="Heading3"/>
      </w:pPr>
      <w:bookmarkStart w:id="38" w:name="table-comparison-of-ev-types"/>
      <w:r>
        <w:rPr>
          <w:color w:val="FF0000"/>
        </w:rPr>
        <w:t xml:space="preserve">Table: Comparison of EV Types</w:t>
      </w:r>
      <w:bookmarkEnd w:id="38"/>
    </w:p>
    <w:tbl>
      <w:tblPr>
        <w:tblStyle w:val="TableNormal"/>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3"/>
        <w:gridCol w:w="1303"/>
        <w:gridCol w:w="1102"/>
        <w:gridCol w:w="701"/>
        <w:gridCol w:w="2406"/>
        <w:gridCol w:w="1002"/>
      </w:tblGrid>
      <w:tr>
        <w:trPr>
          <w:cnfStyle w:firstRow="1"/>
        </w:trPr>
        <w:tc>
          <w:tcPr>
            <w:tcBorders>
              <w:bottom w:val="single"/>
            </w:tcBorders>
            <w:vAlign w:val="bottom"/>
          </w:tcPr>
          <w:p>
            <w:pPr>
              <w:pStyle w:val="Normal"/>
              <w:jc w:val="left"/>
            </w:pPr>
            <w:r>
              <w:rPr>
                <w:color w:val="008000"/>
                <w:b/>
              </w:rPr>
              <w:t xml:space="preserve">Vehicle Type</w:t>
            </w:r>
          </w:p>
        </w:tc>
        <w:tc>
          <w:tcPr>
            <w:tcBorders>
              <w:bottom w:val="single"/>
            </w:tcBorders>
            <w:vAlign w:val="bottom"/>
          </w:tcPr>
          <w:p>
            <w:pPr>
              <w:pStyle w:val="Normal"/>
              <w:jc w:val="left"/>
            </w:pPr>
            <w:r>
              <w:rPr>
                <w:color w:val="008000"/>
                <w:b/>
              </w:rPr>
              <w:t xml:space="preserve">Power Source</w:t>
            </w:r>
          </w:p>
        </w:tc>
        <w:tc>
          <w:tcPr>
            <w:tcBorders>
              <w:bottom w:val="single"/>
            </w:tcBorders>
            <w:vAlign w:val="bottom"/>
          </w:tcPr>
          <w:p>
            <w:pPr>
              <w:pStyle w:val="Normal"/>
              <w:jc w:val="left"/>
            </w:pPr>
            <w:r>
              <w:rPr>
                <w:color w:val="008000"/>
                <w:b/>
              </w:rPr>
              <w:t xml:space="preserve">Emissions</w:t>
            </w:r>
          </w:p>
        </w:tc>
        <w:tc>
          <w:tcPr>
            <w:tcBorders>
              <w:bottom w:val="single"/>
            </w:tcBorders>
            <w:vAlign w:val="bottom"/>
          </w:tcPr>
          <w:p>
            <w:pPr>
              <w:pStyle w:val="Normal"/>
              <w:jc w:val="left"/>
            </w:pPr>
            <w:r>
              <w:rPr>
                <w:color w:val="008000"/>
                <w:b/>
              </w:rPr>
              <w:t xml:space="preserve">Range</w:t>
            </w:r>
          </w:p>
        </w:tc>
        <w:tc>
          <w:tcPr>
            <w:tcBorders>
              <w:bottom w:val="single"/>
            </w:tcBorders>
            <w:vAlign w:val="bottom"/>
          </w:tcPr>
          <w:p>
            <w:pPr>
              <w:pStyle w:val="Normal"/>
              <w:jc w:val="left"/>
            </w:pPr>
            <w:r>
              <w:rPr>
                <w:color w:val="008000"/>
                <w:b/>
              </w:rPr>
              <w:t xml:space="preserve">Refueling/Charging Time</w:t>
            </w:r>
          </w:p>
        </w:tc>
        <w:tc>
          <w:tcPr>
            <w:tcBorders>
              <w:bottom w:val="single"/>
            </w:tcBorders>
            <w:vAlign w:val="bottom"/>
          </w:tcPr>
          <w:p>
            <w:pPr>
              <w:pStyle w:val="Normal"/>
              <w:jc w:val="left"/>
            </w:pPr>
            <w:r>
              <w:rPr>
                <w:color w:val="008000"/>
                <w:b/>
              </w:rPr>
              <w:t xml:space="preserve">Examples</w:t>
            </w:r>
          </w:p>
        </w:tc>
      </w:tr>
      <w:tr>
        <w:tc>
          <w:p>
            <w:pPr>
              <w:pStyle w:val="Normal"/>
              <w:jc w:val="left"/>
            </w:pPr>
            <w:r>
              <w:t xml:space="preserve">BEV</w:t>
            </w:r>
          </w:p>
        </w:tc>
        <w:tc>
          <w:p>
            <w:pPr>
              <w:pStyle w:val="Normal"/>
              <w:jc w:val="left"/>
            </w:pPr>
            <w:r>
              <w:t xml:space="preserve">Battery</w:t>
            </w:r>
          </w:p>
        </w:tc>
        <w:tc>
          <w:p>
            <w:pPr>
              <w:pStyle w:val="Normal"/>
              <w:jc w:val="left"/>
            </w:pPr>
            <w:r>
              <w:t xml:space="preserve">None</w:t>
            </w:r>
          </w:p>
        </w:tc>
        <w:tc>
          <w:p>
            <w:pPr>
              <w:pStyle w:val="Normal"/>
              <w:jc w:val="left"/>
            </w:pPr>
            <w:r>
              <w:t xml:space="preserve">100-400+ miles</w:t>
            </w:r>
          </w:p>
        </w:tc>
        <w:tc>
          <w:p>
            <w:pPr>
              <w:pStyle w:val="Normal"/>
              <w:jc w:val="left"/>
            </w:pPr>
            <w:r>
              <w:t xml:space="preserve">30 min-12 hrs</w:t>
            </w:r>
          </w:p>
        </w:tc>
        <w:tc>
          <w:p>
            <w:pPr>
              <w:pStyle w:val="Normal"/>
              <w:jc w:val="left"/>
            </w:pPr>
            <w:r>
              <w:t xml:space="preserve">Tesla Model 3, Nissan Leaf</w:t>
            </w:r>
          </w:p>
        </w:tc>
      </w:tr>
      <w:tr>
        <w:tc>
          <w:p>
            <w:pPr>
              <w:pStyle w:val="Normal"/>
              <w:jc w:val="left"/>
            </w:pPr>
            <w:r>
              <w:t xml:space="preserve">PHEV</w:t>
            </w:r>
          </w:p>
        </w:tc>
        <w:tc>
          <w:p>
            <w:pPr>
              <w:pStyle w:val="Normal"/>
              <w:jc w:val="left"/>
            </w:pPr>
            <w:r>
              <w:t xml:space="preserve">Battery + Gasoline</w:t>
            </w:r>
          </w:p>
        </w:tc>
        <w:tc>
          <w:p>
            <w:pPr>
              <w:pStyle w:val="Normal"/>
              <w:jc w:val="left"/>
            </w:pPr>
            <w:r>
              <w:t xml:space="preserve">Low (electric), Moderate (gasoline)</w:t>
            </w:r>
          </w:p>
        </w:tc>
        <w:tc>
          <w:p>
            <w:pPr>
              <w:pStyle w:val="Normal"/>
              <w:jc w:val="left"/>
            </w:pPr>
            <w:r>
              <w:t xml:space="preserve">20-50 miles (electric), 300+ total</w:t>
            </w:r>
          </w:p>
        </w:tc>
        <w:tc>
          <w:p>
            <w:pPr>
              <w:pStyle w:val="Normal"/>
              <w:jc w:val="left"/>
            </w:pPr>
            <w:r>
              <w:t xml:space="preserve">1-4 hrs (electric), minutes (gasoline)</w:t>
            </w:r>
          </w:p>
        </w:tc>
        <w:tc>
          <w:p>
            <w:pPr>
              <w:pStyle w:val="Normal"/>
              <w:jc w:val="left"/>
            </w:pPr>
            <w:r>
              <w:t xml:space="preserve">Toyota Prius Prime, Chevy Volt</w:t>
            </w:r>
          </w:p>
        </w:tc>
      </w:tr>
      <w:tr>
        <w:tc>
          <w:p>
            <w:pPr>
              <w:pStyle w:val="Normal"/>
              <w:jc w:val="left"/>
            </w:pPr>
            <w:r>
              <w:t xml:space="preserve">HEV</w:t>
            </w:r>
          </w:p>
        </w:tc>
        <w:tc>
          <w:p>
            <w:pPr>
              <w:pStyle w:val="Normal"/>
              <w:jc w:val="left"/>
            </w:pPr>
            <w:r>
              <w:t xml:space="preserve">Gasoline + Battery (no plug)</w:t>
            </w:r>
          </w:p>
        </w:tc>
        <w:tc>
          <w:p>
            <w:pPr>
              <w:pStyle w:val="Normal"/>
              <w:jc w:val="left"/>
            </w:pPr>
            <w:r>
              <w:t xml:space="preserve">Reduced</w:t>
            </w:r>
          </w:p>
        </w:tc>
        <w:tc>
          <w:p>
            <w:pPr>
              <w:pStyle w:val="Normal"/>
              <w:jc w:val="left"/>
            </w:pPr>
            <w:r>
              <w:t xml:space="preserve">400+ miles</w:t>
            </w:r>
          </w:p>
        </w:tc>
        <w:tc>
          <w:p>
            <w:pPr>
              <w:pStyle w:val="Normal"/>
              <w:jc w:val="left"/>
            </w:pPr>
            <w:r>
              <w:t xml:space="preserve">Minutes (gasoline)</w:t>
            </w:r>
          </w:p>
        </w:tc>
        <w:tc>
          <w:p>
            <w:pPr>
              <w:pStyle w:val="Normal"/>
              <w:jc w:val="left"/>
            </w:pPr>
            <w:r>
              <w:t xml:space="preserve">Toyota Prius, Honda Insight</w:t>
            </w:r>
          </w:p>
        </w:tc>
      </w:tr>
      <w:tr>
        <w:tc>
          <w:p>
            <w:pPr>
              <w:pStyle w:val="Normal"/>
              <w:jc w:val="left"/>
            </w:pPr>
            <w:r>
              <w:t xml:space="preserve">FCEV</w:t>
            </w:r>
          </w:p>
        </w:tc>
        <w:tc>
          <w:p>
            <w:pPr>
              <w:pStyle w:val="Normal"/>
              <w:jc w:val="left"/>
            </w:pPr>
            <w:r>
              <w:t xml:space="preserve">Hydrogen</w:t>
            </w:r>
          </w:p>
        </w:tc>
        <w:tc>
          <w:p>
            <w:pPr>
              <w:pStyle w:val="Normal"/>
              <w:jc w:val="left"/>
            </w:pPr>
            <w:r>
              <w:t xml:space="preserve">None</w:t>
            </w:r>
          </w:p>
        </w:tc>
        <w:tc>
          <w:p>
            <w:pPr>
              <w:pStyle w:val="Normal"/>
              <w:jc w:val="left"/>
            </w:pPr>
            <w:r>
              <w:t xml:space="preserve">300-400 miles</w:t>
            </w:r>
          </w:p>
        </w:tc>
        <w:tc>
          <w:p>
            <w:pPr>
              <w:pStyle w:val="Normal"/>
              <w:jc w:val="left"/>
            </w:pPr>
            <w:r>
              <w:t xml:space="preserve">~5 minutes</w:t>
            </w:r>
          </w:p>
        </w:tc>
        <w:tc>
          <w:p>
            <w:pPr>
              <w:pStyle w:val="Normal"/>
              <w:jc w:val="left"/>
            </w:pPr>
            <w:r>
              <w:t xml:space="preserve">Toyota Mirai, Hyundai Nexo</w:t>
            </w:r>
          </w:p>
        </w:tc>
      </w:tr>
    </w:tbl>
    <w:p>
      <w:pPr>
        <w:pStyle w:val="Heading1"/>
      </w:pPr>
      <w:bookmarkStart w:id="39" w:name="X7e491b65dad0d40395fabe4e0ac054fd6a3987d"/>
      <w:r>
        <w:rPr>
          <w:color w:val="FF0000"/>
        </w:rPr>
        <w:t xml:space="preserve">Core Content: Environmental Impact Across the Vehicle Lifecycle</w:t>
      </w:r>
      <w:bookmarkEnd w:id="39"/>
    </w:p>
    <w:p>
      <w:pPr>
        <w:pStyle w:val="Heading2"/>
      </w:pPr>
      <w:bookmarkStart w:id="40" w:name="manufacturing-and-raw-materials"/>
      <w:r>
        <w:rPr>
          <w:color w:val="FF0000"/>
        </w:rPr>
        <w:t xml:space="preserve">Manufacturing and Raw Materials</w:t>
      </w:r>
      <w:bookmarkEnd w:id="40"/>
    </w:p>
    <w:p>
      <w:pPr>
        <w:pStyle w:val="Heading3"/>
      </w:pPr>
      <w:bookmarkStart w:id="41" w:name="the-carbon-backpack"/>
      <w:r>
        <w:rPr>
          <w:color w:val="FF0000"/>
        </w:rPr>
        <w:t xml:space="preserve">The Carbon Backpack</w:t>
      </w:r>
      <w:bookmarkEnd w:id="41"/>
    </w:p>
    <w:p>
      <w:pPr>
        <w:pStyle w:val="Normal"/>
      </w:pPr>
      <w:r>
        <w:t xml:space="preserve">Electric vehicles commence their lifecycle with a higher carbon footprint than ICE vehicles, often referred to as the</w:t>
      </w:r>
      <w:r>
        <w:t xml:space="preserve"> </w:t>
      </w:r>
      <w:r>
        <w:t xml:space="preserve">"</w:t>
      </w:r>
      <w:r>
        <w:t xml:space="preserve">carbon backpack.</w:t>
      </w:r>
      <w:r>
        <w:t xml:space="preserve">"</w:t>
      </w:r>
      <w:r>
        <w:t xml:space="preserve"> </w:t>
      </w:r>
      <w:r>
        <w:t xml:space="preserve">This is primarily attributed to the energy-intensive nature of battery cell production, particularly mining, refining, and cathode active material (CAM) manufacturing processes.</w:t>
      </w:r>
    </w:p>
    <w:p>
      <w:pPr>
        <w:pStyle w:val="BodyText"/>
      </w:pPr>
      <w:r>
        <w:rPr>
          <w:b/>
        </w:rPr>
        <w:t xml:space="preserve">Comparative Emissions:</w:t>
      </w:r>
    </w:p>
    <w:p>
      <w:pPr>
        <w:numPr>
          <w:ilvl w:val="0"/>
          <w:numId w:val="1011"/>
        </w:numPr>
        <w:pStyle w:val="Normal"/>
      </w:pPr>
      <w:r>
        <w:t xml:space="preserve">Producing an EV battery can emit between 60 to 90 kilograms of CO2 equivalent per kilowatt-hour (kWh)</w:t>
      </w:r>
    </w:p>
    <w:p>
      <w:pPr>
        <w:numPr>
          <w:ilvl w:val="0"/>
          <w:numId w:val="1011"/>
        </w:numPr>
        <w:pStyle w:val="Normal"/>
      </w:pPr>
      <w:r>
        <w:t xml:space="preserve">Manufacturing a new EV can produce approximately 80% more emissions than building a comparable gasoline-powered car</w:t>
      </w:r>
    </w:p>
    <w:p>
      <w:pPr>
        <w:pStyle w:val="Normal"/>
      </w:pPr>
      <w:r>
        <w:rPr>
          <w:b/>
        </w:rPr>
        <w:t xml:space="preserve">Key Emission Drivers:</w:t>
      </w:r>
    </w:p>
    <w:p>
      <w:pPr>
        <w:numPr>
          <w:ilvl w:val="0"/>
          <w:numId w:val="1012"/>
        </w:numPr>
        <w:pStyle w:val="Normal"/>
      </w:pPr>
      <w:r>
        <w:t xml:space="preserve">Electricity consumption during electrode drying process</w:t>
      </w:r>
    </w:p>
    <w:p>
      <w:pPr>
        <w:numPr>
          <w:ilvl w:val="0"/>
          <w:numId w:val="1012"/>
        </w:numPr>
        <w:pStyle w:val="Normal"/>
      </w:pPr>
      <w:r>
        <w:t xml:space="preserve">Chemical refining of lithium and nickel</w:t>
      </w:r>
    </w:p>
    <w:p>
      <w:pPr>
        <w:numPr>
          <w:ilvl w:val="0"/>
          <w:numId w:val="1012"/>
        </w:numPr>
        <w:pStyle w:val="Normal"/>
      </w:pPr>
      <w:r>
        <w:t xml:space="preserve">Mining and processing of cobalt, graphite, and rare earth elements</w:t>
      </w:r>
    </w:p>
    <w:p>
      <w:pPr>
        <w:pStyle w:val="Heading3"/>
      </w:pPr>
      <w:bookmarkStart w:id="42" w:name="raw-material-concerns"/>
      <w:r>
        <w:rPr>
          <w:color w:val="FF0000"/>
        </w:rPr>
        <w:t xml:space="preserve">Raw Material Concerns</w:t>
      </w:r>
      <w:bookmarkEnd w:id="42"/>
    </w:p>
    <w:p>
      <w:pPr>
        <w:pStyle w:val="Normal"/>
      </w:pPr>
      <w:r>
        <w:t xml:space="preserve">The environmental footprint begins with extraction and processing of raw materials. Lithium, cobalt, nickel, and graphite are essential components of lithium-ion batteries.</w:t>
      </w:r>
    </w:p>
    <w:p>
      <w:pPr>
        <w:pStyle w:val="BodyText"/>
      </w:pPr>
      <w:r>
        <w:rPr>
          <w:b/>
        </w:rPr>
        <w:t xml:space="preserve">Environmental Impacts of Mining:</w:t>
      </w:r>
    </w:p>
    <w:p>
      <w:pPr>
        <w:numPr>
          <w:ilvl w:val="0"/>
          <w:numId w:val="1013"/>
        </w:numPr>
        <w:pStyle w:val="Normal"/>
      </w:pPr>
      <w:r>
        <w:t xml:space="preserve">Habitat destruction</w:t>
      </w:r>
    </w:p>
    <w:p>
      <w:pPr>
        <w:numPr>
          <w:ilvl w:val="0"/>
          <w:numId w:val="1013"/>
        </w:numPr>
        <w:pStyle w:val="Normal"/>
      </w:pPr>
      <w:r>
        <w:t xml:space="preserve">Water pollution</w:t>
      </w:r>
    </w:p>
    <w:p>
      <w:pPr>
        <w:numPr>
          <w:ilvl w:val="0"/>
          <w:numId w:val="1013"/>
        </w:numPr>
        <w:pStyle w:val="Normal"/>
      </w:pPr>
      <w:r>
        <w:t xml:space="preserve">Significant energy use</w:t>
      </w:r>
    </w:p>
    <w:p>
      <w:pPr>
        <w:numPr>
          <w:ilvl w:val="0"/>
          <w:numId w:val="1013"/>
        </w:numPr>
        <w:pStyle w:val="Normal"/>
      </w:pPr>
      <w:r>
        <w:t xml:space="preserve">Land degradation</w:t>
      </w:r>
    </w:p>
    <w:p>
      <w:pPr>
        <w:pStyle w:val="Normal"/>
      </w:pPr>
      <w:r>
        <w:rPr>
          <w:b/>
        </w:rPr>
        <w:t xml:space="preserve">Social Concerns:</w:t>
      </w:r>
    </w:p>
    <w:p>
      <w:pPr>
        <w:numPr>
          <w:ilvl w:val="0"/>
          <w:numId w:val="1014"/>
        </w:numPr>
        <w:pStyle w:val="Normal"/>
      </w:pPr>
      <w:r>
        <w:t xml:space="preserve">Cobalt mining in the Democratic Republic of Congo has raised concerns about environmental degradation and human rights abuses</w:t>
      </w:r>
    </w:p>
    <w:p>
      <w:pPr>
        <w:numPr>
          <w:ilvl w:val="0"/>
          <w:numId w:val="1014"/>
        </w:numPr>
        <w:pStyle w:val="Normal"/>
      </w:pPr>
      <w:r>
        <w:t xml:space="preserve">Child labor issues in artisanal mining operations</w:t>
      </w:r>
    </w:p>
    <w:p>
      <w:pPr>
        <w:pStyle w:val="Normal"/>
      </w:pPr>
      <w:r>
        <w:t xml:space="preserve">Battery manufacturing is energy-intensive, often relying on electricity from fossil fuel sources, especially in countries like China. According to a 2017 study by the Swedish Environmental Research Institute, producing a typical EV battery (30-100 kWh) can emit 150-200 kg of CO2 per kWh.</w:t>
      </w:r>
    </w:p>
    <w:p>
      <w:pPr>
        <w:pStyle w:val="Heading2"/>
      </w:pPr>
      <w:bookmarkStart w:id="43" w:name="use-phase-operation-and-emissions"/>
      <w:r>
        <w:rPr>
          <w:color w:val="FF0000"/>
        </w:rPr>
        <w:t xml:space="preserve">Use Phase: Operation and Emissions</w:t>
      </w:r>
      <w:bookmarkEnd w:id="43"/>
    </w:p>
    <w:p>
      <w:pPr>
        <w:pStyle w:val="Heading3"/>
      </w:pPr>
      <w:bookmarkStart w:id="44" w:name="zero-tailpipe-emissions"/>
      <w:r>
        <w:rPr>
          <w:color w:val="FF0000"/>
        </w:rPr>
        <w:t xml:space="preserve">Zero Tailpipe Emissions</w:t>
      </w:r>
      <w:bookmarkEnd w:id="44"/>
    </w:p>
    <w:p>
      <w:pPr>
        <w:pStyle w:val="Normal"/>
      </w:pPr>
      <w:r>
        <w:t xml:space="preserve">EVs offer substantial environmental benefits during operation. BEVs produce zero tailpipe emissions, eliminating pollutants such as:</w:t>
      </w:r>
    </w:p>
    <w:p>
      <w:pPr>
        <w:numPr>
          <w:ilvl w:val="0"/>
          <w:numId w:val="1015"/>
        </w:numPr>
        <w:pStyle w:val="Normal"/>
      </w:pPr>
      <w:r>
        <w:t xml:space="preserve">Nitrogen oxides (NOx)</w:t>
      </w:r>
    </w:p>
    <w:p>
      <w:pPr>
        <w:numPr>
          <w:ilvl w:val="0"/>
          <w:numId w:val="1015"/>
        </w:numPr>
        <w:pStyle w:val="Normal"/>
      </w:pPr>
      <w:r>
        <w:t xml:space="preserve">Particulate matter (PM)</w:t>
      </w:r>
    </w:p>
    <w:p>
      <w:pPr>
        <w:numPr>
          <w:ilvl w:val="0"/>
          <w:numId w:val="1015"/>
        </w:numPr>
        <w:pStyle w:val="Normal"/>
      </w:pPr>
      <w:r>
        <w:t xml:space="preserve">Volatile organic compounds (VOCs)</w:t>
      </w:r>
    </w:p>
    <w:p>
      <w:pPr>
        <w:numPr>
          <w:ilvl w:val="0"/>
          <w:numId w:val="1015"/>
        </w:numPr>
        <w:pStyle w:val="Normal"/>
      </w:pPr>
      <w:r>
        <w:t xml:space="preserve">Carbon monoxide (CO)</w:t>
      </w:r>
    </w:p>
    <w:p>
      <w:pPr>
        <w:pStyle w:val="Normal"/>
      </w:pPr>
      <w:r>
        <w:t xml:space="preserve">These pollutants contribute to urban smog and respiratory illnesses.</w:t>
      </w:r>
    </w:p>
    <w:p>
      <w:pPr>
        <w:pStyle w:val="Heading3"/>
      </w:pPr>
      <w:bookmarkStart w:id="45" w:name="grid-dependency-and-indirect-emissions"/>
      <w:r>
        <w:rPr>
          <w:color w:val="FF0000"/>
        </w:rPr>
        <w:t xml:space="preserve">Grid Dependency and Indirect Emissions</w:t>
      </w:r>
      <w:bookmarkEnd w:id="45"/>
    </w:p>
    <w:p>
      <w:pPr>
        <w:pStyle w:val="Normal"/>
      </w:pPr>
      <w:r>
        <w:t xml:space="preserve">The overall climate impact depends on the electricity mix used for charging. In regions with high shares of coal or natural gas, indirect emissions can be significant, though still generally lower than those of ICE vehicles.</w:t>
      </w:r>
    </w:p>
    <w:p>
      <w:pPr>
        <w:pStyle w:val="BodyText"/>
      </w:pPr>
      <w:r>
        <w:rPr>
          <w:b/>
        </w:rPr>
        <w:t xml:space="preserve">The Myth of</w:t>
      </w:r>
      <w:r>
        <w:rPr>
          <w:b/>
        </w:rPr>
        <w:t xml:space="preserve"> </w:t>
      </w:r>
      <w:r>
        <w:rPr>
          <w:b/>
        </w:rPr>
        <w:t xml:space="preserve">"</w:t>
      </w:r>
      <w:r>
        <w:rPr>
          <w:b/>
        </w:rPr>
        <w:t xml:space="preserve">Zero Emissions</w:t>
      </w:r>
      <w:r>
        <w:rPr>
          <w:b/>
        </w:rPr>
        <w:t xml:space="preserve">"</w:t>
      </w:r>
      <w:r>
        <w:rPr>
          <w:b/>
        </w:rPr>
        <w:t xml:space="preserve">:</w:t>
      </w:r>
    </w:p>
    <w:p>
      <w:pPr>
        <w:pStyle w:val="BodyText"/>
      </w:pPr>
      <w:r>
        <w:t xml:space="preserve">It is architecturally inaccurate to label EVs as</w:t>
      </w:r>
      <w:r>
        <w:t xml:space="preserve"> </w:t>
      </w:r>
      <w:r>
        <w:t xml:space="preserve">"</w:t>
      </w:r>
      <w:r>
        <w:t xml:space="preserve">zero emission</w:t>
      </w:r>
      <w:r>
        <w:t xml:space="preserve">"</w:t>
      </w:r>
      <w:r>
        <w:t xml:space="preserve"> </w:t>
      </w:r>
      <w:r>
        <w:t xml:space="preserve">vehicles without qualification. While they produce zero tailpipe emissions, they effectively displace pollution from diffused mobile sources (cars) to concentrated stationary sources (power plants).</w:t>
      </w:r>
    </w:p>
    <w:p>
      <w:pPr>
        <w:pStyle w:val="BodyText"/>
      </w:pPr>
      <w:r>
        <w:t xml:space="preserve">This shift is environmentally advantageous because:</w:t>
      </w:r>
    </w:p>
    <w:p>
      <w:pPr>
        <w:numPr>
          <w:ilvl w:val="0"/>
          <w:numId w:val="1016"/>
        </w:numPr>
        <w:pStyle w:val="Normal"/>
      </w:pPr>
      <w:r>
        <w:t xml:space="preserve">Stationary sources are easier to regulate</w:t>
      </w:r>
    </w:p>
    <w:p>
      <w:pPr>
        <w:numPr>
          <w:ilvl w:val="0"/>
          <w:numId w:val="1016"/>
        </w:numPr>
        <w:pStyle w:val="Normal"/>
      </w:pPr>
      <w:r>
        <w:t xml:space="preserve">Power plants can be equipped with carbon capture technologies</w:t>
      </w:r>
    </w:p>
    <w:p>
      <w:pPr>
        <w:numPr>
          <w:ilvl w:val="0"/>
          <w:numId w:val="1016"/>
        </w:numPr>
        <w:pStyle w:val="Normal"/>
      </w:pPr>
      <w:r>
        <w:t xml:space="preserve">Electric motors are thermodynamically more efficient (87-91% efficiency) compared to internal combustion engines (16-25% efficiency)</w:t>
      </w:r>
    </w:p>
    <w:p>
      <w:pPr>
        <w:pStyle w:val="Heading3"/>
      </w:pPr>
      <w:bookmarkStart w:id="46" w:name="lifecycle-emissions-comparison"/>
      <w:r>
        <w:rPr>
          <w:color w:val="FF0000"/>
        </w:rPr>
        <w:t xml:space="preserve">Lifecycle Emissions Comparison</w:t>
      </w:r>
      <w:bookmarkEnd w:id="46"/>
    </w:p>
    <w:p>
      <w:pPr>
        <w:pStyle w:val="Normal"/>
      </w:pPr>
      <w:r>
        <w:t xml:space="preserve">A 2020 study by the International Council on Clean Transportation (ICCT) found that, over their lifetime, EVs in Europe emit 66-69% less CO2 than comparable gasoline cars, even accounting for battery production and electricity generation.</w:t>
      </w:r>
    </w:p>
    <w:p>
      <w:pPr>
        <w:pStyle w:val="Heading3"/>
      </w:pPr>
      <w:bookmarkStart w:id="47" w:name="X0811e1c89d6a19ecc61a4d8476c7485bf5d7efe"/>
      <w:r>
        <w:rPr>
          <w:color w:val="FF0000"/>
        </w:rPr>
        <w:t xml:space="preserve">Table: Lifecycle CO2 Emissions by Vehicle Type</w:t>
      </w:r>
      <w:bookmarkEnd w:id="47"/>
    </w:p>
    <w:tbl>
      <w:tblPr>
        <w:tblStyle w:val="TableNormal"/>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26"/>
        <w:gridCol w:w="1980"/>
        <w:gridCol w:w="2713"/>
        <w:gridCol w:w="2200"/>
      </w:tblGrid>
      <w:tr>
        <w:trPr>
          <w:cnfStyle w:firstRow="1"/>
        </w:trPr>
        <w:tc>
          <w:tcPr>
            <w:tcBorders>
              <w:bottom w:val="single"/>
            </w:tcBorders>
            <w:vAlign w:val="bottom"/>
          </w:tcPr>
          <w:p>
            <w:pPr>
              <w:pStyle w:val="Normal"/>
              <w:jc w:val="left"/>
            </w:pPr>
            <w:r>
              <w:t xml:space="preserve">Vehicle Type</w:t>
            </w:r>
          </w:p>
        </w:tc>
        <w:tc>
          <w:tcPr>
            <w:tcBorders>
              <w:bottom w:val="single"/>
            </w:tcBorders>
            <w:vAlign w:val="bottom"/>
          </w:tcPr>
          <w:p>
            <w:pPr>
              <w:pStyle w:val="Normal"/>
              <w:jc w:val="left"/>
            </w:pPr>
            <w:r>
              <w:t xml:space="preserve">Manufacturing (metric tons)</w:t>
            </w:r>
          </w:p>
        </w:tc>
        <w:tc>
          <w:tcPr>
            <w:tcBorders>
              <w:bottom w:val="single"/>
            </w:tcBorders>
            <w:vAlign w:val="bottom"/>
          </w:tcPr>
          <w:p>
            <w:pPr>
              <w:pStyle w:val="Normal"/>
              <w:jc w:val="left"/>
            </w:pPr>
            <w:r>
              <w:t xml:space="preserve">Use Phase - Europe Grid (metric tons)</w:t>
            </w:r>
          </w:p>
        </w:tc>
        <w:tc>
          <w:tcPr>
            <w:tcBorders>
              <w:bottom w:val="single"/>
            </w:tcBorders>
            <w:vAlign w:val="bottom"/>
          </w:tcPr>
          <w:p>
            <w:pPr>
              <w:pStyle w:val="Normal"/>
              <w:jc w:val="left"/>
            </w:pPr>
            <w:r>
              <w:t xml:space="preserve">Total Lifecycle (metric tons)</w:t>
            </w:r>
          </w:p>
        </w:tc>
      </w:tr>
      <w:tr>
        <w:tc>
          <w:p>
            <w:pPr>
              <w:pStyle w:val="Normal"/>
              <w:jc w:val="left"/>
            </w:pPr>
            <w:r>
              <w:t xml:space="preserve">ICE (Gasoline)</w:t>
            </w:r>
          </w:p>
        </w:tc>
        <w:tc>
          <w:p>
            <w:pPr>
              <w:pStyle w:val="Normal"/>
              <w:jc w:val="left"/>
            </w:pPr>
            <w:r>
              <w:t xml:space="preserve">6</w:t>
            </w:r>
          </w:p>
        </w:tc>
        <w:tc>
          <w:p>
            <w:pPr>
              <w:pStyle w:val="Normal"/>
              <w:jc w:val="left"/>
            </w:pPr>
            <w:r>
              <w:t xml:space="preserve">33</w:t>
            </w:r>
          </w:p>
        </w:tc>
        <w:tc>
          <w:p>
            <w:pPr>
              <w:pStyle w:val="Normal"/>
              <w:jc w:val="left"/>
            </w:pPr>
            <w:r>
              <w:t xml:space="preserve">39</w:t>
            </w:r>
          </w:p>
        </w:tc>
      </w:tr>
      <w:tr>
        <w:tc>
          <w:p>
            <w:pPr>
              <w:pStyle w:val="Normal"/>
              <w:jc w:val="left"/>
            </w:pPr>
            <w:r>
              <w:t xml:space="preserve">BEV</w:t>
            </w:r>
          </w:p>
        </w:tc>
        <w:tc>
          <w:p>
            <w:pPr>
              <w:pStyle w:val="Normal"/>
              <w:jc w:val="left"/>
            </w:pPr>
            <w:r>
              <w:t xml:space="preserve">8</w:t>
            </w:r>
          </w:p>
        </w:tc>
        <w:tc>
          <w:p>
            <w:pPr>
              <w:pStyle w:val="Normal"/>
              <w:jc w:val="left"/>
            </w:pPr>
            <w:r>
              <w:t xml:space="preserve">5</w:t>
            </w:r>
          </w:p>
        </w:tc>
        <w:tc>
          <w:p>
            <w:pPr>
              <w:pStyle w:val="Normal"/>
              <w:jc w:val="left"/>
            </w:pPr>
            <w:r>
              <w:t xml:space="preserve">13</w:t>
            </w:r>
          </w:p>
        </w:tc>
      </w:tr>
      <w:tr>
        <w:tc>
          <w:p>
            <w:pPr>
              <w:pStyle w:val="Normal"/>
              <w:jc w:val="left"/>
            </w:pPr>
            <w:r>
              <w:t xml:space="preserve">PHEV</w:t>
            </w:r>
          </w:p>
        </w:tc>
        <w:tc>
          <w:p>
            <w:pPr>
              <w:pStyle w:val="Normal"/>
              <w:jc w:val="left"/>
            </w:pPr>
            <w:r>
              <w:t xml:space="preserve">7</w:t>
            </w:r>
          </w:p>
        </w:tc>
        <w:tc>
          <w:p>
            <w:pPr>
              <w:pStyle w:val="Normal"/>
              <w:jc w:val="left"/>
            </w:pPr>
            <w:r>
              <w:t xml:space="preserve">15</w:t>
            </w:r>
          </w:p>
        </w:tc>
        <w:tc>
          <w:p>
            <w:pPr>
              <w:pStyle w:val="Normal"/>
              <w:jc w:val="left"/>
            </w:pPr>
            <w:r>
              <w:t xml:space="preserve">22</w:t>
            </w:r>
          </w:p>
        </w:tc>
      </w:tr>
    </w:tbl>
    <w:p>
      <w:pPr>
        <w:pStyle w:val="BodyText"/>
      </w:pPr>
      <w:r>
        <w:rPr>
          <w:i/>
        </w:rPr>
        <w:t xml:space="preserve">Source: ICCT, 2020</w:t>
      </w:r>
    </w:p>
    <w:p>
      <w:pPr>
        <w:pStyle w:val="Heading2"/>
      </w:pPr>
      <w:bookmarkStart w:id="48" w:name="end-of-life-recycling-and-disposal"/>
      <w:r>
        <w:rPr>
          <w:color w:val="FF0000"/>
        </w:rPr>
        <w:t xml:space="preserve">End-of-Life: Recycling and Disposal</w:t>
      </w:r>
      <w:bookmarkEnd w:id="48"/>
    </w:p>
    <w:p>
      <w:pPr>
        <w:jc w:val="center"/>
      </w:pPr>
      <w:bookmarkStart w:id="49" w:name="recycling-challenges"/>
      <w:r>
        <w:rPr>
          <w:color w:val="FF0000"/>
        </w:rPr>
        <w:t xml:space="preserve">Recycling Challenges</w:t>
      </w:r>
      <w:bookmarkEnd w:id="49"/>
    </w:p>
    <w:p>
      <w:pPr>
        <w:jc w:val="center"/>
      </w:pPr>
      <w:r>
        <w:rPr/>
        <w:t xml:space="preserve">Battery disposal and recycling are critical to minimizing long-term environmental impacts. Improper disposal can lead to:</w:t>
      </w:r>
    </w:p>
    <w:p>
      <w:pPr>
        <w:numPr>
          <w:ilvl w:val="0"/>
          <w:numId w:val="1017"/>
        </w:numPr>
        <w:jc w:val="center"/>
      </w:pPr>
      <w:r>
        <w:rPr/>
        <w:t xml:space="preserve">Soil contamination from heavy metals</w:t>
      </w:r>
    </w:p>
    <w:p>
      <w:pPr>
        <w:numPr>
          <w:ilvl w:val="0"/>
          <w:numId w:val="1017"/>
        </w:numPr>
        <w:jc w:val="center"/>
      </w:pPr>
      <w:r>
        <w:rPr/>
        <w:t xml:space="preserve">Water contamination from toxic chemicals</w:t>
      </w:r>
    </w:p>
    <w:p>
      <w:pPr>
        <w:numPr>
          <w:ilvl w:val="0"/>
          <w:numId w:val="1017"/>
        </w:numPr>
        <w:jc w:val="center"/>
      </w:pPr>
      <w:r>
        <w:rPr/>
        <w:t xml:space="preserve">Loss of valuable recoverable materials</w:t>
      </w:r>
    </w:p>
    <w:p>
      <w:pPr>
        <w:pStyle w:val="Heading3"/>
      </w:pPr>
      <w:bookmarkStart w:id="50" w:name="recycling-technologies"/>
      <w:r>
        <w:rPr>
          <w:color w:val="FF0000"/>
        </w:rPr>
        <w:t xml:space="preserve">Recycling Technologies</w:t>
      </w:r>
      <w:bookmarkEnd w:id="50"/>
    </w:p>
    <w:p>
      <w:pPr>
        <w:pStyle w:val="Normal"/>
      </w:pPr>
      <w:r>
        <w:t xml:space="preserve">Advances in battery recycling technologies are enabling recovery of valuable materials:</w:t>
      </w:r>
    </w:p>
    <w:p>
      <w:pPr>
        <w:numPr>
          <w:ilvl w:val="0"/>
          <w:numId w:val="1018"/>
        </w:numPr>
        <w:pStyle w:val="Normal"/>
      </w:pPr>
      <w:r>
        <w:t xml:space="preserve">Lithium recovery rates improving to 90%+</w:t>
      </w:r>
    </w:p>
    <w:p>
      <w:pPr>
        <w:numPr>
          <w:ilvl w:val="0"/>
          <w:numId w:val="1018"/>
        </w:numPr>
        <w:pStyle w:val="Normal"/>
      </w:pPr>
      <w:r>
        <w:t xml:space="preserve">Cobalt and nickel recovery</w:t>
      </w:r>
    </w:p>
    <w:p>
      <w:pPr>
        <w:numPr>
          <w:ilvl w:val="0"/>
          <w:numId w:val="1018"/>
        </w:numPr>
        <w:pStyle w:val="Normal"/>
      </w:pPr>
      <w:r>
        <w:t xml:space="preserve">Graphite reclamation</w:t>
      </w:r>
    </w:p>
    <w:p>
      <w:pPr>
        <w:pStyle w:val="Normal"/>
      </w:pPr>
      <w:r>
        <w:t xml:space="preserve">These processes reduce the need for new mining and lower the overall environmental footprint.</w:t>
      </w:r>
    </w:p>
    <w:p>
      <w:pPr>
        <w:pStyle w:val="Heading3"/>
      </w:pPr>
      <w:bookmarkStart w:id="51" w:name="second-life-applications"/>
      <w:r>
        <w:rPr>
          <w:color w:val="FF0000"/>
        </w:rPr>
        <w:t xml:space="preserve">Second-Life Applications</w:t>
      </w:r>
      <w:bookmarkEnd w:id="51"/>
    </w:p>
    <w:p>
      <w:pPr>
        <w:pStyle w:val="Normal"/>
      </w:pPr>
      <w:r>
        <w:t xml:space="preserve">Used EV batteries are being repurposed for:</w:t>
      </w:r>
    </w:p>
    <w:p>
      <w:pPr>
        <w:numPr>
          <w:ilvl w:val="0"/>
          <w:numId w:val="1019"/>
        </w:numPr>
        <w:pStyle w:val="Normal"/>
      </w:pPr>
      <w:r>
        <w:t xml:space="preserve">Stationary energy storage systems</w:t>
      </w:r>
    </w:p>
    <w:p>
      <w:pPr>
        <w:numPr>
          <w:ilvl w:val="0"/>
          <w:numId w:val="1019"/>
        </w:numPr>
        <w:pStyle w:val="Normal"/>
      </w:pPr>
      <w:r>
        <w:t xml:space="preserve">Grid balancing applications</w:t>
      </w:r>
    </w:p>
    <w:p>
      <w:pPr>
        <w:numPr>
          <w:ilvl w:val="0"/>
          <w:numId w:val="1019"/>
        </w:numPr>
        <w:pStyle w:val="Normal"/>
      </w:pPr>
      <w:r>
        <w:t xml:space="preserve">Backup power systems</w:t>
      </w:r>
    </w:p>
    <w:p>
      <w:pPr>
        <w:numPr>
          <w:ilvl w:val="0"/>
          <w:numId w:val="1019"/>
        </w:numPr>
        <w:pStyle w:val="Normal"/>
      </w:pPr>
      <w:r>
        <w:t xml:space="preserve">Solar energy storage</w:t>
      </w:r>
    </w:p>
    <w:p>
      <w:pPr>
        <w:pStyle w:val="Normal"/>
      </w:pPr>
      <w:r>
        <w:t xml:space="preserve">This extends their useful life by 5-10 years and defers recycling.</w:t>
      </w:r>
    </w:p>
    <w:p>
      <w:pPr>
        <w:pStyle w:val="Heading3"/>
      </w:pPr>
      <w:bookmarkStart w:id="52" w:name="regulatory-framework"/>
      <w:r>
        <w:rPr>
          <w:color w:val="FF0000"/>
        </w:rPr>
        <w:t xml:space="preserve">Regulatory Framework</w:t>
      </w:r>
      <w:bookmarkEnd w:id="52"/>
    </w:p>
    <w:p>
      <w:pPr>
        <w:pStyle w:val="Normal"/>
      </w:pPr>
      <w:r>
        <w:t xml:space="preserve">Regulatory frameworks in the European Union and China now require manufacturers to take responsibility for battery collection and recycling, setting a precedent for global best practices.</w:t>
      </w:r>
    </w:p>
    <w:p>
      <w:pPr>
        <w:pStyle w:val="Heading1"/>
      </w:pPr>
      <w:bookmarkStart w:id="53" w:name="Xe869872652a3d3510e371a783ef5586bf37446f"/>
      <w:r>
        <w:rPr>
          <w:color w:val="FF0000"/>
        </w:rPr>
        <w:t xml:space="preserve">Core Content: Energy Sources and Grid Integration</w:t>
      </w:r>
      <w:bookmarkEnd w:id="53"/>
    </w:p>
    <w:p>
      <w:pPr>
        <w:pStyle w:val="Heading2"/>
      </w:pPr>
      <w:bookmarkStart w:id="54" w:name="grid-carbon-intensity"/>
      <w:r>
        <w:rPr>
          <w:color w:val="FF0000"/>
        </w:rPr>
        <w:t xml:space="preserve">Grid Carbon Intensity</w:t>
      </w:r>
      <w:bookmarkEnd w:id="54"/>
    </w:p>
    <w:p>
      <w:pPr>
        <w:pStyle w:val="Normal"/>
      </w:pPr>
      <w:r>
        <w:t xml:space="preserve">The environmental benefits of EVs are closely tied to the carbon intensity of the electricity grid.</w:t>
      </w:r>
    </w:p>
    <w:p>
      <w:pPr>
        <w:pStyle w:val="Heading3"/>
      </w:pPr>
      <w:bookmarkStart w:id="55" w:name="table-grid-carbon-intensity-by-region"/>
      <w:r>
        <w:rPr>
          <w:color w:val="FF0000"/>
        </w:rPr>
        <w:t xml:space="preserve">Table: Grid Carbon Intensity by Region</w:t>
      </w:r>
      <w:bookmarkEnd w:id="55"/>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Region</w:t>
            </w:r>
          </w:p>
        </w:tc>
        <w:tc>
          <w:tcPr>
            <w:tcBorders>
              <w:bottom w:val="single"/>
            </w:tcBorders>
            <w:vAlign w:val="bottom"/>
          </w:tcPr>
          <w:p>
            <w:pPr>
              <w:pStyle w:val="Normal"/>
              <w:jc w:val="left"/>
            </w:pPr>
            <w:r>
              <w:t xml:space="preserve">Renewable Share</w:t>
            </w:r>
          </w:p>
        </w:tc>
        <w:tc>
          <w:tcPr>
            <w:tcBorders>
              <w:bottom w:val="single"/>
            </w:tcBorders>
            <w:vAlign w:val="bottom"/>
          </w:tcPr>
          <w:p>
            <w:pPr>
              <w:pStyle w:val="Normal"/>
              <w:jc w:val="left"/>
            </w:pPr>
            <w:r>
              <w:t xml:space="preserve">EV Operational Emissions</w:t>
            </w:r>
          </w:p>
        </w:tc>
        <w:tc>
          <w:tcPr>
            <w:tcBorders>
              <w:bottom w:val="single"/>
            </w:tcBorders>
            <w:vAlign w:val="bottom"/>
          </w:tcPr>
          <w:p>
            <w:pPr>
              <w:pStyle w:val="Normal"/>
              <w:jc w:val="left"/>
            </w:pPr>
            <w:r>
              <w:t xml:space="preserve">Environmental Benefit</w:t>
            </w:r>
          </w:p>
        </w:tc>
      </w:tr>
      <w:tr>
        <w:tc>
          <w:p>
            <w:pPr>
              <w:pStyle w:val="Normal"/>
              <w:jc w:val="left"/>
            </w:pPr>
            <w:r>
              <w:t xml:space="preserve">Norway</w:t>
            </w:r>
          </w:p>
        </w:tc>
        <w:tc>
          <w:p>
            <w:pPr>
              <w:pStyle w:val="Normal"/>
              <w:jc w:val="left"/>
            </w:pPr>
            <w:r>
              <w:t xml:space="preserve">98% (hydro)</w:t>
            </w:r>
          </w:p>
        </w:tc>
        <w:tc>
          <w:p>
            <w:pPr>
              <w:pStyle w:val="Normal"/>
              <w:jc w:val="left"/>
            </w:pPr>
            <w:r>
              <w:t xml:space="preserve">Near zero</w:t>
            </w:r>
          </w:p>
        </w:tc>
        <w:tc>
          <w:p>
            <w:pPr>
              <w:pStyle w:val="Normal"/>
              <w:jc w:val="left"/>
            </w:pPr>
            <w:r>
              <w:t xml:space="preserve">Maximum</w:t>
            </w:r>
          </w:p>
        </w:tc>
      </w:tr>
      <w:tr>
        <w:tc>
          <w:p>
            <w:pPr>
              <w:pStyle w:val="Normal"/>
              <w:jc w:val="left"/>
            </w:pPr>
            <w:r>
              <w:t xml:space="preserve">Iceland</w:t>
            </w:r>
          </w:p>
        </w:tc>
        <w:tc>
          <w:p>
            <w:pPr>
              <w:pStyle w:val="Normal"/>
              <w:jc w:val="left"/>
            </w:pPr>
            <w:r>
              <w:t xml:space="preserve">99% (geothermal/hydro)</w:t>
            </w:r>
          </w:p>
        </w:tc>
        <w:tc>
          <w:p>
            <w:pPr>
              <w:pStyle w:val="Normal"/>
              <w:jc w:val="left"/>
            </w:pPr>
            <w:r>
              <w:t xml:space="preserve">Near zero</w:t>
            </w:r>
          </w:p>
        </w:tc>
        <w:tc>
          <w:p>
            <w:pPr>
              <w:pStyle w:val="Normal"/>
              <w:jc w:val="left"/>
            </w:pPr>
            <w:r>
              <w:t xml:space="preserve">Maximum</w:t>
            </w:r>
          </w:p>
        </w:tc>
      </w:tr>
      <w:tr>
        <w:tc>
          <w:p>
            <w:pPr>
              <w:pStyle w:val="Normal"/>
              <w:jc w:val="left"/>
            </w:pPr>
            <w:r>
              <w:t xml:space="preserve">France</w:t>
            </w:r>
          </w:p>
        </w:tc>
        <w:tc>
          <w:p>
            <w:pPr>
              <w:pStyle w:val="Normal"/>
              <w:jc w:val="left"/>
            </w:pPr>
            <w:r>
              <w:t xml:space="preserve">70% (nuclear/renewable)</w:t>
            </w:r>
          </w:p>
        </w:tc>
        <w:tc>
          <w:p>
            <w:pPr>
              <w:pStyle w:val="Normal"/>
              <w:jc w:val="left"/>
            </w:pPr>
            <w:r>
              <w:t xml:space="preserve">Very low</w:t>
            </w:r>
          </w:p>
        </w:tc>
        <w:tc>
          <w:p>
            <w:pPr>
              <w:pStyle w:val="Normal"/>
              <w:jc w:val="left"/>
            </w:pPr>
            <w:r>
              <w:t xml:space="preserve">High</w:t>
            </w:r>
          </w:p>
        </w:tc>
      </w:tr>
      <w:tr>
        <w:tc>
          <w:p>
            <w:pPr>
              <w:pStyle w:val="Normal"/>
              <w:jc w:val="left"/>
            </w:pPr>
            <w:r>
              <w:t xml:space="preserve">Germany</w:t>
            </w:r>
          </w:p>
        </w:tc>
        <w:tc>
          <w:p>
            <w:pPr>
              <w:pStyle w:val="Normal"/>
              <w:jc w:val="left"/>
            </w:pPr>
            <w:r>
              <w:t xml:space="preserve">45% (renewable)</w:t>
            </w:r>
          </w:p>
        </w:tc>
        <w:tc>
          <w:p>
            <w:pPr>
              <w:pStyle w:val="Normal"/>
              <w:jc w:val="left"/>
            </w:pPr>
            <w:r>
              <w:t xml:space="preserve">Low</w:t>
            </w:r>
          </w:p>
        </w:tc>
        <w:tc>
          <w:p>
            <w:pPr>
              <w:pStyle w:val="Normal"/>
              <w:jc w:val="left"/>
            </w:pPr>
            <w:r>
              <w:t xml:space="preserve">Moderate-High</w:t>
            </w:r>
          </w:p>
        </w:tc>
      </w:tr>
      <w:tr>
        <w:tc>
          <w:p>
            <w:pPr>
              <w:pStyle w:val="Normal"/>
              <w:jc w:val="left"/>
            </w:pPr>
            <w:r>
              <w:t xml:space="preserve">United States</w:t>
            </w:r>
          </w:p>
        </w:tc>
        <w:tc>
          <w:p>
            <w:pPr>
              <w:pStyle w:val="Normal"/>
              <w:jc w:val="left"/>
            </w:pPr>
            <w:r>
              <w:t xml:space="preserve">40% (renewable/nuclear)</w:t>
            </w:r>
          </w:p>
        </w:tc>
        <w:tc>
          <w:p>
            <w:pPr>
              <w:pStyle w:val="Normal"/>
              <w:jc w:val="left"/>
            </w:pPr>
            <w:r>
              <w:t xml:space="preserve">Low-Moderate</w:t>
            </w:r>
          </w:p>
        </w:tc>
        <w:tc>
          <w:p>
            <w:pPr>
              <w:pStyle w:val="Normal"/>
              <w:jc w:val="left"/>
            </w:pPr>
            <w:r>
              <w:t xml:space="preserve">Moderate</w:t>
            </w:r>
          </w:p>
        </w:tc>
      </w:tr>
      <w:tr>
        <w:tc>
          <w:p>
            <w:pPr>
              <w:pStyle w:val="Normal"/>
              <w:jc w:val="left"/>
            </w:pPr>
            <w:r>
              <w:t xml:space="preserve">China</w:t>
            </w:r>
          </w:p>
        </w:tc>
        <w:tc>
          <w:p>
            <w:pPr>
              <w:pStyle w:val="Normal"/>
              <w:jc w:val="left"/>
            </w:pPr>
            <w:r>
              <w:t xml:space="preserve">30% (renewable)</w:t>
            </w:r>
          </w:p>
        </w:tc>
        <w:tc>
          <w:p>
            <w:pPr>
              <w:pStyle w:val="Normal"/>
              <w:jc w:val="left"/>
            </w:pPr>
            <w:r>
              <w:t xml:space="preserve">Moderate</w:t>
            </w:r>
          </w:p>
        </w:tc>
        <w:tc>
          <w:p>
            <w:pPr>
              <w:pStyle w:val="Normal"/>
              <w:jc w:val="left"/>
            </w:pPr>
            <w:r>
              <w:t xml:space="preserve">Conditional</w:t>
            </w:r>
          </w:p>
        </w:tc>
      </w:tr>
      <w:tr>
        <w:tc>
          <w:p>
            <w:pPr>
              <w:pStyle w:val="Normal"/>
              <w:jc w:val="left"/>
            </w:pPr>
            <w:r>
              <w:t xml:space="preserve">India</w:t>
            </w:r>
          </w:p>
        </w:tc>
        <w:tc>
          <w:p>
            <w:pPr>
              <w:pStyle w:val="Normal"/>
              <w:jc w:val="left"/>
            </w:pPr>
            <w:r>
              <w:t xml:space="preserve">22% (renewable)</w:t>
            </w:r>
          </w:p>
        </w:tc>
        <w:tc>
          <w:p>
            <w:pPr>
              <w:pStyle w:val="Normal"/>
              <w:jc w:val="left"/>
            </w:pPr>
            <w:r>
              <w:t xml:space="preserve">Moderate-High</w:t>
            </w:r>
          </w:p>
        </w:tc>
        <w:tc>
          <w:p>
            <w:pPr>
              <w:pStyle w:val="Normal"/>
              <w:jc w:val="left"/>
            </w:pPr>
            <w:r>
              <w:t xml:space="preserve">Limited but growing</w:t>
            </w:r>
          </w:p>
        </w:tc>
      </w:tr>
    </w:tbl>
    <w:p>
      <w:pPr>
        <w:pStyle w:val="Heading2"/>
      </w:pPr>
      <w:bookmarkStart w:id="56" w:name="smart-charging-technologies"/>
      <w:r>
        <w:rPr>
          <w:color w:val="FF0000"/>
        </w:rPr>
        <w:t xml:space="preserve">Smart Charging Technologies</w:t>
      </w:r>
      <w:bookmarkEnd w:id="56"/>
    </w:p>
    <w:p>
      <w:pPr>
        <w:pStyle w:val="Normal"/>
      </w:pPr>
      <w:r>
        <w:t xml:space="preserve">Smart charging optimizes when and how EVs are charged to benefit the grid and environment:</w:t>
      </w:r>
    </w:p>
    <w:p>
      <w:pPr>
        <w:numPr>
          <w:ilvl w:val="0"/>
          <w:numId w:val="1020"/>
        </w:numPr>
        <w:pStyle w:val="Normal"/>
      </w:pPr>
      <w:r>
        <w:rPr>
          <w:b/>
        </w:rPr>
        <w:t xml:space="preserve">Time-of-Use Optimization:</w:t>
      </w:r>
      <w:r>
        <w:t xml:space="preserve"> </w:t>
      </w:r>
      <w:r>
        <w:t xml:space="preserve">Charging during periods of low demand</w:t>
      </w:r>
    </w:p>
    <w:p>
      <w:pPr>
        <w:numPr>
          <w:ilvl w:val="0"/>
          <w:numId w:val="1020"/>
        </w:numPr>
        <w:pStyle w:val="Normal"/>
      </w:pPr>
      <w:r>
        <w:rPr>
          <w:b/>
        </w:rPr>
        <w:t xml:space="preserve">Renewable Integration:</w:t>
      </w:r>
      <w:r>
        <w:t xml:space="preserve"> </w:t>
      </w:r>
      <w:r>
        <w:t xml:space="preserve">Charging when solar and wind generation peaks</w:t>
      </w:r>
    </w:p>
    <w:p>
      <w:pPr>
        <w:numPr>
          <w:ilvl w:val="0"/>
          <w:numId w:val="1020"/>
        </w:numPr>
        <w:pStyle w:val="Normal"/>
      </w:pPr>
      <w:r>
        <w:rPr>
          <w:b/>
        </w:rPr>
        <w:t xml:space="preserve">Demand Response:</w:t>
      </w:r>
      <w:r>
        <w:t xml:space="preserve"> </w:t>
      </w:r>
      <w:r>
        <w:t xml:space="preserve">Reducing charging during grid stress events</w:t>
      </w:r>
    </w:p>
    <w:p>
      <w:pPr>
        <w:numPr>
          <w:ilvl w:val="0"/>
          <w:numId w:val="1020"/>
        </w:numPr>
        <w:pStyle w:val="Normal"/>
      </w:pPr>
      <w:r>
        <w:rPr>
          <w:b/>
        </w:rPr>
        <w:t xml:space="preserve">Price Signals:</w:t>
      </w:r>
      <w:r>
        <w:t xml:space="preserve"> </w:t>
      </w:r>
      <w:r>
        <w:t xml:space="preserve">Incentivizing off-peak charging through variable rates</w:t>
      </w:r>
    </w:p>
    <w:p>
      <w:pPr>
        <w:pStyle w:val="Heading2"/>
      </w:pPr>
      <w:bookmarkStart w:id="57" w:name="vehicle-to-grid-v2g-technology"/>
      <w:r>
        <w:rPr>
          <w:color w:val="FF0000"/>
        </w:rPr>
        <w:t xml:space="preserve">Vehicle-to-Grid (V2G) Technology</w:t>
      </w:r>
      <w:bookmarkEnd w:id="57"/>
    </w:p>
    <w:p>
      <w:pPr>
        <w:pStyle w:val="Normal"/>
      </w:pPr>
      <w:r>
        <w:t xml:space="preserve">V2G allows EVs to discharge electricity back to the grid, providing:</w:t>
      </w:r>
    </w:p>
    <w:p>
      <w:pPr>
        <w:numPr>
          <w:ilvl w:val="0"/>
          <w:numId w:val="1021"/>
        </w:numPr>
        <w:pStyle w:val="Normal"/>
      </w:pPr>
      <w:r>
        <w:t xml:space="preserve">Ancillary services (frequency regulation)</w:t>
      </w:r>
    </w:p>
    <w:p>
      <w:pPr>
        <w:numPr>
          <w:ilvl w:val="0"/>
          <w:numId w:val="1021"/>
        </w:numPr>
        <w:pStyle w:val="Normal"/>
      </w:pPr>
      <w:r>
        <w:t xml:space="preserve">Peak demand support</w:t>
      </w:r>
    </w:p>
    <w:p>
      <w:pPr>
        <w:numPr>
          <w:ilvl w:val="0"/>
          <w:numId w:val="1021"/>
        </w:numPr>
        <w:pStyle w:val="Normal"/>
      </w:pPr>
      <w:r>
        <w:t xml:space="preserve">Renewable energy storage</w:t>
      </w:r>
    </w:p>
    <w:p>
      <w:pPr>
        <w:numPr>
          <w:ilvl w:val="0"/>
          <w:numId w:val="1021"/>
        </w:numPr>
        <w:pStyle w:val="Normal"/>
      </w:pPr>
      <w:r>
        <w:t xml:space="preserve">Emergency backup power</w:t>
      </w:r>
    </w:p>
    <w:p>
      <w:pPr>
        <w:pStyle w:val="Normal"/>
      </w:pPr>
      <w:r>
        <w:rPr>
          <w:b/>
        </w:rPr>
        <w:t xml:space="preserve">Market Status (2025):</w:t>
      </w:r>
    </w:p>
    <w:p>
      <w:pPr>
        <w:numPr>
          <w:ilvl w:val="0"/>
          <w:numId w:val="1022"/>
        </w:numPr>
        <w:pStyle w:val="Normal"/>
      </w:pPr>
      <w:r>
        <w:t xml:space="preserve">China initiated V2G trial projects in nine cities</w:t>
      </w:r>
    </w:p>
    <w:p>
      <w:pPr>
        <w:numPr>
          <w:ilvl w:val="0"/>
          <w:numId w:val="1022"/>
        </w:numPr>
        <w:pStyle w:val="Normal"/>
      </w:pPr>
      <w:r>
        <w:t xml:space="preserve">Global V2G market projected to grow at 33% CAGR through 2033</w:t>
      </w:r>
    </w:p>
    <w:p>
      <w:pPr>
        <w:numPr>
          <w:ilvl w:val="0"/>
          <w:numId w:val="1022"/>
        </w:numPr>
        <w:pStyle w:val="Normal"/>
      </w:pPr>
      <w:r>
        <w:t xml:space="preserve">ISO 15118-20 standards resolving interoperability issues</w:t>
      </w:r>
    </w:p>
    <w:p>
      <w:pPr>
        <w:pStyle w:val="Normal"/>
      </w:pPr>
      <w:r>
        <w:rPr>
          <w:b/>
        </w:rPr>
        <w:t xml:space="preserve">Barriers to V2G Adoption:</w:t>
      </w:r>
    </w:p>
    <w:p>
      <w:pPr>
        <w:numPr>
          <w:ilvl w:val="0"/>
          <w:numId w:val="1023"/>
        </w:numPr>
        <w:pStyle w:val="Normal"/>
      </w:pPr>
      <w:r>
        <w:t xml:space="preserve">Lack of standardized bidirectional chargers</w:t>
      </w:r>
    </w:p>
    <w:p>
      <w:pPr>
        <w:numPr>
          <w:ilvl w:val="0"/>
          <w:numId w:val="1023"/>
        </w:numPr>
        <w:pStyle w:val="Normal"/>
      </w:pPr>
      <w:r>
        <w:t xml:space="preserve">Potential battery degradation concerns</w:t>
      </w:r>
    </w:p>
    <w:p>
      <w:pPr>
        <w:numPr>
          <w:ilvl w:val="0"/>
          <w:numId w:val="1023"/>
        </w:numPr>
        <w:pStyle w:val="Normal"/>
      </w:pPr>
      <w:r>
        <w:t xml:space="preserve">Complex regulatory frameworks for compensation</w:t>
      </w:r>
    </w:p>
    <w:p>
      <w:pPr>
        <w:numPr>
          <w:ilvl w:val="0"/>
          <w:numId w:val="1023"/>
        </w:numPr>
        <w:pStyle w:val="Normal"/>
      </w:pPr>
      <w:r>
        <w:t xml:space="preserve">Consumer awareness and acceptance</w:t>
      </w:r>
    </w:p>
    <w:p>
      <w:pPr>
        <w:pStyle w:val="Heading2"/>
      </w:pPr>
      <w:bookmarkStart w:id="58" w:name="grid-infrastructure-challenges"/>
      <w:r>
        <w:rPr>
          <w:color w:val="FF0000"/>
        </w:rPr>
        <w:t xml:space="preserve">Grid Infrastructure Challenges</w:t>
      </w:r>
      <w:bookmarkEnd w:id="58"/>
    </w:p>
    <w:p>
      <w:pPr>
        <w:pStyle w:val="Heading3"/>
      </w:pPr>
      <w:bookmarkStart w:id="59" w:name="X6a9d1c0ff0926beade8ac6fcec59bba4a35288e"/>
      <w:r>
        <w:rPr>
          <w:color w:val="FF0000"/>
        </w:rPr>
        <w:t xml:space="preserve">Transformer Aging and Harmonic Distortion</w:t>
      </w:r>
      <w:bookmarkEnd w:id="59"/>
    </w:p>
    <w:p>
      <w:pPr>
        <w:pStyle w:val="Normal"/>
      </w:pPr>
      <w:r>
        <w:t xml:space="preserve">Widespread EV charging impacts distribution transformers through:</w:t>
      </w:r>
    </w:p>
    <w:p>
      <w:pPr>
        <w:numPr>
          <w:ilvl w:val="0"/>
          <w:numId w:val="1024"/>
        </w:numPr>
        <w:pStyle w:val="Normal"/>
      </w:pPr>
      <w:r>
        <w:rPr>
          <w:b/>
        </w:rPr>
        <w:t xml:space="preserve">Thermal Overloading:</w:t>
      </w:r>
      <w:r>
        <w:t xml:space="preserve"> </w:t>
      </w:r>
      <w:r>
        <w:t xml:space="preserve">Concentrated charging loads</w:t>
      </w:r>
    </w:p>
    <w:p>
      <w:pPr>
        <w:numPr>
          <w:ilvl w:val="0"/>
          <w:numId w:val="1024"/>
        </w:numPr>
        <w:pStyle w:val="Normal"/>
      </w:pPr>
      <w:r>
        <w:rPr>
          <w:b/>
        </w:rPr>
        <w:t xml:space="preserve">Harmonic Emissions:</w:t>
      </w:r>
      <w:r>
        <w:t xml:space="preserve"> </w:t>
      </w:r>
      <w:r>
        <w:t xml:space="preserve">EV chargers inject harmonic currents causing additional heating</w:t>
      </w:r>
    </w:p>
    <w:p>
      <w:pPr>
        <w:numPr>
          <w:ilvl w:val="0"/>
          <w:numId w:val="1024"/>
        </w:numPr>
        <w:pStyle w:val="Normal"/>
      </w:pPr>
      <w:r>
        <w:rPr>
          <w:b/>
        </w:rPr>
        <w:t xml:space="preserve">Insulation Degradation:</w:t>
      </w:r>
      <w:r>
        <w:t xml:space="preserve"> </w:t>
      </w:r>
      <w:r>
        <w:t xml:space="preserve">Accelerated aging from elevated temperatures</w:t>
      </w:r>
    </w:p>
    <w:p>
      <w:pPr>
        <w:pStyle w:val="Normal"/>
      </w:pPr>
      <w:r>
        <w:t xml:space="preserve">Research shows that lower charging currents can actually lead to higher harmonic losses and elevated hot-spot temperatures compared to optimized higher-current charging.</w:t>
      </w:r>
    </w:p>
    <w:p>
      <w:pPr>
        <w:pStyle w:val="BodyText"/>
      </w:pPr>
      <w:r>
        <w:rPr>
          <w:b/>
        </w:rPr>
        <w:t xml:space="preserve">Aging Acceleration:</w:t>
      </w:r>
    </w:p>
    <w:p>
      <w:pPr>
        <w:numPr>
          <w:ilvl w:val="0"/>
          <w:numId w:val="1025"/>
        </w:numPr>
        <w:pStyle w:val="Normal"/>
      </w:pPr>
      <w:r>
        <w:t xml:space="preserve">Uncontrolled Level 2 charging can increase transformer aging rates by a factor of 4.2 to 5.6</w:t>
      </w:r>
    </w:p>
    <w:p>
      <w:pPr>
        <w:numPr>
          <w:ilvl w:val="0"/>
          <w:numId w:val="1025"/>
        </w:numPr>
        <w:pStyle w:val="Normal"/>
      </w:pPr>
      <w:r>
        <w:t xml:space="preserve">Temperature-based smart charging algorithms can reduce aging by a factor of 4.8</w:t>
      </w:r>
    </w:p>
    <w:p>
      <w:pPr>
        <w:pStyle w:val="Heading1"/>
      </w:pPr>
      <w:bookmarkStart w:id="60" w:name="X379b914882150b862f63ae3dc7c581bd5751b65"/>
      <w:r>
        <w:rPr>
          <w:color w:val="FF0000"/>
        </w:rPr>
        <w:t xml:space="preserve">Core Content: Infrastructure and Market Development</w:t>
      </w:r>
      <w:bookmarkEnd w:id="60"/>
    </w:p>
    <w:p>
      <w:pPr>
        <w:pStyle w:val="Heading2"/>
      </w:pPr>
      <w:bookmarkStart w:id="61" w:name="charging-infrastructure-expansion"/>
      <w:r>
        <w:rPr>
          <w:color w:val="FF0000"/>
        </w:rPr>
        <w:t xml:space="preserve">Charging Infrastructure Expansion</w:t>
      </w:r>
      <w:bookmarkEnd w:id="61"/>
    </w:p>
    <w:p>
      <w:pPr>
        <w:pStyle w:val="Normal"/>
      </w:pPr>
      <w:r>
        <w:t xml:space="preserve">The expansion of charging infrastructure is a prerequisite for mass EV adoption. Public and private investments are accelerating deployment.</w:t>
      </w:r>
    </w:p>
    <w:p>
      <w:pPr>
        <w:pStyle w:val="Heading3"/>
      </w:pPr>
      <w:bookmarkStart w:id="62" w:name="Xb982b5b7bf17dd05444d950ff06e58b5eeadcfa"/>
      <w:r>
        <w:rPr>
          <w:color w:val="FF0000"/>
        </w:rPr>
        <w:t xml:space="preserve">Table: Global Charging Infrastructure (2022-2023)</w:t>
      </w:r>
      <w:bookmarkEnd w:id="62"/>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Region</w:t>
            </w:r>
          </w:p>
        </w:tc>
        <w:tc>
          <w:tcPr>
            <w:tcBorders>
              <w:bottom w:val="single"/>
            </w:tcBorders>
            <w:vAlign w:val="bottom"/>
          </w:tcPr>
          <w:p>
            <w:pPr>
              <w:pStyle w:val="Normal"/>
              <w:jc w:val="left"/>
            </w:pPr>
            <w:r>
              <w:t xml:space="preserve">Public Charging Points</w:t>
            </w:r>
          </w:p>
        </w:tc>
        <w:tc>
          <w:tcPr>
            <w:tcBorders>
              <w:bottom w:val="single"/>
            </w:tcBorders>
            <w:vAlign w:val="bottom"/>
          </w:tcPr>
          <w:p>
            <w:pPr>
              <w:pStyle w:val="Normal"/>
              <w:jc w:val="left"/>
            </w:pPr>
            <w:r>
              <w:t xml:space="preserve">Fast Chargers</w:t>
            </w:r>
          </w:p>
        </w:tc>
        <w:tc>
          <w:tcPr>
            <w:tcBorders>
              <w:bottom w:val="single"/>
            </w:tcBorders>
            <w:vAlign w:val="bottom"/>
          </w:tcPr>
          <w:p>
            <w:pPr>
              <w:pStyle w:val="Normal"/>
              <w:jc w:val="left"/>
            </w:pPr>
            <w:r>
              <w:t xml:space="preserve">Growth Rate (YoY)</w:t>
            </w:r>
          </w:p>
        </w:tc>
      </w:tr>
      <w:tr>
        <w:tc>
          <w:p>
            <w:pPr>
              <w:pStyle w:val="Normal"/>
              <w:jc w:val="left"/>
            </w:pPr>
            <w:r>
              <w:t xml:space="preserve">China</w:t>
            </w:r>
          </w:p>
        </w:tc>
        <w:tc>
          <w:p>
            <w:pPr>
              <w:pStyle w:val="Normal"/>
              <w:jc w:val="left"/>
            </w:pPr>
            <w:r>
              <w:t xml:space="preserve">1,760,000</w:t>
            </w:r>
          </w:p>
        </w:tc>
        <w:tc>
          <w:p>
            <w:pPr>
              <w:pStyle w:val="Normal"/>
              <w:jc w:val="left"/>
            </w:pPr>
            <w:r>
              <w:t xml:space="preserve">760,000</w:t>
            </w:r>
          </w:p>
        </w:tc>
        <w:tc>
          <w:p>
            <w:pPr>
              <w:pStyle w:val="Normal"/>
              <w:jc w:val="left"/>
            </w:pPr>
            <w:r>
              <w:t xml:space="preserve">65%</w:t>
            </w:r>
          </w:p>
        </w:tc>
      </w:tr>
      <w:tr>
        <w:tc>
          <w:p>
            <w:pPr>
              <w:pStyle w:val="Normal"/>
              <w:jc w:val="left"/>
            </w:pPr>
            <w:r>
              <w:t xml:space="preserve">Europe</w:t>
            </w:r>
          </w:p>
        </w:tc>
        <w:tc>
          <w:p>
            <w:pPr>
              <w:pStyle w:val="Normal"/>
              <w:jc w:val="left"/>
            </w:pPr>
            <w:r>
              <w:t xml:space="preserve">450,000</w:t>
            </w:r>
          </w:p>
        </w:tc>
        <w:tc>
          <w:p>
            <w:pPr>
              <w:pStyle w:val="Normal"/>
              <w:jc w:val="left"/>
            </w:pPr>
            <w:r>
              <w:t xml:space="preserve">80,000</w:t>
            </w:r>
          </w:p>
        </w:tc>
        <w:tc>
          <w:p>
            <w:pPr>
              <w:pStyle w:val="Normal"/>
              <w:jc w:val="left"/>
            </w:pPr>
            <w:r>
              <w:t xml:space="preserve">55%</w:t>
            </w:r>
          </w:p>
        </w:tc>
      </w:tr>
      <w:tr>
        <w:tc>
          <w:p>
            <w:pPr>
              <w:pStyle w:val="Normal"/>
              <w:jc w:val="left"/>
            </w:pPr>
            <w:r>
              <w:t xml:space="preserve">United States</w:t>
            </w:r>
          </w:p>
        </w:tc>
        <w:tc>
          <w:p>
            <w:pPr>
              <w:pStyle w:val="Normal"/>
              <w:jc w:val="left"/>
            </w:pPr>
            <w:r>
              <w:t xml:space="preserve">140,000</w:t>
            </w:r>
          </w:p>
        </w:tc>
        <w:tc>
          <w:p>
            <w:pPr>
              <w:pStyle w:val="Normal"/>
              <w:jc w:val="left"/>
            </w:pPr>
            <w:r>
              <w:t xml:space="preserve">35,000</w:t>
            </w:r>
          </w:p>
        </w:tc>
        <w:tc>
          <w:p>
            <w:pPr>
              <w:pStyle w:val="Normal"/>
              <w:jc w:val="left"/>
            </w:pPr>
            <w:r>
              <w:t xml:space="preserve">40%</w:t>
            </w:r>
          </w:p>
        </w:tc>
      </w:tr>
      <w:tr>
        <w:tc>
          <w:p>
            <w:pPr>
              <w:pStyle w:val="Normal"/>
              <w:jc w:val="left"/>
            </w:pPr>
            <w:r>
              <w:t xml:space="preserve">Global Total</w:t>
            </w:r>
          </w:p>
        </w:tc>
        <w:tc>
          <w:p>
            <w:pPr>
              <w:pStyle w:val="Normal"/>
              <w:jc w:val="left"/>
            </w:pPr>
            <w:r>
              <w:t xml:space="preserve">2,700,000+</w:t>
            </w:r>
          </w:p>
        </w:tc>
        <w:tc>
          <w:p>
            <w:pPr>
              <w:pStyle w:val="Normal"/>
              <w:jc w:val="left"/>
            </w:pPr>
            <w:r>
              <w:t xml:space="preserve">900,000+</w:t>
            </w:r>
          </w:p>
        </w:tc>
        <w:tc>
          <w:p>
            <w:pPr>
              <w:pStyle w:val="Normal"/>
              <w:jc w:val="left"/>
            </w:pPr>
            <w:r>
              <w:t xml:space="preserve">55%</w:t>
            </w:r>
          </w:p>
        </w:tc>
      </w:tr>
    </w:tbl>
    <w:p>
      <w:pPr>
        <w:pStyle w:val="Heading3"/>
      </w:pPr>
      <w:bookmarkStart w:id="63" w:name="charging-level-classifications"/>
      <w:r>
        <w:rPr>
          <w:color w:val="FF0000"/>
        </w:rPr>
        <w:t xml:space="preserve">Charging Level Classifications</w:t>
      </w:r>
      <w:bookmarkEnd w:id="63"/>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Level</w:t>
            </w:r>
          </w:p>
        </w:tc>
        <w:tc>
          <w:tcPr>
            <w:tcBorders>
              <w:bottom w:val="single"/>
            </w:tcBorders>
            <w:vAlign w:val="bottom"/>
          </w:tcPr>
          <w:p>
            <w:pPr>
              <w:pStyle w:val="Normal"/>
              <w:jc w:val="left"/>
            </w:pPr>
            <w:r>
              <w:t xml:space="preserve">Voltage</w:t>
            </w:r>
          </w:p>
        </w:tc>
        <w:tc>
          <w:tcPr>
            <w:tcBorders>
              <w:bottom w:val="single"/>
            </w:tcBorders>
            <w:vAlign w:val="bottom"/>
          </w:tcPr>
          <w:p>
            <w:pPr>
              <w:pStyle w:val="Normal"/>
              <w:jc w:val="left"/>
            </w:pPr>
            <w:r>
              <w:t xml:space="preserve">Power</w:t>
            </w:r>
          </w:p>
        </w:tc>
        <w:tc>
          <w:tcPr>
            <w:tcBorders>
              <w:bottom w:val="single"/>
            </w:tcBorders>
            <w:vAlign w:val="bottom"/>
          </w:tcPr>
          <w:p>
            <w:pPr>
              <w:pStyle w:val="Normal"/>
              <w:jc w:val="left"/>
            </w:pPr>
            <w:r>
              <w:t xml:space="preserve">Typical Charge Time</w:t>
            </w:r>
          </w:p>
        </w:tc>
        <w:tc>
          <w:tcPr>
            <w:tcBorders>
              <w:bottom w:val="single"/>
            </w:tcBorders>
            <w:vAlign w:val="bottom"/>
          </w:tcPr>
          <w:p>
            <w:pPr>
              <w:pStyle w:val="Normal"/>
              <w:jc w:val="left"/>
            </w:pPr>
            <w:r>
              <w:t xml:space="preserve">Use Case</w:t>
            </w:r>
          </w:p>
        </w:tc>
      </w:tr>
      <w:tr>
        <w:tc>
          <w:p>
            <w:pPr>
              <w:pStyle w:val="Normal"/>
              <w:jc w:val="left"/>
            </w:pPr>
            <w:r>
              <w:t xml:space="preserve">Level 1</w:t>
            </w:r>
          </w:p>
        </w:tc>
        <w:tc>
          <w:p>
            <w:pPr>
              <w:pStyle w:val="Normal"/>
              <w:jc w:val="left"/>
            </w:pPr>
            <w:r>
              <w:t xml:space="preserve">120V AC</w:t>
            </w:r>
          </w:p>
        </w:tc>
        <w:tc>
          <w:p>
            <w:pPr>
              <w:pStyle w:val="Normal"/>
              <w:jc w:val="left"/>
            </w:pPr>
            <w:r>
              <w:t xml:space="preserve">1.4-1.9 kW</w:t>
            </w:r>
          </w:p>
        </w:tc>
        <w:tc>
          <w:p>
            <w:pPr>
              <w:pStyle w:val="Normal"/>
              <w:jc w:val="left"/>
            </w:pPr>
            <w:r>
              <w:t xml:space="preserve">40-50 hours</w:t>
            </w:r>
          </w:p>
        </w:tc>
        <w:tc>
          <w:p>
            <w:pPr>
              <w:pStyle w:val="Normal"/>
              <w:jc w:val="left"/>
            </w:pPr>
            <w:r>
              <w:t xml:space="preserve">Home overnight</w:t>
            </w:r>
          </w:p>
        </w:tc>
      </w:tr>
      <w:tr>
        <w:tc>
          <w:p>
            <w:pPr>
              <w:pStyle w:val="Normal"/>
              <w:jc w:val="left"/>
            </w:pPr>
            <w:r>
              <w:t xml:space="preserve">Level 2</w:t>
            </w:r>
          </w:p>
        </w:tc>
        <w:tc>
          <w:p>
            <w:pPr>
              <w:pStyle w:val="Normal"/>
              <w:jc w:val="left"/>
            </w:pPr>
            <w:r>
              <w:t xml:space="preserve">240V AC</w:t>
            </w:r>
          </w:p>
        </w:tc>
        <w:tc>
          <w:p>
            <w:pPr>
              <w:pStyle w:val="Normal"/>
              <w:jc w:val="left"/>
            </w:pPr>
            <w:r>
              <w:t xml:space="preserve">3.3-19.2 kW</w:t>
            </w:r>
          </w:p>
        </w:tc>
        <w:tc>
          <w:p>
            <w:pPr>
              <w:pStyle w:val="Normal"/>
              <w:jc w:val="left"/>
            </w:pPr>
            <w:r>
              <w:t xml:space="preserve">4-10 hours</w:t>
            </w:r>
          </w:p>
        </w:tc>
        <w:tc>
          <w:p>
            <w:pPr>
              <w:pStyle w:val="Normal"/>
              <w:jc w:val="left"/>
            </w:pPr>
            <w:r>
              <w:t xml:space="preserve">Home/workplace</w:t>
            </w:r>
          </w:p>
        </w:tc>
      </w:tr>
      <w:tr>
        <w:tc>
          <w:p>
            <w:pPr>
              <w:pStyle w:val="Normal"/>
              <w:jc w:val="left"/>
            </w:pPr>
            <w:r>
              <w:t xml:space="preserve">DC Fast</w:t>
            </w:r>
          </w:p>
        </w:tc>
        <w:tc>
          <w:p>
            <w:pPr>
              <w:pStyle w:val="Normal"/>
              <w:jc w:val="left"/>
            </w:pPr>
            <w:r>
              <w:t xml:space="preserve">200-1000V DC</w:t>
            </w:r>
          </w:p>
        </w:tc>
        <w:tc>
          <w:p>
            <w:pPr>
              <w:pStyle w:val="Normal"/>
              <w:jc w:val="left"/>
            </w:pPr>
            <w:r>
              <w:t xml:space="preserve">50-350 kW</w:t>
            </w:r>
          </w:p>
        </w:tc>
        <w:tc>
          <w:p>
            <w:pPr>
              <w:pStyle w:val="Normal"/>
              <w:jc w:val="left"/>
            </w:pPr>
            <w:r>
              <w:t xml:space="preserve">15-45 minutes</w:t>
            </w:r>
          </w:p>
        </w:tc>
        <w:tc>
          <w:p>
            <w:pPr>
              <w:pStyle w:val="Normal"/>
              <w:jc w:val="left"/>
            </w:pPr>
            <w:r>
              <w:t xml:space="preserve">Highway/public</w:t>
            </w:r>
          </w:p>
        </w:tc>
      </w:tr>
      <w:tr>
        <w:tc>
          <w:p>
            <w:pPr>
              <w:pStyle w:val="Normal"/>
              <w:jc w:val="left"/>
            </w:pPr>
            <w:r>
              <w:t xml:space="preserve">Ultra-Fast</w:t>
            </w:r>
          </w:p>
        </w:tc>
        <w:tc>
          <w:p>
            <w:pPr>
              <w:pStyle w:val="Normal"/>
              <w:jc w:val="left"/>
            </w:pPr>
            <w:r>
              <w:t xml:space="preserve">800-1000V DC</w:t>
            </w:r>
          </w:p>
        </w:tc>
        <w:tc>
          <w:p>
            <w:pPr>
              <w:pStyle w:val="Normal"/>
              <w:jc w:val="left"/>
            </w:pPr>
            <w:r>
              <w:t xml:space="preserve">350+ kW</w:t>
            </w:r>
          </w:p>
        </w:tc>
        <w:tc>
          <w:p>
            <w:pPr>
              <w:pStyle w:val="Normal"/>
              <w:jc w:val="left"/>
            </w:pPr>
            <w:r>
              <w:t xml:space="preserve">10-20 minutes</w:t>
            </w:r>
          </w:p>
        </w:tc>
        <w:tc>
          <w:p>
            <w:pPr>
              <w:pStyle w:val="Normal"/>
              <w:jc w:val="left"/>
            </w:pPr>
            <w:r>
              <w:t xml:space="preserve">Premium public</w:t>
            </w:r>
          </w:p>
        </w:tc>
      </w:tr>
    </w:tbl>
    <w:p>
      <w:pPr>
        <w:pStyle w:val="Heading2"/>
      </w:pPr>
      <w:bookmarkStart w:id="64" w:name="market-growth-dynamics"/>
      <w:r>
        <w:rPr>
          <w:color w:val="FF0000"/>
        </w:rPr>
        <w:t xml:space="preserve">Market Growth Dynamics</w:t>
      </w:r>
      <w:bookmarkEnd w:id="64"/>
    </w:p>
    <w:p>
      <w:pPr>
        <w:pStyle w:val="Heading3"/>
      </w:pPr>
      <w:bookmarkStart w:id="65" w:name="battery-cost-reduction"/>
      <w:r>
        <w:rPr>
          <w:color w:val="FF0000"/>
        </w:rPr>
        <w:t xml:space="preserve">Battery Cost Reduction</w:t>
      </w:r>
      <w:bookmarkEnd w:id="65"/>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Year</w:t>
            </w:r>
          </w:p>
        </w:tc>
        <w:tc>
          <w:tcPr>
            <w:tcBorders>
              <w:bottom w:val="single"/>
            </w:tcBorders>
            <w:vAlign w:val="bottom"/>
          </w:tcPr>
          <w:p>
            <w:pPr>
              <w:pStyle w:val="Normal"/>
              <w:jc w:val="left"/>
            </w:pPr>
            <w:r>
              <w:t xml:space="preserve">Average Cost ($/kWh)</w:t>
            </w:r>
          </w:p>
        </w:tc>
        <w:tc>
          <w:tcPr>
            <w:tcBorders>
              <w:bottom w:val="single"/>
            </w:tcBorders>
            <w:vAlign w:val="bottom"/>
          </w:tcPr>
          <w:p>
            <w:pPr>
              <w:pStyle w:val="Normal"/>
              <w:jc w:val="left"/>
            </w:pPr>
            <w:r>
              <w:t xml:space="preserve">Average Energy Density (Wh/kg)</w:t>
            </w:r>
          </w:p>
        </w:tc>
      </w:tr>
      <w:tr>
        <w:tc>
          <w:p>
            <w:pPr>
              <w:pStyle w:val="Normal"/>
              <w:jc w:val="left"/>
            </w:pPr>
            <w:r>
              <w:t xml:space="preserve">2010</w:t>
            </w:r>
          </w:p>
        </w:tc>
        <w:tc>
          <w:p>
            <w:pPr>
              <w:pStyle w:val="Normal"/>
              <w:jc w:val="left"/>
            </w:pPr>
            <w:r>
              <w:t xml:space="preserve">1,200</w:t>
            </w:r>
          </w:p>
        </w:tc>
        <w:tc>
          <w:p>
            <w:pPr>
              <w:pStyle w:val="Normal"/>
              <w:jc w:val="left"/>
            </w:pPr>
            <w:r>
              <w:t xml:space="preserve">100</w:t>
            </w:r>
          </w:p>
        </w:tc>
      </w:tr>
      <w:tr>
        <w:tc>
          <w:p>
            <w:pPr>
              <w:pStyle w:val="Normal"/>
              <w:jc w:val="left"/>
            </w:pPr>
            <w:r>
              <w:t xml:space="preserve">2015</w:t>
            </w:r>
          </w:p>
        </w:tc>
        <w:tc>
          <w:p>
            <w:pPr>
              <w:pStyle w:val="Normal"/>
              <w:jc w:val="left"/>
            </w:pPr>
            <w:r>
              <w:t xml:space="preserve">350</w:t>
            </w:r>
          </w:p>
        </w:tc>
        <w:tc>
          <w:p>
            <w:pPr>
              <w:pStyle w:val="Normal"/>
              <w:jc w:val="left"/>
            </w:pPr>
            <w:r>
              <w:t xml:space="preserve">180</w:t>
            </w:r>
          </w:p>
        </w:tc>
      </w:tr>
      <w:tr>
        <w:tc>
          <w:p>
            <w:pPr>
              <w:pStyle w:val="Normal"/>
              <w:jc w:val="left"/>
            </w:pPr>
            <w:r>
              <w:t xml:space="preserve">2022</w:t>
            </w:r>
          </w:p>
        </w:tc>
        <w:tc>
          <w:p>
            <w:pPr>
              <w:pStyle w:val="Normal"/>
              <w:jc w:val="left"/>
            </w:pPr>
            <w:r>
              <w:t xml:space="preserve">151</w:t>
            </w:r>
          </w:p>
        </w:tc>
        <w:tc>
          <w:p>
            <w:pPr>
              <w:pStyle w:val="Normal"/>
              <w:jc w:val="left"/>
            </w:pPr>
            <w:r>
              <w:t xml:space="preserve">270</w:t>
            </w:r>
          </w:p>
        </w:tc>
      </w:tr>
      <w:tr>
        <w:tc>
          <w:p>
            <w:pPr>
              <w:pStyle w:val="Normal"/>
              <w:jc w:val="left"/>
            </w:pPr>
            <w:r>
              <w:t xml:space="preserve">2030 (projected)</w:t>
            </w:r>
          </w:p>
        </w:tc>
        <w:tc>
          <w:p>
            <w:pPr>
              <w:pStyle w:val="Normal"/>
              <w:jc w:val="left"/>
            </w:pPr>
            <w:r>
              <w:t xml:space="preserve">&lt;60</w:t>
            </w:r>
          </w:p>
        </w:tc>
        <w:tc>
          <w:p>
            <w:pPr>
              <w:pStyle w:val="Normal"/>
              <w:jc w:val="left"/>
            </w:pPr>
            <w:r>
              <w:t xml:space="preserve">350+</w:t>
            </w:r>
          </w:p>
        </w:tc>
      </w:tr>
    </w:tbl>
    <w:p>
      <w:pPr>
        <w:pStyle w:val="Heading3"/>
      </w:pPr>
      <w:bookmarkStart w:id="66" w:name="model-proliferation"/>
      <w:r>
        <w:rPr>
          <w:color w:val="FF0000"/>
        </w:rPr>
        <w:t xml:space="preserve">Model Proliferation</w:t>
      </w:r>
      <w:bookmarkEnd w:id="66"/>
    </w:p>
    <w:p>
      <w:pPr>
        <w:pStyle w:val="Normal"/>
      </w:pPr>
      <w:r>
        <w:t xml:space="preserve">Automakers are investing billions in electrification, with many pledging to phase out ICE vehicles by 2035-2040. The market now offers:</w:t>
      </w:r>
    </w:p>
    <w:p>
      <w:pPr>
        <w:numPr>
          <w:ilvl w:val="0"/>
          <w:numId w:val="1026"/>
        </w:numPr>
        <w:pStyle w:val="Normal"/>
      </w:pPr>
      <w:r>
        <w:t xml:space="preserve">Compact cars and sedans</w:t>
      </w:r>
    </w:p>
    <w:p>
      <w:pPr>
        <w:numPr>
          <w:ilvl w:val="0"/>
          <w:numId w:val="1026"/>
        </w:numPr>
        <w:pStyle w:val="Normal"/>
      </w:pPr>
      <w:r>
        <w:t xml:space="preserve">SUVs and crossovers</w:t>
      </w:r>
    </w:p>
    <w:p>
      <w:pPr>
        <w:numPr>
          <w:ilvl w:val="0"/>
          <w:numId w:val="1026"/>
        </w:numPr>
        <w:pStyle w:val="Normal"/>
      </w:pPr>
      <w:r>
        <w:t xml:space="preserve">Pickup trucks</w:t>
      </w:r>
    </w:p>
    <w:p>
      <w:pPr>
        <w:numPr>
          <w:ilvl w:val="0"/>
          <w:numId w:val="1026"/>
        </w:numPr>
        <w:pStyle w:val="Normal"/>
      </w:pPr>
      <w:r>
        <w:t xml:space="preserve">Commercial vehicles</w:t>
      </w:r>
    </w:p>
    <w:p>
      <w:pPr>
        <w:numPr>
          <w:ilvl w:val="0"/>
          <w:numId w:val="1026"/>
        </w:numPr>
        <w:pStyle w:val="Normal"/>
      </w:pPr>
      <w:r>
        <w:t xml:space="preserve">Heavy-duty trucks and buses</w:t>
      </w:r>
    </w:p>
    <w:p>
      <w:pPr>
        <w:pStyle w:val="Heading2"/>
      </w:pPr>
      <w:bookmarkStart w:id="67" w:name="regional-market-analysis"/>
      <w:r>
        <w:rPr>
          <w:color w:val="FF0000"/>
        </w:rPr>
        <w:t xml:space="preserve">Regional Market Analysis</w:t>
      </w:r>
      <w:bookmarkEnd w:id="67"/>
    </w:p>
    <w:p>
      <w:pPr>
        <w:pStyle w:val="Heading3"/>
      </w:pPr>
      <w:bookmarkStart w:id="68" w:name="table-ev-market-share-by-country-2022"/>
      <w:r>
        <w:rPr>
          <w:color w:val="FF0000"/>
        </w:rPr>
        <w:t xml:space="preserve">Table: EV Market Share by Country (2022)</w:t>
      </w:r>
      <w:bookmarkEnd w:id="68"/>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Country</w:t>
            </w:r>
          </w:p>
        </w:tc>
        <w:tc>
          <w:tcPr>
            <w:tcBorders>
              <w:bottom w:val="single"/>
            </w:tcBorders>
            <w:vAlign w:val="bottom"/>
          </w:tcPr>
          <w:p>
            <w:pPr>
              <w:pStyle w:val="Normal"/>
              <w:jc w:val="left"/>
            </w:pPr>
            <w:r>
              <w:t xml:space="preserve">EV Market Share (%)</w:t>
            </w:r>
          </w:p>
        </w:tc>
        <w:tc>
          <w:tcPr>
            <w:tcBorders>
              <w:bottom w:val="single"/>
            </w:tcBorders>
            <w:vAlign w:val="bottom"/>
          </w:tcPr>
          <w:p>
            <w:pPr>
              <w:pStyle w:val="Normal"/>
              <w:jc w:val="left"/>
            </w:pPr>
            <w:r>
              <w:t xml:space="preserve">Total EVs Sold (2022)</w:t>
            </w:r>
          </w:p>
        </w:tc>
        <w:tc>
          <w:tcPr>
            <w:tcBorders>
              <w:bottom w:val="single"/>
            </w:tcBorders>
            <w:vAlign w:val="bottom"/>
          </w:tcPr>
          <w:p>
            <w:pPr>
              <w:pStyle w:val="Normal"/>
              <w:jc w:val="left"/>
            </w:pPr>
            <w:r>
              <w:t xml:space="preserve">Charging Points (2022)</w:t>
            </w:r>
          </w:p>
        </w:tc>
      </w:tr>
      <w:tr>
        <w:tc>
          <w:p>
            <w:pPr>
              <w:pStyle w:val="Normal"/>
              <w:jc w:val="left"/>
            </w:pPr>
            <w:r>
              <w:t xml:space="preserve">Norway</w:t>
            </w:r>
          </w:p>
        </w:tc>
        <w:tc>
          <w:p>
            <w:pPr>
              <w:pStyle w:val="Normal"/>
              <w:jc w:val="left"/>
            </w:pPr>
            <w:r>
              <w:t xml:space="preserve">79</w:t>
            </w:r>
          </w:p>
        </w:tc>
        <w:tc>
          <w:p>
            <w:pPr>
              <w:pStyle w:val="Normal"/>
              <w:jc w:val="left"/>
            </w:pPr>
            <w:r>
              <w:t xml:space="preserve">153,000</w:t>
            </w:r>
          </w:p>
        </w:tc>
        <w:tc>
          <w:p>
            <w:pPr>
              <w:pStyle w:val="Normal"/>
              <w:jc w:val="left"/>
            </w:pPr>
            <w:r>
              <w:t xml:space="preserve">20,000</w:t>
            </w:r>
          </w:p>
        </w:tc>
      </w:tr>
      <w:tr>
        <w:tc>
          <w:p>
            <w:pPr>
              <w:pStyle w:val="Normal"/>
              <w:jc w:val="left"/>
            </w:pPr>
            <w:r>
              <w:t xml:space="preserve">China</w:t>
            </w:r>
          </w:p>
        </w:tc>
        <w:tc>
          <w:p>
            <w:pPr>
              <w:pStyle w:val="Normal"/>
              <w:jc w:val="left"/>
            </w:pPr>
            <w:r>
              <w:t xml:space="preserve">29</w:t>
            </w:r>
          </w:p>
        </w:tc>
        <w:tc>
          <w:p>
            <w:pPr>
              <w:pStyle w:val="Normal"/>
              <w:jc w:val="left"/>
            </w:pPr>
            <w:r>
              <w:t xml:space="preserve">6,800,000</w:t>
            </w:r>
          </w:p>
        </w:tc>
        <w:tc>
          <w:p>
            <w:pPr>
              <w:pStyle w:val="Normal"/>
              <w:jc w:val="left"/>
            </w:pPr>
            <w:r>
              <w:t xml:space="preserve">1,760,000</w:t>
            </w:r>
          </w:p>
        </w:tc>
      </w:tr>
      <w:tr>
        <w:tc>
          <w:p>
            <w:pPr>
              <w:pStyle w:val="Normal"/>
              <w:jc w:val="left"/>
            </w:pPr>
            <w:r>
              <w:t xml:space="preserve">Germany</w:t>
            </w:r>
          </w:p>
        </w:tc>
        <w:tc>
          <w:p>
            <w:pPr>
              <w:pStyle w:val="Normal"/>
              <w:jc w:val="left"/>
            </w:pPr>
            <w:r>
              <w:t xml:space="preserve">31</w:t>
            </w:r>
          </w:p>
        </w:tc>
        <w:tc>
          <w:p>
            <w:pPr>
              <w:pStyle w:val="Normal"/>
              <w:jc w:val="left"/>
            </w:pPr>
            <w:r>
              <w:t xml:space="preserve">830,000</w:t>
            </w:r>
          </w:p>
        </w:tc>
        <w:tc>
          <w:p>
            <w:pPr>
              <w:pStyle w:val="Normal"/>
              <w:jc w:val="left"/>
            </w:pPr>
            <w:r>
              <w:t xml:space="preserve">80,000</w:t>
            </w:r>
          </w:p>
        </w:tc>
      </w:tr>
      <w:tr>
        <w:tc>
          <w:p>
            <w:pPr>
              <w:pStyle w:val="Normal"/>
              <w:jc w:val="left"/>
            </w:pPr>
            <w:r>
              <w:t xml:space="preserve">United States</w:t>
            </w:r>
          </w:p>
        </w:tc>
        <w:tc>
          <w:p>
            <w:pPr>
              <w:pStyle w:val="Normal"/>
              <w:jc w:val="left"/>
            </w:pPr>
            <w:r>
              <w:t xml:space="preserve">8</w:t>
            </w:r>
          </w:p>
        </w:tc>
        <w:tc>
          <w:p>
            <w:pPr>
              <w:pStyle w:val="Normal"/>
              <w:jc w:val="left"/>
            </w:pPr>
            <w:r>
              <w:t xml:space="preserve">918,000</w:t>
            </w:r>
          </w:p>
        </w:tc>
        <w:tc>
          <w:p>
            <w:pPr>
              <w:pStyle w:val="Normal"/>
              <w:jc w:val="left"/>
            </w:pPr>
            <w:r>
              <w:t xml:space="preserve">140,000</w:t>
            </w:r>
          </w:p>
        </w:tc>
      </w:tr>
      <w:tr>
        <w:tc>
          <w:p>
            <w:pPr>
              <w:pStyle w:val="Normal"/>
              <w:jc w:val="left"/>
            </w:pPr>
            <w:r>
              <w:t xml:space="preserve">Global</w:t>
            </w:r>
          </w:p>
        </w:tc>
        <w:tc>
          <w:p>
            <w:pPr>
              <w:pStyle w:val="Normal"/>
              <w:jc w:val="left"/>
            </w:pPr>
            <w:r>
              <w:t xml:space="preserve">14</w:t>
            </w:r>
          </w:p>
        </w:tc>
        <w:tc>
          <w:p>
            <w:pPr>
              <w:pStyle w:val="Normal"/>
              <w:jc w:val="left"/>
            </w:pPr>
            <w:r>
              <w:t xml:space="preserve">10,200,000</w:t>
            </w:r>
          </w:p>
        </w:tc>
        <w:tc>
          <w:p>
            <w:pPr>
              <w:pStyle w:val="Normal"/>
              <w:jc w:val="left"/>
            </w:pPr>
            <w:r>
              <w:t xml:space="preserve">2,700,000</w:t>
            </w:r>
          </w:p>
        </w:tc>
      </w:tr>
    </w:tbl>
    <w:p>
      <w:pPr>
        <w:pStyle w:val="Heading1"/>
      </w:pPr>
      <w:bookmarkStart w:id="69" w:name="core-content-societal-and-health-impacts"/>
      <w:r>
        <w:rPr>
          <w:color w:val="FF0000"/>
        </w:rPr>
        <w:t xml:space="preserve">Core Content: Societal and Health Impacts</w:t>
      </w:r>
      <w:bookmarkEnd w:id="69"/>
    </w:p>
    <w:p>
      <w:pPr>
        <w:pStyle w:val="Heading2"/>
      </w:pPr>
      <w:bookmarkStart w:id="70" w:name="air-quality-improvements"/>
      <w:r>
        <w:rPr>
          <w:color w:val="FF0000"/>
        </w:rPr>
        <w:t xml:space="preserve">Air Quality Improvements</w:t>
      </w:r>
      <w:bookmarkEnd w:id="70"/>
    </w:p>
    <w:p>
      <w:pPr>
        <w:pStyle w:val="Normal"/>
      </w:pPr>
      <w:r>
        <w:t xml:space="preserve">Beyond climate benefits, EVs contribute to improved public health by reducing air pollution, especially in densely populated urban areas.</w:t>
      </w:r>
    </w:p>
    <w:p>
      <w:pPr>
        <w:pStyle w:val="BodyText"/>
      </w:pPr>
      <w:r>
        <w:rPr>
          <w:b/>
        </w:rPr>
        <w:t xml:space="preserve">Health Statistics:</w:t>
      </w:r>
    </w:p>
    <w:p>
      <w:pPr>
        <w:numPr>
          <w:ilvl w:val="0"/>
          <w:numId w:val="1027"/>
        </w:numPr>
        <w:pStyle w:val="Normal"/>
      </w:pPr>
      <w:r>
        <w:t xml:space="preserve">The World Health Organization estimates air pollution causes 4.2 million premature deaths annually</w:t>
      </w:r>
    </w:p>
    <w:p>
      <w:pPr>
        <w:numPr>
          <w:ilvl w:val="0"/>
          <w:numId w:val="1027"/>
        </w:numPr>
        <w:pStyle w:val="Normal"/>
      </w:pPr>
      <w:r>
        <w:t xml:space="preserve">Urban areas with high vehicle density experience the worst health outcomes</w:t>
      </w:r>
    </w:p>
    <w:p>
      <w:pPr>
        <w:numPr>
          <w:ilvl w:val="0"/>
          <w:numId w:val="1027"/>
        </w:numPr>
        <w:pStyle w:val="Normal"/>
      </w:pPr>
      <w:r>
        <w:t xml:space="preserve">Children, elderly, and those with respiratory conditions are most vulnerable</w:t>
      </w:r>
    </w:p>
    <w:p>
      <w:pPr>
        <w:pStyle w:val="Normal"/>
      </w:pPr>
      <w:r>
        <w:rPr>
          <w:b/>
        </w:rPr>
        <w:t xml:space="preserve">Pollutant Reductions from EV Adoption:</w:t>
      </w:r>
    </w:p>
    <w:p>
      <w:pPr>
        <w:numPr>
          <w:ilvl w:val="0"/>
          <w:numId w:val="1028"/>
        </w:numPr>
        <w:pStyle w:val="Normal"/>
      </w:pPr>
      <w:r>
        <w:t xml:space="preserve">NOx reductions of 80-100% at point of use</w:t>
      </w:r>
    </w:p>
    <w:p>
      <w:pPr>
        <w:numPr>
          <w:ilvl w:val="0"/>
          <w:numId w:val="1028"/>
        </w:numPr>
        <w:pStyle w:val="Normal"/>
      </w:pPr>
      <w:r>
        <w:t xml:space="preserve">Particulate matter (PM2.5 and PM10) reductions</w:t>
      </w:r>
    </w:p>
    <w:p>
      <w:pPr>
        <w:numPr>
          <w:ilvl w:val="0"/>
          <w:numId w:val="1028"/>
        </w:numPr>
        <w:pStyle w:val="Normal"/>
      </w:pPr>
      <w:r>
        <w:t xml:space="preserve">Volatile organic compound elimination</w:t>
      </w:r>
    </w:p>
    <w:p>
      <w:pPr>
        <w:numPr>
          <w:ilvl w:val="0"/>
          <w:numId w:val="1028"/>
        </w:numPr>
        <w:pStyle w:val="Normal"/>
      </w:pPr>
      <w:r>
        <w:t xml:space="preserve">Ground-level ozone precursor reduction</w:t>
      </w:r>
    </w:p>
    <w:p>
      <w:pPr>
        <w:pStyle w:val="Heading3"/>
      </w:pPr>
      <w:bookmarkStart w:id="71" w:name="Xb53418da66e0d1aa7f4e5e22ce55b343bccb304"/>
      <w:r>
        <w:rPr>
          <w:color w:val="FF0000"/>
        </w:rPr>
        <w:t xml:space="preserve">Table: Health Impacts of Vehicle Emissions</w:t>
      </w:r>
      <w:bookmarkEnd w:id="71"/>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Pollutant</w:t>
            </w:r>
          </w:p>
        </w:tc>
        <w:tc>
          <w:tcPr>
            <w:tcBorders>
              <w:bottom w:val="single"/>
            </w:tcBorders>
            <w:vAlign w:val="bottom"/>
          </w:tcPr>
          <w:p>
            <w:pPr>
              <w:pStyle w:val="Normal"/>
              <w:jc w:val="left"/>
            </w:pPr>
            <w:r>
              <w:t xml:space="preserve">Health Effects</w:t>
            </w:r>
          </w:p>
        </w:tc>
        <w:tc>
          <w:tcPr>
            <w:tcBorders>
              <w:bottom w:val="single"/>
            </w:tcBorders>
            <w:vAlign w:val="bottom"/>
          </w:tcPr>
          <w:p>
            <w:pPr>
              <w:pStyle w:val="Normal"/>
              <w:jc w:val="left"/>
            </w:pPr>
            <w:r>
              <w:t xml:space="preserve">EV Reduction Potential</w:t>
            </w:r>
          </w:p>
        </w:tc>
      </w:tr>
      <w:tr>
        <w:tc>
          <w:p>
            <w:pPr>
              <w:pStyle w:val="Normal"/>
              <w:jc w:val="left"/>
            </w:pPr>
            <w:r>
              <w:t xml:space="preserve">NOx</w:t>
            </w:r>
          </w:p>
        </w:tc>
        <w:tc>
          <w:p>
            <w:pPr>
              <w:pStyle w:val="Normal"/>
              <w:jc w:val="left"/>
            </w:pPr>
            <w:r>
              <w:t xml:space="preserve">Respiratory disease, asthma</w:t>
            </w:r>
          </w:p>
        </w:tc>
        <w:tc>
          <w:p>
            <w:pPr>
              <w:pStyle w:val="Normal"/>
              <w:jc w:val="left"/>
            </w:pPr>
            <w:r>
              <w:t xml:space="preserve">100% (at tailpipe)</w:t>
            </w:r>
          </w:p>
        </w:tc>
      </w:tr>
      <w:tr>
        <w:tc>
          <w:p>
            <w:pPr>
              <w:pStyle w:val="Normal"/>
              <w:jc w:val="left"/>
            </w:pPr>
            <w:r>
              <w:t xml:space="preserve">PM2.5</w:t>
            </w:r>
          </w:p>
        </w:tc>
        <w:tc>
          <w:p>
            <w:pPr>
              <w:pStyle w:val="Normal"/>
              <w:jc w:val="left"/>
            </w:pPr>
            <w:r>
              <w:t xml:space="preserve">Cardiovascular disease, lung cancer</w:t>
            </w:r>
          </w:p>
        </w:tc>
        <w:tc>
          <w:p>
            <w:pPr>
              <w:pStyle w:val="Normal"/>
              <w:jc w:val="left"/>
            </w:pPr>
            <w:r>
              <w:t xml:space="preserve">70-90%</w:t>
            </w:r>
          </w:p>
        </w:tc>
      </w:tr>
      <w:tr>
        <w:tc>
          <w:p>
            <w:pPr>
              <w:pStyle w:val="Normal"/>
              <w:jc w:val="left"/>
            </w:pPr>
            <w:r>
              <w:t xml:space="preserve">CO</w:t>
            </w:r>
          </w:p>
        </w:tc>
        <w:tc>
          <w:p>
            <w:pPr>
              <w:pStyle w:val="Normal"/>
              <w:jc w:val="left"/>
            </w:pPr>
            <w:r>
              <w:t xml:space="preserve">Reduced oxygen delivery, heart disease</w:t>
            </w:r>
          </w:p>
        </w:tc>
        <w:tc>
          <w:p>
            <w:pPr>
              <w:pStyle w:val="Normal"/>
              <w:jc w:val="left"/>
            </w:pPr>
            <w:r>
              <w:t xml:space="preserve">100% (at tailpipe)</w:t>
            </w:r>
          </w:p>
        </w:tc>
      </w:tr>
      <w:tr>
        <w:tc>
          <w:p>
            <w:pPr>
              <w:pStyle w:val="Normal"/>
              <w:jc w:val="left"/>
            </w:pPr>
            <w:r>
              <w:t xml:space="preserve">VOCs</w:t>
            </w:r>
          </w:p>
        </w:tc>
        <w:tc>
          <w:p>
            <w:pPr>
              <w:pStyle w:val="Normal"/>
              <w:jc w:val="left"/>
            </w:pPr>
            <w:r>
              <w:t xml:space="preserve">Cancer, neurological effects</w:t>
            </w:r>
          </w:p>
        </w:tc>
        <w:tc>
          <w:p>
            <w:pPr>
              <w:pStyle w:val="Normal"/>
              <w:jc w:val="left"/>
            </w:pPr>
            <w:r>
              <w:t xml:space="preserve">100% (at tailpipe)</w:t>
            </w:r>
          </w:p>
        </w:tc>
      </w:tr>
      <w:tr>
        <w:tc>
          <w:p>
            <w:pPr>
              <w:pStyle w:val="Normal"/>
              <w:jc w:val="left"/>
            </w:pPr>
            <w:r>
              <w:t xml:space="preserve">Ground-level ozone</w:t>
            </w:r>
          </w:p>
        </w:tc>
        <w:tc>
          <w:p>
            <w:pPr>
              <w:pStyle w:val="Normal"/>
              <w:jc w:val="left"/>
            </w:pPr>
            <w:r>
              <w:t xml:space="preserve">Respiratory inflammation</w:t>
            </w:r>
          </w:p>
        </w:tc>
        <w:tc>
          <w:p>
            <w:pPr>
              <w:pStyle w:val="Normal"/>
              <w:jc w:val="left"/>
            </w:pPr>
            <w:r>
              <w:t xml:space="preserve">Significant reduction</w:t>
            </w:r>
          </w:p>
        </w:tc>
      </w:tr>
    </w:tbl>
    <w:p>
      <w:pPr>
        <w:pStyle w:val="Heading2"/>
      </w:pPr>
      <w:bookmarkStart w:id="72" w:name="economic-health-benefits"/>
      <w:r>
        <w:rPr>
          <w:color w:val="FF0000"/>
        </w:rPr>
        <w:t xml:space="preserve">Economic Health Benefits</w:t>
      </w:r>
      <w:bookmarkEnd w:id="72"/>
    </w:p>
    <w:p>
      <w:pPr>
        <w:pStyle w:val="Normal"/>
      </w:pPr>
      <w:r>
        <w:t xml:space="preserve">Transitioning to EVs can lead to:</w:t>
      </w:r>
    </w:p>
    <w:p>
      <w:pPr>
        <w:numPr>
          <w:ilvl w:val="0"/>
          <w:numId w:val="1029"/>
        </w:numPr>
        <w:pStyle w:val="Normal"/>
      </w:pPr>
      <w:r>
        <w:t xml:space="preserve">Reduced healthcare costs from air pollution-related illnesses</w:t>
      </w:r>
    </w:p>
    <w:p>
      <w:pPr>
        <w:numPr>
          <w:ilvl w:val="0"/>
          <w:numId w:val="1029"/>
        </w:numPr>
        <w:pStyle w:val="Normal"/>
      </w:pPr>
      <w:r>
        <w:t xml:space="preserve">Decreased lost productivity from illness</w:t>
      </w:r>
    </w:p>
    <w:p>
      <w:pPr>
        <w:numPr>
          <w:ilvl w:val="0"/>
          <w:numId w:val="1029"/>
        </w:numPr>
        <w:pStyle w:val="Normal"/>
      </w:pPr>
      <w:r>
        <w:t xml:space="preserve">Lower environmental remediation costs</w:t>
      </w:r>
    </w:p>
    <w:p>
      <w:pPr>
        <w:numPr>
          <w:ilvl w:val="0"/>
          <w:numId w:val="1029"/>
        </w:numPr>
        <w:pStyle w:val="Normal"/>
      </w:pPr>
      <w:r>
        <w:t xml:space="preserve">Improved quality of life in urban areas</w:t>
      </w:r>
    </w:p>
    <w:p>
      <w:pPr>
        <w:pStyle w:val="Heading2"/>
      </w:pPr>
      <w:bookmarkStart w:id="73" w:name="noise-pollution-reduction"/>
      <w:r>
        <w:rPr>
          <w:color w:val="FF0000"/>
        </w:rPr>
        <w:t xml:space="preserve">Noise Pollution Reduction</w:t>
      </w:r>
      <w:bookmarkEnd w:id="73"/>
    </w:p>
    <w:p>
      <w:pPr>
        <w:pStyle w:val="Normal"/>
      </w:pPr>
      <w:r>
        <w:t xml:space="preserve">Electric motors are significantly quieter than combustion engines, contributing to:</w:t>
      </w:r>
    </w:p>
    <w:p>
      <w:pPr>
        <w:numPr>
          <w:ilvl w:val="0"/>
          <w:numId w:val="1030"/>
        </w:numPr>
        <w:pStyle w:val="Normal"/>
      </w:pPr>
      <w:r>
        <w:t xml:space="preserve">Reduced urban noise levels</w:t>
      </w:r>
    </w:p>
    <w:p>
      <w:pPr>
        <w:numPr>
          <w:ilvl w:val="0"/>
          <w:numId w:val="1030"/>
        </w:numPr>
        <w:pStyle w:val="Normal"/>
      </w:pPr>
      <w:r>
        <w:t xml:space="preserve">Improved sleep quality for residents near roads</w:t>
      </w:r>
    </w:p>
    <w:p>
      <w:pPr>
        <w:numPr>
          <w:ilvl w:val="0"/>
          <w:numId w:val="1030"/>
        </w:numPr>
        <w:pStyle w:val="Normal"/>
      </w:pPr>
      <w:r>
        <w:t xml:space="preserve">Decreased stress-related health issues</w:t>
      </w:r>
    </w:p>
    <w:p>
      <w:pPr>
        <w:numPr>
          <w:ilvl w:val="0"/>
          <w:numId w:val="1030"/>
        </w:numPr>
        <w:pStyle w:val="Normal"/>
      </w:pPr>
      <w:r>
        <w:t xml:space="preserve">Better quality of life in dense urban environments</w:t>
      </w:r>
    </w:p>
    <w:p>
      <w:pPr>
        <w:pStyle w:val="Heading3"/>
      </w:pPr>
      <w:bookmarkStart w:id="74" w:name="pedestrian-safety-considerations"/>
      <w:r>
        <w:rPr>
          <w:color w:val="FF0000"/>
        </w:rPr>
        <w:t xml:space="preserve">Pedestrian Safety Considerations</w:t>
      </w:r>
      <w:bookmarkEnd w:id="74"/>
    </w:p>
    <w:p>
      <w:pPr>
        <w:pStyle w:val="Normal"/>
      </w:pPr>
      <w:r>
        <w:t xml:space="preserve">At low speeds, EVs can be too quiet, posing risks to pedestrians and cyclists. Regulations now require:</w:t>
      </w:r>
    </w:p>
    <w:p>
      <w:pPr>
        <w:numPr>
          <w:ilvl w:val="0"/>
          <w:numId w:val="1031"/>
        </w:numPr>
        <w:pStyle w:val="Normal"/>
      </w:pPr>
      <w:r>
        <w:t xml:space="preserve">Acoustic Vehicle Alerting Systems (AVAS)</w:t>
      </w:r>
    </w:p>
    <w:p>
      <w:pPr>
        <w:numPr>
          <w:ilvl w:val="0"/>
          <w:numId w:val="1031"/>
        </w:numPr>
        <w:pStyle w:val="Normal"/>
      </w:pPr>
      <w:r>
        <w:t xml:space="preserve">Minimum sound levels at speeds below 20 km/h</w:t>
      </w:r>
    </w:p>
    <w:p>
      <w:pPr>
        <w:numPr>
          <w:ilvl w:val="0"/>
          <w:numId w:val="1031"/>
        </w:numPr>
        <w:pStyle w:val="Normal"/>
      </w:pPr>
      <w:r>
        <w:t xml:space="preserve">Distinctive sounds for vehicle approach warning</w:t>
      </w:r>
    </w:p>
    <w:p>
      <w:pPr>
        <w:pStyle w:val="Heading1"/>
      </w:pPr>
      <w:bookmarkStart w:id="75" w:name="data-statistics-and-analysis"/>
      <w:r>
        <w:rPr>
          <w:color w:val="FF0000"/>
        </w:rPr>
        <w:t xml:space="preserve">Data, Statistics, and Analysis</w:t>
      </w:r>
      <w:bookmarkEnd w:id="75"/>
    </w:p>
    <w:p>
      <w:pPr>
        <w:pStyle w:val="Heading2"/>
      </w:pPr>
      <w:bookmarkStart w:id="76" w:name="global-ev-market-growth"/>
      <w:r>
        <w:rPr>
          <w:color w:val="FF0000"/>
        </w:rPr>
        <w:t xml:space="preserve">Global EV Market Growth</w:t>
      </w:r>
      <w:bookmarkEnd w:id="76"/>
    </w:p>
    <w:p>
      <w:pPr>
        <w:pStyle w:val="Normal"/>
      </w:pPr>
      <w:r>
        <w:rPr>
          <w:b/>
        </w:rPr>
        <w:t xml:space="preserve">Key Statistics (2022-2023):</w:t>
      </w:r>
    </w:p>
    <w:p>
      <w:pPr>
        <w:numPr>
          <w:ilvl w:val="0"/>
          <w:numId w:val="1032"/>
        </w:numPr>
        <w:pStyle w:val="Normal"/>
      </w:pPr>
      <w:r>
        <w:t xml:space="preserve">Global EV stock: Over 26 million (IEA, 2023)</w:t>
      </w:r>
    </w:p>
    <w:p>
      <w:pPr>
        <w:numPr>
          <w:ilvl w:val="0"/>
          <w:numId w:val="1032"/>
        </w:numPr>
        <w:pStyle w:val="Normal"/>
      </w:pPr>
      <w:r>
        <w:t xml:space="preserve">Annual EV sales (2022): 10.2 million (14% of all new car sales)</w:t>
      </w:r>
    </w:p>
    <w:p>
      <w:pPr>
        <w:numPr>
          <w:ilvl w:val="0"/>
          <w:numId w:val="1032"/>
        </w:numPr>
        <w:pStyle w:val="Normal"/>
      </w:pPr>
      <w:r>
        <w:t xml:space="preserve">Projected EV sales (2030): 40-45 million (IEA, 2023)</w:t>
      </w:r>
    </w:p>
    <w:p>
      <w:pPr>
        <w:numPr>
          <w:ilvl w:val="0"/>
          <w:numId w:val="1032"/>
        </w:numPr>
        <w:pStyle w:val="Normal"/>
      </w:pPr>
      <w:r>
        <w:t xml:space="preserve">EV market CAGR (2020-2025): 25%+</w:t>
      </w:r>
    </w:p>
    <w:p>
      <w:pPr>
        <w:pStyle w:val="Heading3"/>
      </w:pPr>
      <w:bookmarkStart w:id="77" w:name="table-global-ev-sales-growth-trajectory"/>
      <w:r>
        <w:rPr>
          <w:color w:val="FF0000"/>
        </w:rPr>
        <w:t xml:space="preserve">Table: Global EV Sales Growth Trajectory</w:t>
      </w:r>
      <w:bookmarkEnd w:id="77"/>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Year</w:t>
            </w:r>
          </w:p>
        </w:tc>
        <w:tc>
          <w:tcPr>
            <w:tcBorders>
              <w:bottom w:val="single"/>
            </w:tcBorders>
            <w:vAlign w:val="bottom"/>
          </w:tcPr>
          <w:p>
            <w:pPr>
              <w:pStyle w:val="Normal"/>
              <w:jc w:val="left"/>
            </w:pPr>
            <w:r>
              <w:t xml:space="preserve">Global EV Sales (millions)</w:t>
            </w:r>
          </w:p>
        </w:tc>
        <w:tc>
          <w:tcPr>
            <w:tcBorders>
              <w:bottom w:val="single"/>
            </w:tcBorders>
            <w:vAlign w:val="bottom"/>
          </w:tcPr>
          <w:p>
            <w:pPr>
              <w:pStyle w:val="Normal"/>
              <w:jc w:val="left"/>
            </w:pPr>
            <w:r>
              <w:t xml:space="preserve">Market Share (%)</w:t>
            </w:r>
          </w:p>
        </w:tc>
        <w:tc>
          <w:tcPr>
            <w:tcBorders>
              <w:bottom w:val="single"/>
            </w:tcBorders>
            <w:vAlign w:val="bottom"/>
          </w:tcPr>
          <w:p>
            <w:pPr>
              <w:pStyle w:val="Normal"/>
              <w:jc w:val="left"/>
            </w:pPr>
            <w:r>
              <w:t xml:space="preserve">YoY Growth</w:t>
            </w:r>
          </w:p>
        </w:tc>
      </w:tr>
      <w:tr>
        <w:tc>
          <w:p>
            <w:pPr>
              <w:pStyle w:val="Normal"/>
              <w:jc w:val="left"/>
            </w:pPr>
            <w:r>
              <w:t xml:space="preserve">2018</w:t>
            </w:r>
          </w:p>
        </w:tc>
        <w:tc>
          <w:p>
            <w:pPr>
              <w:pStyle w:val="Normal"/>
              <w:jc w:val="left"/>
            </w:pPr>
            <w:r>
              <w:t xml:space="preserve">2.1</w:t>
            </w:r>
          </w:p>
        </w:tc>
        <w:tc>
          <w:p>
            <w:pPr>
              <w:pStyle w:val="Normal"/>
              <w:jc w:val="left"/>
            </w:pPr>
            <w:r>
              <w:t xml:space="preserve">2.4%</w:t>
            </w:r>
          </w:p>
        </w:tc>
        <w:tc>
          <w:p>
            <w:pPr>
              <w:pStyle w:val="Normal"/>
              <w:jc w:val="left"/>
            </w:pPr>
            <w:r>
              <w:t xml:space="preserve">64%</w:t>
            </w:r>
          </w:p>
        </w:tc>
      </w:tr>
      <w:tr>
        <w:tc>
          <w:p>
            <w:pPr>
              <w:pStyle w:val="Normal"/>
              <w:jc w:val="left"/>
            </w:pPr>
            <w:r>
              <w:t xml:space="preserve">2019</w:t>
            </w:r>
          </w:p>
        </w:tc>
        <w:tc>
          <w:p>
            <w:pPr>
              <w:pStyle w:val="Normal"/>
              <w:jc w:val="left"/>
            </w:pPr>
            <w:r>
              <w:t xml:space="preserve">2.3</w:t>
            </w:r>
          </w:p>
        </w:tc>
        <w:tc>
          <w:p>
            <w:pPr>
              <w:pStyle w:val="Normal"/>
              <w:jc w:val="left"/>
            </w:pPr>
            <w:r>
              <w:t xml:space="preserve">2.5%</w:t>
            </w:r>
          </w:p>
        </w:tc>
        <w:tc>
          <w:p>
            <w:pPr>
              <w:pStyle w:val="Normal"/>
              <w:jc w:val="left"/>
            </w:pPr>
            <w:r>
              <w:t xml:space="preserve">9%</w:t>
            </w:r>
          </w:p>
        </w:tc>
      </w:tr>
      <w:tr>
        <w:tc>
          <w:p>
            <w:pPr>
              <w:pStyle w:val="Normal"/>
              <w:jc w:val="left"/>
            </w:pPr>
            <w:r>
              <w:t xml:space="preserve">2020</w:t>
            </w:r>
          </w:p>
        </w:tc>
        <w:tc>
          <w:p>
            <w:pPr>
              <w:pStyle w:val="Normal"/>
              <w:jc w:val="left"/>
            </w:pPr>
            <w:r>
              <w:t xml:space="preserve">3.2</w:t>
            </w:r>
          </w:p>
        </w:tc>
        <w:tc>
          <w:p>
            <w:pPr>
              <w:pStyle w:val="Normal"/>
              <w:jc w:val="left"/>
            </w:pPr>
            <w:r>
              <w:t xml:space="preserve">4.2%</w:t>
            </w:r>
          </w:p>
        </w:tc>
        <w:tc>
          <w:p>
            <w:pPr>
              <w:pStyle w:val="Normal"/>
              <w:jc w:val="left"/>
            </w:pPr>
            <w:r>
              <w:t xml:space="preserve">41%</w:t>
            </w:r>
          </w:p>
        </w:tc>
      </w:tr>
      <w:tr>
        <w:tc>
          <w:p>
            <w:pPr>
              <w:pStyle w:val="Normal"/>
              <w:jc w:val="left"/>
            </w:pPr>
            <w:r>
              <w:t xml:space="preserve">2021</w:t>
            </w:r>
          </w:p>
        </w:tc>
        <w:tc>
          <w:p>
            <w:pPr>
              <w:pStyle w:val="Normal"/>
              <w:jc w:val="left"/>
            </w:pPr>
            <w:r>
              <w:t xml:space="preserve">6.8</w:t>
            </w:r>
          </w:p>
        </w:tc>
        <w:tc>
          <w:p>
            <w:pPr>
              <w:pStyle w:val="Normal"/>
              <w:jc w:val="left"/>
            </w:pPr>
            <w:r>
              <w:t xml:space="preserve">8.3%</w:t>
            </w:r>
          </w:p>
        </w:tc>
        <w:tc>
          <w:p>
            <w:pPr>
              <w:pStyle w:val="Normal"/>
              <w:jc w:val="left"/>
            </w:pPr>
            <w:r>
              <w:t xml:space="preserve">108%</w:t>
            </w:r>
          </w:p>
        </w:tc>
      </w:tr>
      <w:tr>
        <w:tc>
          <w:p>
            <w:pPr>
              <w:pStyle w:val="Normal"/>
              <w:jc w:val="left"/>
            </w:pPr>
            <w:r>
              <w:t xml:space="preserve">2022</w:t>
            </w:r>
          </w:p>
        </w:tc>
        <w:tc>
          <w:p>
            <w:pPr>
              <w:pStyle w:val="Normal"/>
              <w:jc w:val="left"/>
            </w:pPr>
            <w:r>
              <w:t xml:space="preserve">10.2</w:t>
            </w:r>
          </w:p>
        </w:tc>
        <w:tc>
          <w:p>
            <w:pPr>
              <w:pStyle w:val="Normal"/>
              <w:jc w:val="left"/>
            </w:pPr>
            <w:r>
              <w:t xml:space="preserve">14%</w:t>
            </w:r>
          </w:p>
        </w:tc>
        <w:tc>
          <w:p>
            <w:pPr>
              <w:pStyle w:val="Normal"/>
              <w:jc w:val="left"/>
            </w:pPr>
            <w:r>
              <w:t xml:space="preserve">55%</w:t>
            </w:r>
          </w:p>
        </w:tc>
      </w:tr>
      <w:tr>
        <w:tc>
          <w:p>
            <w:pPr>
              <w:pStyle w:val="Normal"/>
              <w:jc w:val="left"/>
            </w:pPr>
            <w:r>
              <w:t xml:space="preserve">2025 (projected)</w:t>
            </w:r>
          </w:p>
        </w:tc>
        <w:tc>
          <w:p>
            <w:pPr>
              <w:pStyle w:val="Normal"/>
              <w:jc w:val="left"/>
            </w:pPr>
            <w:r>
              <w:t xml:space="preserve">20-25</w:t>
            </w:r>
          </w:p>
        </w:tc>
        <w:tc>
          <w:p>
            <w:pPr>
              <w:pStyle w:val="Normal"/>
              <w:jc w:val="left"/>
            </w:pPr>
            <w:r>
              <w:t xml:space="preserve">25-30%</w:t>
            </w:r>
          </w:p>
        </w:tc>
        <w:tc>
          <w:p>
            <w:pPr>
              <w:pStyle w:val="Normal"/>
              <w:jc w:val="left"/>
            </w:pPr>
            <w:r>
              <w:t xml:space="preserve">-</w:t>
            </w:r>
          </w:p>
        </w:tc>
      </w:tr>
      <w:tr>
        <w:tc>
          <w:p>
            <w:pPr>
              <w:pStyle w:val="Normal"/>
              <w:jc w:val="left"/>
            </w:pPr>
            <w:r>
              <w:t xml:space="preserve">2030 (projected)</w:t>
            </w:r>
          </w:p>
        </w:tc>
        <w:tc>
          <w:p>
            <w:pPr>
              <w:pStyle w:val="Normal"/>
              <w:jc w:val="left"/>
            </w:pPr>
            <w:r>
              <w:t xml:space="preserve">40-45</w:t>
            </w:r>
          </w:p>
        </w:tc>
        <w:tc>
          <w:p>
            <w:pPr>
              <w:pStyle w:val="Normal"/>
              <w:jc w:val="left"/>
            </w:pPr>
            <w:r>
              <w:t xml:space="preserve">50-60%</w:t>
            </w:r>
          </w:p>
        </w:tc>
        <w:tc>
          <w:p>
            <w:pPr>
              <w:pStyle w:val="Normal"/>
              <w:jc w:val="left"/>
            </w:pPr>
            <w:r>
              <w:t xml:space="preserve">-</w:t>
            </w:r>
          </w:p>
        </w:tc>
      </w:tr>
    </w:tbl>
    <w:p>
      <w:pPr>
        <w:pStyle w:val="Heading2"/>
      </w:pPr>
      <w:bookmarkStart w:id="78" w:name="carbon-breakeven-analysis"/>
      <w:r>
        <w:rPr>
          <w:color w:val="FF0000"/>
        </w:rPr>
        <w:t xml:space="preserve">Carbon Breakeven Analysis</w:t>
      </w:r>
      <w:bookmarkEnd w:id="78"/>
    </w:p>
    <w:p>
      <w:pPr>
        <w:pStyle w:val="Normal"/>
      </w:pPr>
      <w:r>
        <w:t xml:space="preserve">The environmental advantage of EVs is realized during the operational phase. The distance required to offset the initial manufacturing carbon debt varies based on grid carbon intensity.</w:t>
      </w:r>
    </w:p>
    <w:p>
      <w:pPr>
        <w:pStyle w:val="Heading3"/>
      </w:pPr>
      <w:bookmarkStart w:id="79" w:name="X79fde0e03f86a98db3c91d2bb4c05eef3c56b5d"/>
      <w:r>
        <w:rPr>
          <w:color w:val="FF0000"/>
        </w:rPr>
        <w:t xml:space="preserve">Table: Carbon Breakeven Distance by Region</w:t>
      </w:r>
      <w:bookmarkEnd w:id="79"/>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Region</w:t>
            </w:r>
          </w:p>
        </w:tc>
        <w:tc>
          <w:tcPr>
            <w:tcBorders>
              <w:bottom w:val="single"/>
            </w:tcBorders>
            <w:vAlign w:val="bottom"/>
          </w:tcPr>
          <w:p>
            <w:pPr>
              <w:pStyle w:val="Normal"/>
              <w:jc w:val="left"/>
            </w:pPr>
            <w:r>
              <w:t xml:space="preserve">Grid Carbon Intensity</w:t>
            </w:r>
          </w:p>
        </w:tc>
        <w:tc>
          <w:tcPr>
            <w:tcBorders>
              <w:bottom w:val="single"/>
            </w:tcBorders>
            <w:vAlign w:val="bottom"/>
          </w:tcPr>
          <w:p>
            <w:pPr>
              <w:pStyle w:val="Normal"/>
              <w:jc w:val="left"/>
            </w:pPr>
            <w:r>
              <w:t xml:space="preserve">Breakeven Distance</w:t>
            </w:r>
          </w:p>
        </w:tc>
        <w:tc>
          <w:tcPr>
            <w:tcBorders>
              <w:bottom w:val="single"/>
            </w:tcBorders>
            <w:vAlign w:val="bottom"/>
          </w:tcPr>
          <w:p>
            <w:pPr>
              <w:pStyle w:val="Normal"/>
              <w:jc w:val="left"/>
            </w:pPr>
            <w:r>
              <w:t xml:space="preserve">Years of Driving</w:t>
            </w:r>
          </w:p>
        </w:tc>
      </w:tr>
      <w:tr>
        <w:tc>
          <w:p>
            <w:pPr>
              <w:pStyle w:val="Normal"/>
              <w:jc w:val="left"/>
            </w:pPr>
            <w:r>
              <w:t xml:space="preserve">Norway</w:t>
            </w:r>
          </w:p>
        </w:tc>
        <w:tc>
          <w:p>
            <w:pPr>
              <w:pStyle w:val="Normal"/>
              <w:jc w:val="left"/>
            </w:pPr>
            <w:r>
              <w:t xml:space="preserve">20 g CO2/kWh</w:t>
            </w:r>
          </w:p>
        </w:tc>
        <w:tc>
          <w:p>
            <w:pPr>
              <w:pStyle w:val="Normal"/>
              <w:jc w:val="left"/>
            </w:pPr>
            <w:r>
              <w:t xml:space="preserve">15,000 km</w:t>
            </w:r>
          </w:p>
        </w:tc>
        <w:tc>
          <w:p>
            <w:pPr>
              <w:pStyle w:val="Normal"/>
              <w:jc w:val="left"/>
            </w:pPr>
            <w:r>
              <w:t xml:space="preserve">&lt;1 year</w:t>
            </w:r>
          </w:p>
        </w:tc>
      </w:tr>
      <w:tr>
        <w:tc>
          <w:p>
            <w:pPr>
              <w:pStyle w:val="Normal"/>
              <w:jc w:val="left"/>
            </w:pPr>
            <w:r>
              <w:t xml:space="preserve">France</w:t>
            </w:r>
          </w:p>
        </w:tc>
        <w:tc>
          <w:p>
            <w:pPr>
              <w:pStyle w:val="Normal"/>
              <w:jc w:val="left"/>
            </w:pPr>
            <w:r>
              <w:t xml:space="preserve">60 g CO2/kWh</w:t>
            </w:r>
          </w:p>
        </w:tc>
        <w:tc>
          <w:p>
            <w:pPr>
              <w:pStyle w:val="Normal"/>
              <w:jc w:val="left"/>
            </w:pPr>
            <w:r>
              <w:t xml:space="preserve">25,000 km</w:t>
            </w:r>
          </w:p>
        </w:tc>
        <w:tc>
          <w:p>
            <w:pPr>
              <w:pStyle w:val="Normal"/>
              <w:jc w:val="left"/>
            </w:pPr>
            <w:r>
              <w:t xml:space="preserve">~1 year</w:t>
            </w:r>
          </w:p>
        </w:tc>
      </w:tr>
      <w:tr>
        <w:tc>
          <w:p>
            <w:pPr>
              <w:pStyle w:val="Normal"/>
              <w:jc w:val="left"/>
            </w:pPr>
            <w:r>
              <w:t xml:space="preserve">EU Average</w:t>
            </w:r>
          </w:p>
        </w:tc>
        <w:tc>
          <w:p>
            <w:pPr>
              <w:pStyle w:val="Normal"/>
              <w:jc w:val="left"/>
            </w:pPr>
            <w:r>
              <w:t xml:space="preserve">230 g CO2/kWh</w:t>
            </w:r>
          </w:p>
        </w:tc>
        <w:tc>
          <w:p>
            <w:pPr>
              <w:pStyle w:val="Normal"/>
              <w:jc w:val="left"/>
            </w:pPr>
            <w:r>
              <w:t xml:space="preserve">41,000 km</w:t>
            </w:r>
          </w:p>
        </w:tc>
        <w:tc>
          <w:p>
            <w:pPr>
              <w:pStyle w:val="Normal"/>
              <w:jc w:val="left"/>
            </w:pPr>
            <w:r>
              <w:t xml:space="preserve">~2 years</w:t>
            </w:r>
          </w:p>
        </w:tc>
      </w:tr>
      <w:tr>
        <w:tc>
          <w:p>
            <w:pPr>
              <w:pStyle w:val="Normal"/>
              <w:jc w:val="left"/>
            </w:pPr>
            <w:r>
              <w:t xml:space="preserve">United States</w:t>
            </w:r>
          </w:p>
        </w:tc>
        <w:tc>
          <w:p>
            <w:pPr>
              <w:pStyle w:val="Normal"/>
              <w:jc w:val="left"/>
            </w:pPr>
            <w:r>
              <w:t xml:space="preserve">380 g CO2/kWh</w:t>
            </w:r>
          </w:p>
        </w:tc>
        <w:tc>
          <w:p>
            <w:pPr>
              <w:pStyle w:val="Normal"/>
              <w:jc w:val="left"/>
            </w:pPr>
            <w:r>
              <w:t xml:space="preserve">50,000 km</w:t>
            </w:r>
          </w:p>
        </w:tc>
        <w:tc>
          <w:p>
            <w:pPr>
              <w:pStyle w:val="Normal"/>
              <w:jc w:val="left"/>
            </w:pPr>
            <w:r>
              <w:t xml:space="preserve">~2.5 years</w:t>
            </w:r>
          </w:p>
        </w:tc>
      </w:tr>
      <w:tr>
        <w:tc>
          <w:p>
            <w:pPr>
              <w:pStyle w:val="Normal"/>
              <w:jc w:val="left"/>
            </w:pPr>
            <w:r>
              <w:t xml:space="preserve">China</w:t>
            </w:r>
          </w:p>
        </w:tc>
        <w:tc>
          <w:p>
            <w:pPr>
              <w:pStyle w:val="Normal"/>
              <w:jc w:val="left"/>
            </w:pPr>
            <w:r>
              <w:t xml:space="preserve">550 g CO2/kWh</w:t>
            </w:r>
          </w:p>
        </w:tc>
        <w:tc>
          <w:p>
            <w:pPr>
              <w:pStyle w:val="Normal"/>
              <w:jc w:val="left"/>
            </w:pPr>
            <w:r>
              <w:t xml:space="preserve">120,000 km</w:t>
            </w:r>
          </w:p>
        </w:tc>
        <w:tc>
          <w:p>
            <w:pPr>
              <w:pStyle w:val="Normal"/>
              <w:jc w:val="left"/>
            </w:pPr>
            <w:r>
              <w:t xml:space="preserve">~5-6 years</w:t>
            </w:r>
          </w:p>
        </w:tc>
      </w:tr>
      <w:tr>
        <w:tc>
          <w:p>
            <w:pPr>
              <w:pStyle w:val="Normal"/>
              <w:jc w:val="left"/>
            </w:pPr>
            <w:r>
              <w:t xml:space="preserve">India</w:t>
            </w:r>
          </w:p>
        </w:tc>
        <w:tc>
          <w:p>
            <w:pPr>
              <w:pStyle w:val="Normal"/>
              <w:jc w:val="left"/>
            </w:pPr>
            <w:r>
              <w:t xml:space="preserve">700 g CO2/kWh</w:t>
            </w:r>
          </w:p>
        </w:tc>
        <w:tc>
          <w:p>
            <w:pPr>
              <w:pStyle w:val="Normal"/>
              <w:jc w:val="left"/>
            </w:pPr>
            <w:r>
              <w:t xml:space="preserve">150,000 km</w:t>
            </w:r>
          </w:p>
        </w:tc>
        <w:tc>
          <w:p>
            <w:pPr>
              <w:pStyle w:val="Normal"/>
              <w:jc w:val="left"/>
            </w:pPr>
            <w:r>
              <w:t xml:space="preserve">~7+ years</w:t>
            </w:r>
          </w:p>
        </w:tc>
      </w:tr>
    </w:tbl>
    <w:p>
      <w:pPr>
        <w:pStyle w:val="BodyText"/>
      </w:pPr>
      <w:r>
        <w:rPr>
          <w:b/>
        </w:rPr>
        <w:t xml:space="preserve">Long-Term Emissions Savings:</w:t>
      </w:r>
    </w:p>
    <w:p>
      <w:pPr>
        <w:pStyle w:val="BodyText"/>
      </w:pPr>
      <w:r>
        <w:t xml:space="preserve">Over a lifecycle of 250,000 km, a medium-sized BEV manufactured in 2023 is projected to emit 27-71% less CO2 than an equivalent ICE vehicle, depending on the region.</w:t>
      </w:r>
    </w:p>
    <w:p>
      <w:pPr>
        <w:pStyle w:val="Heading2"/>
      </w:pPr>
      <w:bookmarkStart w:id="80" w:name="battery-technology-trends"/>
      <w:r>
        <w:rPr>
          <w:color w:val="FF0000"/>
        </w:rPr>
        <w:t xml:space="preserve">Battery Technology Trends</w:t>
      </w:r>
      <w:bookmarkEnd w:id="80"/>
    </w:p>
    <w:p>
      <w:pPr>
        <w:pStyle w:val="Heading3"/>
      </w:pPr>
      <w:bookmarkStart w:id="81" w:name="energy-density-improvements"/>
      <w:r>
        <w:rPr>
          <w:color w:val="FF0000"/>
        </w:rPr>
        <w:t xml:space="preserve">Energy Density Improvements</w:t>
      </w:r>
      <w:bookmarkEnd w:id="81"/>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Technology</w:t>
            </w:r>
          </w:p>
        </w:tc>
        <w:tc>
          <w:tcPr>
            <w:tcBorders>
              <w:bottom w:val="single"/>
            </w:tcBorders>
            <w:vAlign w:val="bottom"/>
          </w:tcPr>
          <w:p>
            <w:pPr>
              <w:pStyle w:val="Normal"/>
              <w:jc w:val="left"/>
            </w:pPr>
            <w:r>
              <w:t xml:space="preserve">Energy Density (Wh/kg)</w:t>
            </w:r>
          </w:p>
        </w:tc>
        <w:tc>
          <w:tcPr>
            <w:tcBorders>
              <w:bottom w:val="single"/>
            </w:tcBorders>
            <w:vAlign w:val="bottom"/>
          </w:tcPr>
          <w:p>
            <w:pPr>
              <w:pStyle w:val="Normal"/>
              <w:jc w:val="left"/>
            </w:pPr>
            <w:r>
              <w:t xml:space="preserve">Cost ($/kWh)</w:t>
            </w:r>
          </w:p>
        </w:tc>
        <w:tc>
          <w:tcPr>
            <w:tcBorders>
              <w:bottom w:val="single"/>
            </w:tcBorders>
            <w:vAlign w:val="bottom"/>
          </w:tcPr>
          <w:p>
            <w:pPr>
              <w:pStyle w:val="Normal"/>
              <w:jc w:val="left"/>
            </w:pPr>
            <w:r>
              <w:t xml:space="preserve">Status</w:t>
            </w:r>
          </w:p>
        </w:tc>
      </w:tr>
      <w:tr>
        <w:tc>
          <w:p>
            <w:pPr>
              <w:pStyle w:val="Normal"/>
              <w:jc w:val="left"/>
            </w:pPr>
            <w:r>
              <w:t xml:space="preserve">Current LIB</w:t>
            </w:r>
          </w:p>
        </w:tc>
        <w:tc>
          <w:p>
            <w:pPr>
              <w:pStyle w:val="Normal"/>
              <w:jc w:val="left"/>
            </w:pPr>
            <w:r>
              <w:t xml:space="preserve">250-270</w:t>
            </w:r>
          </w:p>
        </w:tc>
        <w:tc>
          <w:p>
            <w:pPr>
              <w:pStyle w:val="Normal"/>
              <w:jc w:val="left"/>
            </w:pPr>
            <w:r>
              <w:t xml:space="preserve">151</w:t>
            </w:r>
          </w:p>
        </w:tc>
        <w:tc>
          <w:p>
            <w:pPr>
              <w:pStyle w:val="Normal"/>
              <w:jc w:val="left"/>
            </w:pPr>
            <w:r>
              <w:t xml:space="preserve">Production</w:t>
            </w:r>
          </w:p>
        </w:tc>
      </w:tr>
      <w:tr>
        <w:tc>
          <w:p>
            <w:pPr>
              <w:pStyle w:val="Normal"/>
              <w:jc w:val="left"/>
            </w:pPr>
            <w:r>
              <w:t xml:space="preserve">LFP</w:t>
            </w:r>
          </w:p>
        </w:tc>
        <w:tc>
          <w:p>
            <w:pPr>
              <w:pStyle w:val="Normal"/>
              <w:jc w:val="left"/>
            </w:pPr>
            <w:r>
              <w:t xml:space="preserve">160-180</w:t>
            </w:r>
          </w:p>
        </w:tc>
        <w:tc>
          <w:p>
            <w:pPr>
              <w:pStyle w:val="Normal"/>
              <w:jc w:val="left"/>
            </w:pPr>
            <w:r>
              <w:t xml:space="preserve">100</w:t>
            </w:r>
          </w:p>
        </w:tc>
        <w:tc>
          <w:p>
            <w:pPr>
              <w:pStyle w:val="Normal"/>
              <w:jc w:val="left"/>
            </w:pPr>
            <w:r>
              <w:t xml:space="preserve">Production</w:t>
            </w:r>
          </w:p>
        </w:tc>
      </w:tr>
      <w:tr>
        <w:tc>
          <w:p>
            <w:pPr>
              <w:pStyle w:val="Normal"/>
              <w:jc w:val="left"/>
            </w:pPr>
            <w:r>
              <w:t xml:space="preserve">Solid-State (projected)</w:t>
            </w:r>
          </w:p>
        </w:tc>
        <w:tc>
          <w:p>
            <w:pPr>
              <w:pStyle w:val="Normal"/>
              <w:jc w:val="left"/>
            </w:pPr>
            <w:r>
              <w:t xml:space="preserve">400-500</w:t>
            </w:r>
          </w:p>
        </w:tc>
        <w:tc>
          <w:p>
            <w:pPr>
              <w:pStyle w:val="Normal"/>
              <w:jc w:val="left"/>
            </w:pPr>
            <w:r>
              <w:t xml:space="preserve">80-100</w:t>
            </w:r>
          </w:p>
        </w:tc>
        <w:tc>
          <w:p>
            <w:pPr>
              <w:pStyle w:val="Normal"/>
              <w:jc w:val="left"/>
            </w:pPr>
            <w:r>
              <w:t xml:space="preserve">2027-2030</w:t>
            </w:r>
          </w:p>
        </w:tc>
      </w:tr>
      <w:tr>
        <w:tc>
          <w:p>
            <w:pPr>
              <w:pStyle w:val="Normal"/>
              <w:jc w:val="left"/>
            </w:pPr>
            <w:r>
              <w:t xml:space="preserve">Sodium-Ion</w:t>
            </w:r>
          </w:p>
        </w:tc>
        <w:tc>
          <w:p>
            <w:pPr>
              <w:pStyle w:val="Normal"/>
              <w:jc w:val="left"/>
            </w:pPr>
            <w:r>
              <w:t xml:space="preserve">140-160</w:t>
            </w:r>
          </w:p>
        </w:tc>
        <w:tc>
          <w:p>
            <w:pPr>
              <w:pStyle w:val="Normal"/>
              <w:jc w:val="left"/>
            </w:pPr>
            <w:r>
              <w:t xml:space="preserve">70-90</w:t>
            </w:r>
          </w:p>
        </w:tc>
        <w:tc>
          <w:p>
            <w:pPr>
              <w:pStyle w:val="Normal"/>
              <w:jc w:val="left"/>
            </w:pPr>
            <w:r>
              <w:t xml:space="preserve">Early production</w:t>
            </w:r>
          </w:p>
        </w:tc>
      </w:tr>
    </w:tbl>
    <w:p>
      <w:pPr>
        <w:pStyle w:val="Heading3"/>
      </w:pPr>
      <w:bookmarkStart w:id="82" w:name="manufacturing-capacity-growth"/>
      <w:r>
        <w:rPr>
          <w:color w:val="FF0000"/>
        </w:rPr>
        <w:t xml:space="preserve">Manufacturing Capacity Growth</w:t>
      </w:r>
      <w:bookmarkEnd w:id="82"/>
    </w:p>
    <w:p>
      <w:pPr>
        <w:pStyle w:val="Normal"/>
      </w:pPr>
      <w:r>
        <w:t xml:space="preserve">Global battery manufacturing capacity is expanding rapidly:</w:t>
      </w:r>
    </w:p>
    <w:p>
      <w:pPr>
        <w:numPr>
          <w:ilvl w:val="0"/>
          <w:numId w:val="1033"/>
        </w:numPr>
        <w:pStyle w:val="Normal"/>
      </w:pPr>
      <w:r>
        <w:t xml:space="preserve">2022: ~700 GWh</w:t>
      </w:r>
    </w:p>
    <w:p>
      <w:pPr>
        <w:numPr>
          <w:ilvl w:val="0"/>
          <w:numId w:val="1033"/>
        </w:numPr>
        <w:pStyle w:val="Normal"/>
      </w:pPr>
      <w:r>
        <w:t xml:space="preserve">2025 (projected): ~2,000 GWh</w:t>
      </w:r>
    </w:p>
    <w:p>
      <w:pPr>
        <w:numPr>
          <w:ilvl w:val="0"/>
          <w:numId w:val="1033"/>
        </w:numPr>
        <w:pStyle w:val="Normal"/>
      </w:pPr>
      <w:r>
        <w:t xml:space="preserve">2030 (projected): ~5,000 GWh</w:t>
      </w:r>
    </w:p>
    <w:p>
      <w:pPr>
        <w:pStyle w:val="Heading1"/>
      </w:pPr>
      <w:bookmarkStart w:id="83" w:name="challenges-issues-and-debates"/>
      <w:r>
        <w:rPr>
          <w:color w:val="FF0000"/>
        </w:rPr>
        <w:t xml:space="preserve">Challenges, Issues, and Debates</w:t>
      </w:r>
      <w:bookmarkEnd w:id="83"/>
    </w:p>
    <w:p>
      <w:pPr>
        <w:pStyle w:val="Heading2"/>
      </w:pPr>
      <w:bookmarkStart w:id="84" w:name="battery-raw-material-sourcing"/>
      <w:r>
        <w:rPr>
          <w:color w:val="FF0000"/>
        </w:rPr>
        <w:t xml:space="preserve">Battery Raw Material Sourcing</w:t>
      </w:r>
      <w:bookmarkEnd w:id="84"/>
    </w:p>
    <w:p>
      <w:pPr>
        <w:pStyle w:val="Heading3"/>
      </w:pPr>
      <w:bookmarkStart w:id="85" w:name="supply-chain-concentration"/>
      <w:r>
        <w:rPr>
          <w:color w:val="FF0000"/>
        </w:rPr>
        <w:t xml:space="preserve">Supply Chain Concentration</w:t>
      </w:r>
      <w:bookmarkEnd w:id="85"/>
    </w:p>
    <w:p>
      <w:pPr>
        <w:pStyle w:val="Normal"/>
      </w:pPr>
      <w:r>
        <w:t xml:space="preserve">The shift to EVs threatens to replace oil dependency with dependency on critical minerals where China controls 70-95% of refining capacity.</w:t>
      </w:r>
    </w:p>
    <w:p>
      <w:pPr>
        <w:pStyle w:val="Heading3"/>
      </w:pPr>
      <w:bookmarkStart w:id="86" w:name="X065b71b5807d5c496fe7633deaebef02e6b0239"/>
      <w:r>
        <w:rPr>
          <w:color w:val="FF0000"/>
        </w:rPr>
        <w:t xml:space="preserve">Table: Critical Mineral Supply Chain Concentration</w:t>
      </w:r>
      <w:bookmarkEnd w:id="86"/>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Mineral</w:t>
            </w:r>
          </w:p>
        </w:tc>
        <w:tc>
          <w:tcPr>
            <w:tcBorders>
              <w:bottom w:val="single"/>
            </w:tcBorders>
            <w:vAlign w:val="bottom"/>
          </w:tcPr>
          <w:p>
            <w:pPr>
              <w:pStyle w:val="Normal"/>
              <w:jc w:val="left"/>
            </w:pPr>
            <w:r>
              <w:t xml:space="preserve">Mining Leaders</w:t>
            </w:r>
          </w:p>
        </w:tc>
        <w:tc>
          <w:tcPr>
            <w:tcBorders>
              <w:bottom w:val="single"/>
            </w:tcBorders>
            <w:vAlign w:val="bottom"/>
          </w:tcPr>
          <w:p>
            <w:pPr>
              <w:pStyle w:val="Normal"/>
              <w:jc w:val="left"/>
            </w:pPr>
            <w:r>
              <w:t xml:space="preserve">Refining Control (China)</w:t>
            </w:r>
          </w:p>
        </w:tc>
        <w:tc>
          <w:tcPr>
            <w:tcBorders>
              <w:bottom w:val="single"/>
            </w:tcBorders>
            <w:vAlign w:val="bottom"/>
          </w:tcPr>
          <w:p>
            <w:pPr>
              <w:pStyle w:val="Normal"/>
              <w:jc w:val="left"/>
            </w:pPr>
            <w:r>
              <w:t xml:space="preserve">EV Battery Demand Growth</w:t>
            </w:r>
          </w:p>
        </w:tc>
      </w:tr>
      <w:tr>
        <w:tc>
          <w:p>
            <w:pPr>
              <w:pStyle w:val="Normal"/>
              <w:jc w:val="left"/>
            </w:pPr>
            <w:r>
              <w:t xml:space="preserve">Lithium</w:t>
            </w:r>
          </w:p>
        </w:tc>
        <w:tc>
          <w:p>
            <w:pPr>
              <w:pStyle w:val="Normal"/>
              <w:jc w:val="left"/>
            </w:pPr>
            <w:r>
              <w:t xml:space="preserve">Australia, Chile</w:t>
            </w:r>
          </w:p>
        </w:tc>
        <w:tc>
          <w:p>
            <w:pPr>
              <w:pStyle w:val="Normal"/>
              <w:jc w:val="left"/>
            </w:pPr>
            <w:r>
              <w:t xml:space="preserve">65%</w:t>
            </w:r>
          </w:p>
        </w:tc>
        <w:tc>
          <w:p>
            <w:pPr>
              <w:pStyle w:val="Normal"/>
              <w:jc w:val="left"/>
            </w:pPr>
            <w:r>
              <w:t xml:space="preserve">300% by 2030</w:t>
            </w:r>
          </w:p>
        </w:tc>
      </w:tr>
      <w:tr>
        <w:tc>
          <w:p>
            <w:pPr>
              <w:pStyle w:val="Normal"/>
              <w:jc w:val="left"/>
            </w:pPr>
            <w:r>
              <w:t xml:space="preserve">Cobalt</w:t>
            </w:r>
          </w:p>
        </w:tc>
        <w:tc>
          <w:p>
            <w:pPr>
              <w:pStyle w:val="Normal"/>
              <w:jc w:val="left"/>
            </w:pPr>
            <w:r>
              <w:t xml:space="preserve">DRC (70%)</w:t>
            </w:r>
          </w:p>
        </w:tc>
        <w:tc>
          <w:p>
            <w:pPr>
              <w:pStyle w:val="Normal"/>
              <w:jc w:val="left"/>
            </w:pPr>
            <w:r>
              <w:t xml:space="preserve">75%</w:t>
            </w:r>
          </w:p>
        </w:tc>
        <w:tc>
          <w:p>
            <w:pPr>
              <w:pStyle w:val="Normal"/>
              <w:jc w:val="left"/>
            </w:pPr>
            <w:r>
              <w:t xml:space="preserve">200% by 2030</w:t>
            </w:r>
          </w:p>
        </w:tc>
      </w:tr>
      <w:tr>
        <w:tc>
          <w:p>
            <w:pPr>
              <w:pStyle w:val="Normal"/>
              <w:jc w:val="left"/>
            </w:pPr>
            <w:r>
              <w:t xml:space="preserve">Nickel</w:t>
            </w:r>
          </w:p>
        </w:tc>
        <w:tc>
          <w:p>
            <w:pPr>
              <w:pStyle w:val="Normal"/>
              <w:jc w:val="left"/>
            </w:pPr>
            <w:r>
              <w:t xml:space="preserve">Indonesia, Philippines</w:t>
            </w:r>
          </w:p>
        </w:tc>
        <w:tc>
          <w:p>
            <w:pPr>
              <w:pStyle w:val="Normal"/>
              <w:jc w:val="left"/>
            </w:pPr>
            <w:r>
              <w:t xml:space="preserve">60%</w:t>
            </w:r>
          </w:p>
        </w:tc>
        <w:tc>
          <w:p>
            <w:pPr>
              <w:pStyle w:val="Normal"/>
              <w:jc w:val="left"/>
            </w:pPr>
            <w:r>
              <w:t xml:space="preserve">250% by 2030</w:t>
            </w:r>
          </w:p>
        </w:tc>
      </w:tr>
      <w:tr>
        <w:tc>
          <w:p>
            <w:pPr>
              <w:pStyle w:val="Normal"/>
              <w:jc w:val="left"/>
            </w:pPr>
            <w:r>
              <w:t xml:space="preserve">Graphite</w:t>
            </w:r>
          </w:p>
        </w:tc>
        <w:tc>
          <w:p>
            <w:pPr>
              <w:pStyle w:val="Normal"/>
              <w:jc w:val="left"/>
            </w:pPr>
            <w:r>
              <w:t xml:space="preserve">China (65%)</w:t>
            </w:r>
          </w:p>
        </w:tc>
        <w:tc>
          <w:p>
            <w:pPr>
              <w:pStyle w:val="Normal"/>
              <w:jc w:val="left"/>
            </w:pPr>
            <w:r>
              <w:t xml:space="preserve">95%</w:t>
            </w:r>
          </w:p>
        </w:tc>
        <w:tc>
          <w:p>
            <w:pPr>
              <w:pStyle w:val="Normal"/>
              <w:jc w:val="left"/>
            </w:pPr>
            <w:r>
              <w:t xml:space="preserve">300% by 2030</w:t>
            </w:r>
          </w:p>
        </w:tc>
      </w:tr>
      <w:tr>
        <w:tc>
          <w:p>
            <w:pPr>
              <w:pStyle w:val="Normal"/>
              <w:jc w:val="left"/>
            </w:pPr>
            <w:r>
              <w:t xml:space="preserve">Rare Earths</w:t>
            </w:r>
          </w:p>
        </w:tc>
        <w:tc>
          <w:p>
            <w:pPr>
              <w:pStyle w:val="Normal"/>
              <w:jc w:val="left"/>
            </w:pPr>
            <w:r>
              <w:t xml:space="preserve">China (60%)</w:t>
            </w:r>
          </w:p>
        </w:tc>
        <w:tc>
          <w:p>
            <w:pPr>
              <w:pStyle w:val="Normal"/>
              <w:jc w:val="left"/>
            </w:pPr>
            <w:r>
              <w:t xml:space="preserve">90%</w:t>
            </w:r>
          </w:p>
        </w:tc>
        <w:tc>
          <w:p>
            <w:pPr>
              <w:pStyle w:val="Normal"/>
              <w:jc w:val="left"/>
            </w:pPr>
            <w:r>
              <w:t xml:space="preserve">150% by 2030</w:t>
            </w:r>
          </w:p>
        </w:tc>
      </w:tr>
    </w:tbl>
    <w:p>
      <w:pPr>
        <w:pStyle w:val="Heading3"/>
      </w:pPr>
      <w:bookmarkStart w:id="87" w:name="ethical-sourcing-concerns"/>
      <w:r>
        <w:rPr>
          <w:color w:val="FF0000"/>
        </w:rPr>
        <w:t xml:space="preserve">Ethical Sourcing Concerns</w:t>
      </w:r>
      <w:bookmarkEnd w:id="87"/>
    </w:p>
    <w:p>
      <w:pPr>
        <w:numPr>
          <w:ilvl w:val="0"/>
          <w:numId w:val="1034"/>
        </w:numPr>
        <w:pStyle w:val="Normal"/>
      </w:pPr>
      <w:r>
        <w:t xml:space="preserve">Human rights abuses in cobalt mining</w:t>
      </w:r>
    </w:p>
    <w:p>
      <w:pPr>
        <w:numPr>
          <w:ilvl w:val="0"/>
          <w:numId w:val="1034"/>
        </w:numPr>
        <w:pStyle w:val="Normal"/>
      </w:pPr>
      <w:r>
        <w:t xml:space="preserve">Environmental degradation at mining sites</w:t>
      </w:r>
    </w:p>
    <w:p>
      <w:pPr>
        <w:numPr>
          <w:ilvl w:val="0"/>
          <w:numId w:val="1034"/>
        </w:numPr>
        <w:pStyle w:val="Normal"/>
      </w:pPr>
      <w:r>
        <w:t xml:space="preserve">Community displacement</w:t>
      </w:r>
    </w:p>
    <w:p>
      <w:pPr>
        <w:numPr>
          <w:ilvl w:val="0"/>
          <w:numId w:val="1034"/>
        </w:numPr>
        <w:pStyle w:val="Normal"/>
      </w:pPr>
      <w:r>
        <w:t xml:space="preserve">Water resource depletion</w:t>
      </w:r>
    </w:p>
    <w:p>
      <w:pPr>
        <w:pStyle w:val="Heading2"/>
      </w:pPr>
      <w:bookmarkStart w:id="88" w:name="deep-sea-mining-controversy"/>
      <w:r>
        <w:rPr>
          <w:color w:val="FF0000"/>
        </w:rPr>
        <w:t xml:space="preserve">Deep Sea Mining Controversy</w:t>
      </w:r>
      <w:bookmarkEnd w:id="88"/>
    </w:p>
    <w:p>
      <w:pPr>
        <w:pStyle w:val="Normal"/>
      </w:pPr>
      <w:r>
        <w:t xml:space="preserve">As terrestrial ore grades decline, the industry is eyeing the Clarion-Clipperton Zone (CCZ) in the Pacific Ocean for polymetallic nodules.</w:t>
      </w:r>
    </w:p>
    <w:p>
      <w:pPr>
        <w:pStyle w:val="BodyText"/>
      </w:pPr>
      <w:r>
        <w:rPr>
          <w:b/>
        </w:rPr>
        <w:t xml:space="preserve">Arguments For DSM:</w:t>
      </w:r>
    </w:p>
    <w:p>
      <w:pPr>
        <w:numPr>
          <w:ilvl w:val="0"/>
          <w:numId w:val="1035"/>
        </w:numPr>
        <w:pStyle w:val="Normal"/>
      </w:pPr>
      <w:r>
        <w:t xml:space="preserve">Rich mineral deposits with less surface disruption</w:t>
      </w:r>
    </w:p>
    <w:p>
      <w:pPr>
        <w:numPr>
          <w:ilvl w:val="0"/>
          <w:numId w:val="1035"/>
        </w:numPr>
        <w:pStyle w:val="Normal"/>
      </w:pPr>
      <w:r>
        <w:t xml:space="preserve">Avoids human rights issues of terrestrial mining</w:t>
      </w:r>
    </w:p>
    <w:p>
      <w:pPr>
        <w:numPr>
          <w:ilvl w:val="0"/>
          <w:numId w:val="1035"/>
        </w:numPr>
        <w:pStyle w:val="Normal"/>
      </w:pPr>
      <w:r>
        <w:t xml:space="preserve">Potentially lower carbon footprint per ton extracted</w:t>
      </w:r>
    </w:p>
    <w:p>
      <w:pPr>
        <w:pStyle w:val="Normal"/>
      </w:pPr>
      <w:r>
        <w:rPr>
          <w:b/>
        </w:rPr>
        <w:t xml:space="preserve">Arguments Against DSM:</w:t>
      </w:r>
    </w:p>
    <w:p>
      <w:pPr>
        <w:numPr>
          <w:ilvl w:val="0"/>
          <w:numId w:val="1036"/>
        </w:numPr>
        <w:pStyle w:val="Normal"/>
      </w:pPr>
      <w:r>
        <w:t xml:space="preserve">Irreversible deep-sea ecosystem destruction</w:t>
      </w:r>
    </w:p>
    <w:p>
      <w:pPr>
        <w:numPr>
          <w:ilvl w:val="0"/>
          <w:numId w:val="1036"/>
        </w:numPr>
        <w:pStyle w:val="Normal"/>
      </w:pPr>
      <w:r>
        <w:t xml:space="preserve">Sediment plumes suffocating benthic organisms</w:t>
      </w:r>
    </w:p>
    <w:p>
      <w:pPr>
        <w:numPr>
          <w:ilvl w:val="0"/>
          <w:numId w:val="1036"/>
        </w:numPr>
        <w:pStyle w:val="Normal"/>
      </w:pPr>
      <w:r>
        <w:t xml:space="preserve">Disruption of ocean carbon sequestration</w:t>
      </w:r>
    </w:p>
    <w:p>
      <w:pPr>
        <w:numPr>
          <w:ilvl w:val="0"/>
          <w:numId w:val="1036"/>
        </w:numPr>
        <w:pStyle w:val="Normal"/>
      </w:pPr>
      <w:r>
        <w:t xml:space="preserve">Extinction risk for uncataloged species</w:t>
      </w:r>
    </w:p>
    <w:p>
      <w:pPr>
        <w:numPr>
          <w:ilvl w:val="0"/>
          <w:numId w:val="1036"/>
        </w:numPr>
        <w:pStyle w:val="Normal"/>
      </w:pPr>
      <w:r>
        <w:t xml:space="preserve">Next-gen batteries (LFP, sodium-ion) may reduce need</w:t>
      </w:r>
    </w:p>
    <w:p>
      <w:pPr>
        <w:pStyle w:val="Heading2"/>
      </w:pPr>
      <w:bookmarkStart w:id="89" w:name="grid-capacity-and-renewable-integration"/>
      <w:r>
        <w:rPr>
          <w:color w:val="FF0000"/>
        </w:rPr>
        <w:t xml:space="preserve">Grid Capacity and Renewable Integration</w:t>
      </w:r>
      <w:bookmarkEnd w:id="89"/>
    </w:p>
    <w:p>
      <w:pPr>
        <w:pStyle w:val="Normal"/>
      </w:pPr>
      <w:r>
        <w:t xml:space="preserve">Mass EV adoption could strain electricity grids, especially during peak charging periods.</w:t>
      </w:r>
    </w:p>
    <w:p>
      <w:pPr>
        <w:pStyle w:val="BodyText"/>
      </w:pPr>
      <w:r>
        <w:rPr>
          <w:b/>
        </w:rPr>
        <w:t xml:space="preserve">Key Challenges:</w:t>
      </w:r>
    </w:p>
    <w:p>
      <w:pPr>
        <w:numPr>
          <w:ilvl w:val="0"/>
          <w:numId w:val="1037"/>
        </w:numPr>
        <w:pStyle w:val="Normal"/>
      </w:pPr>
      <w:r>
        <w:t xml:space="preserve">Transformer capacity limitations</w:t>
      </w:r>
    </w:p>
    <w:p>
      <w:pPr>
        <w:numPr>
          <w:ilvl w:val="0"/>
          <w:numId w:val="1037"/>
        </w:numPr>
        <w:pStyle w:val="Normal"/>
      </w:pPr>
      <w:r>
        <w:t xml:space="preserve">Distribution network upgrades needed</w:t>
      </w:r>
    </w:p>
    <w:p>
      <w:pPr>
        <w:numPr>
          <w:ilvl w:val="0"/>
          <w:numId w:val="1037"/>
        </w:numPr>
        <w:pStyle w:val="Normal"/>
      </w:pPr>
      <w:r>
        <w:t xml:space="preserve">Peak demand management</w:t>
      </w:r>
    </w:p>
    <w:p>
      <w:pPr>
        <w:numPr>
          <w:ilvl w:val="0"/>
          <w:numId w:val="1037"/>
        </w:numPr>
        <w:pStyle w:val="Normal"/>
      </w:pPr>
      <w:r>
        <w:t xml:space="preserve">Renewable intermittency coordination</w:t>
      </w:r>
    </w:p>
    <w:p>
      <w:pPr>
        <w:pStyle w:val="Normal"/>
      </w:pPr>
      <w:r>
        <w:rPr>
          <w:b/>
        </w:rPr>
        <w:t xml:space="preserve">Solutions Being Developed:</w:t>
      </w:r>
    </w:p>
    <w:p>
      <w:pPr>
        <w:numPr>
          <w:ilvl w:val="0"/>
          <w:numId w:val="1038"/>
        </w:numPr>
        <w:pStyle w:val="Normal"/>
      </w:pPr>
      <w:r>
        <w:t xml:space="preserve">Smart charging infrastructure</w:t>
      </w:r>
    </w:p>
    <w:p>
      <w:pPr>
        <w:numPr>
          <w:ilvl w:val="0"/>
          <w:numId w:val="1038"/>
        </w:numPr>
        <w:pStyle w:val="Normal"/>
      </w:pPr>
      <w:r>
        <w:t xml:space="preserve">Time-of-use pricing</w:t>
      </w:r>
    </w:p>
    <w:p>
      <w:pPr>
        <w:numPr>
          <w:ilvl w:val="0"/>
          <w:numId w:val="1038"/>
        </w:numPr>
        <w:pStyle w:val="Normal"/>
      </w:pPr>
      <w:r>
        <w:t xml:space="preserve">Vehicle-to-grid integration</w:t>
      </w:r>
    </w:p>
    <w:p>
      <w:pPr>
        <w:numPr>
          <w:ilvl w:val="0"/>
          <w:numId w:val="1038"/>
        </w:numPr>
        <w:pStyle w:val="Normal"/>
      </w:pPr>
      <w:r>
        <w:t xml:space="preserve">Grid-scale battery storage</w:t>
      </w:r>
    </w:p>
    <w:p>
      <w:pPr>
        <w:numPr>
          <w:ilvl w:val="0"/>
          <w:numId w:val="1038"/>
        </w:numPr>
        <w:pStyle w:val="Normal"/>
      </w:pPr>
      <w:r>
        <w:t xml:space="preserve">Demand response programs</w:t>
      </w:r>
    </w:p>
    <w:p>
      <w:pPr>
        <w:pStyle w:val="Heading2"/>
      </w:pPr>
      <w:bookmarkStart w:id="90" w:name="environmental-impact-debate"/>
      <w:r>
        <w:rPr>
          <w:color w:val="FF0000"/>
        </w:rPr>
        <w:t xml:space="preserve">Environmental Impact Debate</w:t>
      </w:r>
      <w:bookmarkEnd w:id="90"/>
    </w:p>
    <w:p>
      <w:pPr>
        <w:pStyle w:val="Normal"/>
      </w:pPr>
      <w:r>
        <w:t xml:space="preserve">There is ongoing debate over the true environmental impact of EVs, particularly in regions where electricity generation is heavily fossil-fuel-based.</w:t>
      </w:r>
    </w:p>
    <w:p>
      <w:pPr>
        <w:pStyle w:val="BodyText"/>
      </w:pPr>
      <w:r>
        <w:rPr>
          <w:b/>
        </w:rPr>
        <w:t xml:space="preserve">Key Arguments:</w:t>
      </w:r>
    </w:p>
    <w:p>
      <w:pPr>
        <w:numPr>
          <w:ilvl w:val="0"/>
          <w:numId w:val="1039"/>
        </w:numPr>
        <w:pStyle w:val="Normal"/>
      </w:pPr>
      <w:r>
        <w:t xml:space="preserve">Shifting emissions from tailpipes to power plants is not a complete solution</w:t>
      </w:r>
    </w:p>
    <w:p>
      <w:pPr>
        <w:numPr>
          <w:ilvl w:val="0"/>
          <w:numId w:val="1039"/>
        </w:numPr>
        <w:pStyle w:val="Normal"/>
      </w:pPr>
      <w:r>
        <w:t xml:space="preserve">Grid decarbonization must accompany EV adoption</w:t>
      </w:r>
    </w:p>
    <w:p>
      <w:pPr>
        <w:numPr>
          <w:ilvl w:val="0"/>
          <w:numId w:val="1039"/>
        </w:numPr>
        <w:pStyle w:val="Normal"/>
      </w:pPr>
      <w:r>
        <w:t xml:space="preserve">Lifecycle emissions vary significantly by region</w:t>
      </w:r>
    </w:p>
    <w:p>
      <w:pPr>
        <w:numPr>
          <w:ilvl w:val="0"/>
          <w:numId w:val="1039"/>
        </w:numPr>
        <w:pStyle w:val="Normal"/>
      </w:pPr>
      <w:r>
        <w:t xml:space="preserve">Manufacturing emissions are front-loaded</w:t>
      </w:r>
    </w:p>
    <w:p>
      <w:pPr>
        <w:pStyle w:val="Heading2"/>
      </w:pPr>
      <w:bookmarkStart w:id="91" w:name="affordability-and-accessibility"/>
      <w:r>
        <w:rPr>
          <w:color w:val="FF0000"/>
        </w:rPr>
        <w:t xml:space="preserve">Affordability and Accessibility</w:t>
      </w:r>
      <w:bookmarkEnd w:id="91"/>
    </w:p>
    <w:p>
      <w:pPr>
        <w:pStyle w:val="Heading3"/>
      </w:pPr>
      <w:bookmarkStart w:id="92" w:name="cost-barriers"/>
      <w:r>
        <w:rPr>
          <w:color w:val="FF0000"/>
        </w:rPr>
        <w:t xml:space="preserve">Cost Barriers</w:t>
      </w:r>
      <w:bookmarkEnd w:id="92"/>
    </w:p>
    <w:p>
      <w:pPr>
        <w:numPr>
          <w:ilvl w:val="0"/>
          <w:numId w:val="1040"/>
        </w:numPr>
        <w:pStyle w:val="Normal"/>
      </w:pPr>
      <w:r>
        <w:t xml:space="preserve">EVs typically have higher upfront costs than ICE vehicles</w:t>
      </w:r>
    </w:p>
    <w:p>
      <w:pPr>
        <w:numPr>
          <w:ilvl w:val="0"/>
          <w:numId w:val="1040"/>
        </w:numPr>
        <w:pStyle w:val="Normal"/>
      </w:pPr>
      <w:r>
        <w:t xml:space="preserve">Total cost of ownership is often lower over time</w:t>
      </w:r>
    </w:p>
    <w:p>
      <w:pPr>
        <w:numPr>
          <w:ilvl w:val="0"/>
          <w:numId w:val="1040"/>
        </w:numPr>
        <w:pStyle w:val="Normal"/>
      </w:pPr>
      <w:r>
        <w:t xml:space="preserve">Purchase incentives critical for adoption</w:t>
      </w:r>
    </w:p>
    <w:p>
      <w:pPr>
        <w:numPr>
          <w:ilvl w:val="0"/>
          <w:numId w:val="1040"/>
        </w:numPr>
        <w:pStyle w:val="Normal"/>
      </w:pPr>
      <w:r>
        <w:t xml:space="preserve">Used EV market developing rapidly</w:t>
      </w:r>
    </w:p>
    <w:p>
      <w:pPr>
        <w:pStyle w:val="Heading3"/>
      </w:pPr>
      <w:bookmarkStart w:id="93" w:name="equity-concerns"/>
      <w:r>
        <w:rPr>
          <w:color w:val="FF0000"/>
        </w:rPr>
        <w:t xml:space="preserve">Equity Concerns</w:t>
      </w:r>
      <w:bookmarkEnd w:id="93"/>
    </w:p>
    <w:p>
      <w:pPr>
        <w:numPr>
          <w:ilvl w:val="0"/>
          <w:numId w:val="1041"/>
        </w:numPr>
        <w:pStyle w:val="Normal"/>
      </w:pPr>
      <w:r>
        <w:t xml:space="preserve">Charging infrastructure concentrated in affluent areas</w:t>
      </w:r>
    </w:p>
    <w:p>
      <w:pPr>
        <w:numPr>
          <w:ilvl w:val="0"/>
          <w:numId w:val="1041"/>
        </w:numPr>
        <w:pStyle w:val="Normal"/>
      </w:pPr>
      <w:r>
        <w:t xml:space="preserve">Lower-income households may lack home charging access</w:t>
      </w:r>
    </w:p>
    <w:p>
      <w:pPr>
        <w:numPr>
          <w:ilvl w:val="0"/>
          <w:numId w:val="1041"/>
        </w:numPr>
        <w:pStyle w:val="Normal"/>
      </w:pPr>
      <w:r>
        <w:t xml:space="preserve">Rural areas underserved by public charging</w:t>
      </w:r>
    </w:p>
    <w:p>
      <w:pPr>
        <w:numPr>
          <w:ilvl w:val="0"/>
          <w:numId w:val="1041"/>
        </w:numPr>
        <w:pStyle w:val="Normal"/>
      </w:pPr>
      <w:r>
        <w:t xml:space="preserve">Need for equitable access policies</w:t>
      </w:r>
    </w:p>
    <w:p>
      <w:pPr>
        <w:pStyle w:val="Heading2"/>
      </w:pPr>
      <w:bookmarkStart w:id="94" w:name="insurance-and-repair-crisis"/>
      <w:r>
        <w:rPr>
          <w:color w:val="FF0000"/>
        </w:rPr>
        <w:t xml:space="preserve">Insurance and Repair Crisis</w:t>
      </w:r>
      <w:bookmarkEnd w:id="94"/>
    </w:p>
    <w:p>
      <w:pPr>
        <w:pStyle w:val="Heading3"/>
      </w:pPr>
      <w:bookmarkStart w:id="95" w:name="rising-costs"/>
      <w:r>
        <w:rPr>
          <w:color w:val="FF0000"/>
        </w:rPr>
        <w:t xml:space="preserve">Rising Costs</w:t>
      </w:r>
      <w:bookmarkEnd w:id="95"/>
    </w:p>
    <w:p>
      <w:pPr>
        <w:numPr>
          <w:ilvl w:val="0"/>
          <w:numId w:val="1042"/>
        </w:numPr>
        <w:pStyle w:val="Normal"/>
      </w:pPr>
      <w:r>
        <w:t xml:space="preserve">EV insurance premiums 20-23% higher than ICE vehicles</w:t>
      </w:r>
    </w:p>
    <w:p>
      <w:pPr>
        <w:numPr>
          <w:ilvl w:val="0"/>
          <w:numId w:val="1042"/>
        </w:numPr>
        <w:pStyle w:val="Normal"/>
      </w:pPr>
      <w:r>
        <w:t xml:space="preserve">Claim frequency rose 38% in 2024</w:t>
      </w:r>
    </w:p>
    <w:p>
      <w:pPr>
        <w:numPr>
          <w:ilvl w:val="0"/>
          <w:numId w:val="1042"/>
        </w:numPr>
        <w:pStyle w:val="Normal"/>
      </w:pPr>
      <w:r>
        <w:t xml:space="preserve">Structural battery packs create repair challenges</w:t>
      </w:r>
    </w:p>
    <w:p>
      <w:pPr>
        <w:pStyle w:val="Heading3"/>
      </w:pPr>
      <w:bookmarkStart w:id="96" w:name="structural-pack-issues"/>
      <w:r>
        <w:rPr>
          <w:color w:val="FF0000"/>
        </w:rPr>
        <w:t xml:space="preserve">Structural Pack Issues</w:t>
      </w:r>
      <w:bookmarkEnd w:id="96"/>
    </w:p>
    <w:p>
      <w:pPr>
        <w:pStyle w:val="Normal"/>
      </w:pPr>
      <w:r>
        <w:t xml:space="preserve">The shift toward structural battery packs (cells glued into chassis) has made vehicles:</w:t>
      </w:r>
    </w:p>
    <w:p>
      <w:pPr>
        <w:numPr>
          <w:ilvl w:val="0"/>
          <w:numId w:val="1043"/>
        </w:numPr>
        <w:pStyle w:val="Normal"/>
      </w:pPr>
      <w:r>
        <w:t xml:space="preserve">Lighter and cheaper to build</w:t>
      </w:r>
    </w:p>
    <w:p>
      <w:pPr>
        <w:numPr>
          <w:ilvl w:val="0"/>
          <w:numId w:val="1043"/>
        </w:numPr>
        <w:pStyle w:val="Normal"/>
      </w:pPr>
      <w:r>
        <w:t xml:space="preserve">Nearly impossible to repair after minor collisions</w:t>
      </w:r>
    </w:p>
    <w:p>
      <w:pPr>
        <w:numPr>
          <w:ilvl w:val="0"/>
          <w:numId w:val="1043"/>
        </w:numPr>
        <w:pStyle w:val="Normal"/>
      </w:pPr>
      <w:r>
        <w:t xml:space="preserve">More likely to be declared total losses</w:t>
      </w:r>
    </w:p>
    <w:p>
      <w:pPr>
        <w:numPr>
          <w:ilvl w:val="0"/>
          <w:numId w:val="1043"/>
        </w:numPr>
        <w:pStyle w:val="Normal"/>
      </w:pPr>
      <w:r>
        <w:t xml:space="preserve">More expensive to insure</w:t>
      </w:r>
    </w:p>
    <w:p>
      <w:pPr>
        <w:pStyle w:val="Normal"/>
      </w:pPr>
      <w:r>
        <w:rPr>
          <w:b/>
        </w:rPr>
        <w:t xml:space="preserve">Industry Response:</w:t>
      </w:r>
    </w:p>
    <w:p>
      <w:pPr>
        <w:pStyle w:val="BodyText"/>
      </w:pPr>
      <w:r>
        <w:t xml:space="preserve">CATL introduced repair services in late 2025 for structural packs at $1,375-$2,750 compared to full replacement costs.</w:t>
      </w:r>
    </w:p>
    <w:p>
      <w:pPr>
        <w:pStyle w:val="Heading1"/>
      </w:pPr>
      <w:bookmarkStart w:id="97" w:name="best-practices-and-recommendations"/>
      <w:r>
        <w:rPr>
          <w:color w:val="FF0000"/>
        </w:rPr>
        <w:t xml:space="preserve">Best Practices and Recommendations</w:t>
      </w:r>
      <w:bookmarkEnd w:id="97"/>
    </w:p>
    <w:p>
      <w:pPr>
        <w:pStyle w:val="Heading2"/>
      </w:pPr>
      <w:bookmarkStart w:id="98" w:name="sustainable-battery-supply-chains"/>
      <w:r>
        <w:rPr>
          <w:color w:val="FF0000"/>
        </w:rPr>
        <w:t xml:space="preserve">Sustainable Battery Supply Chains</w:t>
      </w:r>
      <w:bookmarkEnd w:id="98"/>
    </w:p>
    <w:p>
      <w:pPr>
        <w:pStyle w:val="Normal"/>
      </w:pPr>
      <w:r>
        <w:rPr>
          <w:b/>
        </w:rPr>
        <w:t xml:space="preserve">For Automakers and Battery Manufacturers:</w:t>
      </w:r>
    </w:p>
    <w:p>
      <w:pPr>
        <w:numPr>
          <w:ilvl w:val="0"/>
          <w:numId w:val="1044"/>
        </w:numPr>
        <w:pStyle w:val="Normal"/>
      </w:pPr>
      <w:r>
        <w:t xml:space="preserve">Prioritize ethical sourcing with full supply chain transparency</w:t>
      </w:r>
    </w:p>
    <w:p>
      <w:pPr>
        <w:numPr>
          <w:ilvl w:val="0"/>
          <w:numId w:val="1044"/>
        </w:numPr>
        <w:pStyle w:val="Normal"/>
      </w:pPr>
      <w:r>
        <w:t xml:space="preserve">Invest in recycling technologies and infrastructure</w:t>
      </w:r>
    </w:p>
    <w:p>
      <w:pPr>
        <w:numPr>
          <w:ilvl w:val="0"/>
          <w:numId w:val="1044"/>
        </w:numPr>
        <w:pStyle w:val="Normal"/>
      </w:pPr>
      <w:r>
        <w:t xml:space="preserve">Develop alternative chemistries (LFP, solid-state, sodium-ion)</w:t>
      </w:r>
    </w:p>
    <w:p>
      <w:pPr>
        <w:numPr>
          <w:ilvl w:val="0"/>
          <w:numId w:val="1044"/>
        </w:numPr>
        <w:pStyle w:val="Normal"/>
      </w:pPr>
      <w:r>
        <w:t xml:space="preserve">Reduce reliance on problematic materials (cobalt)</w:t>
      </w:r>
    </w:p>
    <w:p>
      <w:pPr>
        <w:numPr>
          <w:ilvl w:val="0"/>
          <w:numId w:val="1044"/>
        </w:numPr>
        <w:pStyle w:val="Normal"/>
      </w:pPr>
      <w:r>
        <w:t xml:space="preserve">Implement blockchain-based traceability systems</w:t>
      </w:r>
    </w:p>
    <w:p>
      <w:pPr>
        <w:numPr>
          <w:ilvl w:val="0"/>
          <w:numId w:val="1044"/>
        </w:numPr>
        <w:pStyle w:val="Normal"/>
      </w:pPr>
      <w:r>
        <w:t xml:space="preserve">Partner with certified responsible mining operations</w:t>
      </w:r>
    </w:p>
    <w:p>
      <w:pPr>
        <w:pStyle w:val="Normal"/>
      </w:pPr>
      <w:r>
        <w:rPr>
          <w:b/>
        </w:rPr>
        <w:t xml:space="preserve">For Policymakers:</w:t>
      </w:r>
    </w:p>
    <w:p>
      <w:pPr>
        <w:numPr>
          <w:ilvl w:val="0"/>
          <w:numId w:val="1045"/>
        </w:numPr>
        <w:pStyle w:val="Normal"/>
      </w:pPr>
      <w:r>
        <w:t xml:space="preserve">Establish and enforce ethical sourcing standards</w:t>
      </w:r>
    </w:p>
    <w:p>
      <w:pPr>
        <w:numPr>
          <w:ilvl w:val="0"/>
          <w:numId w:val="1045"/>
        </w:numPr>
        <w:pStyle w:val="Normal"/>
      </w:pPr>
      <w:r>
        <w:t xml:space="preserve">Require supply chain due diligence reporting</w:t>
      </w:r>
    </w:p>
    <w:p>
      <w:pPr>
        <w:numPr>
          <w:ilvl w:val="0"/>
          <w:numId w:val="1045"/>
        </w:numPr>
        <w:pStyle w:val="Normal"/>
      </w:pPr>
      <w:r>
        <w:t xml:space="preserve">Support domestic processing capacity development</w:t>
      </w:r>
    </w:p>
    <w:p>
      <w:pPr>
        <w:numPr>
          <w:ilvl w:val="0"/>
          <w:numId w:val="1045"/>
        </w:numPr>
        <w:pStyle w:val="Normal"/>
      </w:pPr>
      <w:r>
        <w:t xml:space="preserve">Create incentives for recycled material use</w:t>
      </w:r>
    </w:p>
    <w:p>
      <w:pPr>
        <w:pStyle w:val="Heading2"/>
      </w:pPr>
      <w:bookmarkStart w:id="99" w:name="grid-decarbonization-and-smart-charging"/>
      <w:r>
        <w:rPr>
          <w:color w:val="FF0000"/>
        </w:rPr>
        <w:t xml:space="preserve">Grid Decarbonization and Smart Charging</w:t>
      </w:r>
      <w:bookmarkEnd w:id="99"/>
    </w:p>
    <w:p>
      <w:pPr>
        <w:pStyle w:val="Normal"/>
      </w:pPr>
      <w:r>
        <w:rPr>
          <w:b/>
        </w:rPr>
        <w:t xml:space="preserve">Policy Recommendations:</w:t>
      </w:r>
    </w:p>
    <w:p>
      <w:pPr>
        <w:numPr>
          <w:ilvl w:val="0"/>
          <w:numId w:val="1046"/>
        </w:numPr>
        <w:pStyle w:val="Normal"/>
      </w:pPr>
      <w:r>
        <w:t xml:space="preserve">Accelerate transition to renewable energy sources</w:t>
      </w:r>
    </w:p>
    <w:p>
      <w:pPr>
        <w:numPr>
          <w:ilvl w:val="0"/>
          <w:numId w:val="1046"/>
        </w:numPr>
        <w:pStyle w:val="Normal"/>
      </w:pPr>
      <w:r>
        <w:t xml:space="preserve">Invest in grid modernization and smart infrastructure</w:t>
      </w:r>
    </w:p>
    <w:p>
      <w:pPr>
        <w:numPr>
          <w:ilvl w:val="0"/>
          <w:numId w:val="1046"/>
        </w:numPr>
        <w:pStyle w:val="Normal"/>
      </w:pPr>
      <w:r>
        <w:t xml:space="preserve">Implement smart charging mandates for new installations</w:t>
      </w:r>
    </w:p>
    <w:p>
      <w:pPr>
        <w:numPr>
          <w:ilvl w:val="0"/>
          <w:numId w:val="1046"/>
        </w:numPr>
        <w:pStyle w:val="Normal"/>
      </w:pPr>
      <w:r>
        <w:t xml:space="preserve">Create incentives for off-peak charging</w:t>
      </w:r>
    </w:p>
    <w:p>
      <w:pPr>
        <w:numPr>
          <w:ilvl w:val="0"/>
          <w:numId w:val="1046"/>
        </w:numPr>
        <w:pStyle w:val="Normal"/>
      </w:pPr>
      <w:r>
        <w:t xml:space="preserve">Support V2G technology deployment</w:t>
      </w:r>
    </w:p>
    <w:p>
      <w:pPr>
        <w:numPr>
          <w:ilvl w:val="0"/>
          <w:numId w:val="1046"/>
        </w:numPr>
        <w:pStyle w:val="Normal"/>
      </w:pPr>
      <w:r>
        <w:t xml:space="preserve">Develop time-of-use rate structures</w:t>
      </w:r>
    </w:p>
    <w:p>
      <w:pPr>
        <w:pStyle w:val="Normal"/>
      </w:pPr>
      <w:r>
        <w:rPr>
          <w:b/>
        </w:rPr>
        <w:t xml:space="preserve">Utility Best Practices:</w:t>
      </w:r>
    </w:p>
    <w:p>
      <w:pPr>
        <w:numPr>
          <w:ilvl w:val="0"/>
          <w:numId w:val="1047"/>
        </w:numPr>
        <w:pStyle w:val="Normal"/>
      </w:pPr>
      <w:r>
        <w:t xml:space="preserve">Deploy smart charging management systems</w:t>
      </w:r>
    </w:p>
    <w:p>
      <w:pPr>
        <w:numPr>
          <w:ilvl w:val="0"/>
          <w:numId w:val="1047"/>
        </w:numPr>
        <w:pStyle w:val="Normal"/>
      </w:pPr>
      <w:r>
        <w:t xml:space="preserve">Offer EV-specific rate plans</w:t>
      </w:r>
    </w:p>
    <w:p>
      <w:pPr>
        <w:numPr>
          <w:ilvl w:val="0"/>
          <w:numId w:val="1047"/>
        </w:numPr>
        <w:pStyle w:val="Normal"/>
      </w:pPr>
      <w:r>
        <w:t xml:space="preserve">Integrate charging demand into load forecasting</w:t>
      </w:r>
    </w:p>
    <w:p>
      <w:pPr>
        <w:numPr>
          <w:ilvl w:val="0"/>
          <w:numId w:val="1047"/>
        </w:numPr>
        <w:pStyle w:val="Normal"/>
      </w:pPr>
      <w:r>
        <w:t xml:space="preserve">Partner with automakers on V2G pilots</w:t>
      </w:r>
    </w:p>
    <w:p>
      <w:pPr>
        <w:numPr>
          <w:ilvl w:val="0"/>
          <w:numId w:val="1047"/>
        </w:numPr>
        <w:pStyle w:val="Normal"/>
      </w:pPr>
      <w:r>
        <w:t xml:space="preserve">Upgrade distribution transformers proactively</w:t>
      </w:r>
    </w:p>
    <w:p>
      <w:pPr>
        <w:pStyle w:val="Heading2"/>
      </w:pPr>
      <w:bookmarkStart w:id="100" w:name="comprehensive-lifecycle-management"/>
      <w:r>
        <w:rPr>
          <w:color w:val="FF0000"/>
        </w:rPr>
        <w:t xml:space="preserve">Comprehensive Lifecycle Management</w:t>
      </w:r>
      <w:bookmarkEnd w:id="100"/>
    </w:p>
    <w:p>
      <w:pPr>
        <w:pStyle w:val="Normal"/>
      </w:pPr>
      <w:r>
        <w:rPr>
          <w:b/>
        </w:rPr>
        <w:t xml:space="preserve">Manufacturer Responsibilities:</w:t>
      </w:r>
    </w:p>
    <w:p>
      <w:pPr>
        <w:numPr>
          <w:ilvl w:val="0"/>
          <w:numId w:val="1048"/>
        </w:numPr>
        <w:pStyle w:val="Normal"/>
      </w:pPr>
      <w:r>
        <w:t xml:space="preserve">Design for recyclability from the start</w:t>
      </w:r>
    </w:p>
    <w:p>
      <w:pPr>
        <w:numPr>
          <w:ilvl w:val="0"/>
          <w:numId w:val="1048"/>
        </w:numPr>
        <w:pStyle w:val="Normal"/>
      </w:pPr>
      <w:r>
        <w:t xml:space="preserve">Establish battery collection and take-back programs</w:t>
      </w:r>
    </w:p>
    <w:p>
      <w:pPr>
        <w:numPr>
          <w:ilvl w:val="0"/>
          <w:numId w:val="1048"/>
        </w:numPr>
        <w:pStyle w:val="Normal"/>
      </w:pPr>
      <w:r>
        <w:t xml:space="preserve">Partner with certified recyclers</w:t>
      </w:r>
    </w:p>
    <w:p>
      <w:pPr>
        <w:numPr>
          <w:ilvl w:val="0"/>
          <w:numId w:val="1048"/>
        </w:numPr>
        <w:pStyle w:val="Normal"/>
      </w:pPr>
      <w:r>
        <w:t xml:space="preserve">Develop second-life applications</w:t>
      </w:r>
    </w:p>
    <w:p>
      <w:pPr>
        <w:numPr>
          <w:ilvl w:val="0"/>
          <w:numId w:val="1048"/>
        </w:numPr>
        <w:pStyle w:val="Normal"/>
      </w:pPr>
      <w:r>
        <w:t xml:space="preserve">Provide battery health transparency to consumers</w:t>
      </w:r>
    </w:p>
    <w:p>
      <w:pPr>
        <w:pStyle w:val="Normal"/>
      </w:pPr>
      <w:r>
        <w:rPr>
          <w:b/>
        </w:rPr>
        <w:t xml:space="preserve">Regulatory Framework:</w:t>
      </w:r>
    </w:p>
    <w:p>
      <w:pPr>
        <w:numPr>
          <w:ilvl w:val="0"/>
          <w:numId w:val="1049"/>
        </w:numPr>
        <w:pStyle w:val="Normal"/>
      </w:pPr>
      <w:r>
        <w:t xml:space="preserve">Extended Producer Responsibility (EPR) requirements</w:t>
      </w:r>
    </w:p>
    <w:p>
      <w:pPr>
        <w:numPr>
          <w:ilvl w:val="0"/>
          <w:numId w:val="1049"/>
        </w:numPr>
        <w:pStyle w:val="Normal"/>
      </w:pPr>
      <w:r>
        <w:t xml:space="preserve">Minimum recycled content mandates</w:t>
      </w:r>
    </w:p>
    <w:p>
      <w:pPr>
        <w:numPr>
          <w:ilvl w:val="0"/>
          <w:numId w:val="1049"/>
        </w:numPr>
        <w:pStyle w:val="Normal"/>
      </w:pPr>
      <w:r>
        <w:t xml:space="preserve">Battery passport systems for traceability</w:t>
      </w:r>
    </w:p>
    <w:p>
      <w:pPr>
        <w:numPr>
          <w:ilvl w:val="0"/>
          <w:numId w:val="1049"/>
        </w:numPr>
        <w:pStyle w:val="Normal"/>
      </w:pPr>
      <w:r>
        <w:t xml:space="preserve">End-of-life processing standards</w:t>
      </w:r>
    </w:p>
    <w:p>
      <w:pPr>
        <w:numPr>
          <w:ilvl w:val="0"/>
          <w:numId w:val="1049"/>
        </w:numPr>
        <w:pStyle w:val="Normal"/>
      </w:pPr>
      <w:r>
        <w:t xml:space="preserve">Public-private partnership support for recycling infrastructure</w:t>
      </w:r>
    </w:p>
    <w:p>
      <w:pPr>
        <w:pStyle w:val="Heading2"/>
      </w:pPr>
      <w:bookmarkStart w:id="101" w:name="equitable-access-and-consumer-incentives"/>
      <w:r>
        <w:rPr>
          <w:color w:val="FF0000"/>
        </w:rPr>
        <w:t xml:space="preserve">Equitable Access and Consumer Incentives</w:t>
      </w:r>
      <w:bookmarkEnd w:id="101"/>
    </w:p>
    <w:p>
      <w:pPr>
        <w:pStyle w:val="Normal"/>
      </w:pPr>
      <w:r>
        <w:rPr>
          <w:b/>
        </w:rPr>
        <w:t xml:space="preserve">Government Actions:</w:t>
      </w:r>
    </w:p>
    <w:p>
      <w:pPr>
        <w:numPr>
          <w:ilvl w:val="0"/>
          <w:numId w:val="1050"/>
        </w:numPr>
        <w:pStyle w:val="Normal"/>
      </w:pPr>
      <w:r>
        <w:t xml:space="preserve">Provide targeted incentives for low-income households</w:t>
      </w:r>
    </w:p>
    <w:p>
      <w:pPr>
        <w:numPr>
          <w:ilvl w:val="0"/>
          <w:numId w:val="1050"/>
        </w:numPr>
        <w:pStyle w:val="Normal"/>
      </w:pPr>
      <w:r>
        <w:t xml:space="preserve">Support underserved community charging infrastructure</w:t>
      </w:r>
    </w:p>
    <w:p>
      <w:pPr>
        <w:numPr>
          <w:ilvl w:val="0"/>
          <w:numId w:val="1050"/>
        </w:numPr>
        <w:pStyle w:val="Normal"/>
      </w:pPr>
      <w:r>
        <w:t xml:space="preserve">Expand public charging in rural areas</w:t>
      </w:r>
    </w:p>
    <w:p>
      <w:pPr>
        <w:numPr>
          <w:ilvl w:val="0"/>
          <w:numId w:val="1050"/>
        </w:numPr>
        <w:pStyle w:val="Normal"/>
      </w:pPr>
      <w:r>
        <w:t xml:space="preserve">Offer point-of-sale rebates (not tax credits)</w:t>
      </w:r>
    </w:p>
    <w:p>
      <w:pPr>
        <w:numPr>
          <w:ilvl w:val="0"/>
          <w:numId w:val="1050"/>
        </w:numPr>
        <w:pStyle w:val="Normal"/>
      </w:pPr>
      <w:r>
        <w:t xml:space="preserve">Fund workplace charging programs</w:t>
      </w:r>
    </w:p>
    <w:p>
      <w:pPr>
        <w:numPr>
          <w:ilvl w:val="0"/>
          <w:numId w:val="1050"/>
        </w:numPr>
        <w:pStyle w:val="Normal"/>
      </w:pPr>
      <w:r>
        <w:t xml:space="preserve">Support used EV market development</w:t>
      </w:r>
    </w:p>
    <w:p>
      <w:pPr>
        <w:pStyle w:val="Normal"/>
      </w:pPr>
      <w:r>
        <w:rPr>
          <w:b/>
        </w:rPr>
        <w:t xml:space="preserve">Industry Actions:</w:t>
      </w:r>
    </w:p>
    <w:p>
      <w:pPr>
        <w:numPr>
          <w:ilvl w:val="0"/>
          <w:numId w:val="1051"/>
        </w:numPr>
        <w:pStyle w:val="Normal"/>
      </w:pPr>
      <w:r>
        <w:t xml:space="preserve">Develop affordable EV models</w:t>
      </w:r>
    </w:p>
    <w:p>
      <w:pPr>
        <w:numPr>
          <w:ilvl w:val="0"/>
          <w:numId w:val="1051"/>
        </w:numPr>
        <w:pStyle w:val="Normal"/>
      </w:pPr>
      <w:r>
        <w:t xml:space="preserve">Offer flexible financing and leasing options</w:t>
      </w:r>
    </w:p>
    <w:p>
      <w:pPr>
        <w:numPr>
          <w:ilvl w:val="0"/>
          <w:numId w:val="1051"/>
        </w:numPr>
        <w:pStyle w:val="Normal"/>
      </w:pPr>
      <w:r>
        <w:t xml:space="preserve">Partner with utilities on charging incentives</w:t>
      </w:r>
    </w:p>
    <w:p>
      <w:pPr>
        <w:numPr>
          <w:ilvl w:val="0"/>
          <w:numId w:val="1051"/>
        </w:numPr>
        <w:pStyle w:val="Normal"/>
      </w:pPr>
      <w:r>
        <w:t xml:space="preserve">Support multi-family dwelling charging solutions</w:t>
      </w:r>
    </w:p>
    <w:p>
      <w:pPr>
        <w:pStyle w:val="Heading2"/>
      </w:pPr>
      <w:bookmarkStart w:id="102" w:name="public-awareness-and-education"/>
      <w:r>
        <w:rPr>
          <w:color w:val="FF0000"/>
        </w:rPr>
        <w:t xml:space="preserve">Public Awareness and Education</w:t>
      </w:r>
      <w:bookmarkEnd w:id="102"/>
    </w:p>
    <w:p>
      <w:pPr>
        <w:pStyle w:val="Normal"/>
      </w:pPr>
      <w:r>
        <w:rPr>
          <w:b/>
        </w:rPr>
        <w:t xml:space="preserve">Key Messages:</w:t>
      </w:r>
    </w:p>
    <w:p>
      <w:pPr>
        <w:numPr>
          <w:ilvl w:val="0"/>
          <w:numId w:val="1052"/>
        </w:numPr>
        <w:pStyle w:val="Normal"/>
      </w:pPr>
      <w:r>
        <w:t xml:space="preserve">Total cost of ownership advantages</w:t>
      </w:r>
    </w:p>
    <w:p>
      <w:pPr>
        <w:numPr>
          <w:ilvl w:val="0"/>
          <w:numId w:val="1052"/>
        </w:numPr>
        <w:pStyle w:val="Normal"/>
      </w:pPr>
      <w:r>
        <w:t xml:space="preserve">Environmental benefits with context (grid matters)</w:t>
      </w:r>
    </w:p>
    <w:p>
      <w:pPr>
        <w:numPr>
          <w:ilvl w:val="0"/>
          <w:numId w:val="1052"/>
        </w:numPr>
        <w:pStyle w:val="Normal"/>
      </w:pPr>
      <w:r>
        <w:t xml:space="preserve">Home charging convenience</w:t>
      </w:r>
    </w:p>
    <w:p>
      <w:pPr>
        <w:numPr>
          <w:ilvl w:val="0"/>
          <w:numId w:val="1052"/>
        </w:numPr>
        <w:pStyle w:val="Normal"/>
      </w:pPr>
      <w:r>
        <w:t xml:space="preserve">Maintenance savings</w:t>
      </w:r>
    </w:p>
    <w:p>
      <w:pPr>
        <w:numPr>
          <w:ilvl w:val="0"/>
          <w:numId w:val="1052"/>
        </w:numPr>
        <w:pStyle w:val="Normal"/>
      </w:pPr>
      <w:r>
        <w:t xml:space="preserve">Performance benefits</w:t>
      </w:r>
    </w:p>
    <w:p>
      <w:pPr>
        <w:numPr>
          <w:ilvl w:val="0"/>
          <w:numId w:val="1052"/>
        </w:numPr>
        <w:pStyle w:val="Normal"/>
      </w:pPr>
      <w:r>
        <w:t xml:space="preserve">Incentive availability</w:t>
      </w:r>
    </w:p>
    <w:p>
      <w:pPr>
        <w:pStyle w:val="Normal"/>
      </w:pPr>
      <w:r>
        <w:rPr>
          <w:b/>
        </w:rPr>
        <w:t xml:space="preserve">Avoiding Common Pitfalls:</w:t>
      </w:r>
    </w:p>
    <w:p>
      <w:pPr>
        <w:numPr>
          <w:ilvl w:val="0"/>
          <w:numId w:val="1053"/>
        </w:numPr>
        <w:pStyle w:val="Normal"/>
      </w:pPr>
      <w:r>
        <w:t xml:space="preserve">Do not neglect end-of-life planning</w:t>
      </w:r>
    </w:p>
    <w:p>
      <w:pPr>
        <w:numPr>
          <w:ilvl w:val="0"/>
          <w:numId w:val="1053"/>
        </w:numPr>
        <w:pStyle w:val="Normal"/>
      </w:pPr>
      <w:r>
        <w:t xml:space="preserve">Do not underestimate grid infrastructure needs</w:t>
      </w:r>
    </w:p>
    <w:p>
      <w:pPr>
        <w:numPr>
          <w:ilvl w:val="0"/>
          <w:numId w:val="1053"/>
        </w:numPr>
        <w:pStyle w:val="Normal"/>
      </w:pPr>
      <w:r>
        <w:t xml:space="preserve">Do not ignore equity and access issues</w:t>
      </w:r>
    </w:p>
    <w:p>
      <w:pPr>
        <w:numPr>
          <w:ilvl w:val="0"/>
          <w:numId w:val="1053"/>
        </w:numPr>
        <w:pStyle w:val="Normal"/>
      </w:pPr>
      <w:r>
        <w:t xml:space="preserve">Do not oversimplify environmental claims</w:t>
      </w:r>
    </w:p>
    <w:p>
      <w:pPr>
        <w:numPr>
          <w:ilvl w:val="0"/>
          <w:numId w:val="1053"/>
        </w:numPr>
        <w:pStyle w:val="Normal"/>
      </w:pPr>
      <w:r>
        <w:t xml:space="preserve">Do not overlook consumer education needs</w:t>
      </w:r>
    </w:p>
    <w:p>
      <w:pPr>
        <w:pStyle w:val="Heading1"/>
      </w:pPr>
      <w:bookmarkStart w:id="103" w:name="future-outlook-and-trends"/>
      <w:r>
        <w:rPr>
          <w:color w:val="FF0000"/>
        </w:rPr>
        <w:t xml:space="preserve">Future Outlook and Trends</w:t>
      </w:r>
      <w:bookmarkEnd w:id="103"/>
    </w:p>
    <w:p>
      <w:pPr>
        <w:pStyle w:val="Heading2"/>
      </w:pPr>
      <w:bookmarkStart w:id="104" w:name="battery-technology-breakthroughs"/>
      <w:r>
        <w:rPr>
          <w:color w:val="FF0000"/>
        </w:rPr>
        <w:t xml:space="preserve">Battery Technology Breakthroughs</w:t>
      </w:r>
      <w:bookmarkEnd w:id="104"/>
    </w:p>
    <w:p>
      <w:pPr>
        <w:pStyle w:val="Heading3"/>
      </w:pPr>
      <w:bookmarkStart w:id="105" w:name="solid-state-batteries"/>
      <w:r>
        <w:rPr>
          <w:color w:val="FF0000"/>
        </w:rPr>
        <w:t xml:space="preserve">Solid-State Batteries</w:t>
      </w:r>
      <w:bookmarkEnd w:id="105"/>
    </w:p>
    <w:p>
      <w:pPr>
        <w:pStyle w:val="Normal"/>
      </w:pPr>
      <w:r>
        <w:t xml:space="preserve">Solid-state batteries replace flammable liquid electrolyte with solid ceramic, polymer, or sulfide electrolyte.</w:t>
      </w:r>
    </w:p>
    <w:p>
      <w:pPr>
        <w:pStyle w:val="BodyText"/>
      </w:pPr>
      <w:r>
        <w:rPr>
          <w:b/>
        </w:rPr>
        <w:t xml:space="preserve">Environmental Impact:</w:t>
      </w:r>
    </w:p>
    <w:p>
      <w:pPr>
        <w:numPr>
          <w:ilvl w:val="0"/>
          <w:numId w:val="1054"/>
        </w:numPr>
        <w:pStyle w:val="Normal"/>
      </w:pPr>
      <w:r>
        <w:t xml:space="preserve">SSBs using oxide electrolytes and NMC-811 cathodes can reduce Global Warming Potential by 24% compared to current LIBs</w:t>
      </w:r>
    </w:p>
    <w:p>
      <w:pPr>
        <w:numPr>
          <w:ilvl w:val="0"/>
          <w:numId w:val="1054"/>
        </w:numPr>
        <w:pStyle w:val="Normal"/>
      </w:pPr>
      <w:r>
        <w:t xml:space="preserve">Higher energy density (400 Wh/kg vs 250 Wh/kg) requires fewer materials for same range</w:t>
      </w:r>
    </w:p>
    <w:p>
      <w:pPr>
        <w:pStyle w:val="Normal"/>
      </w:pPr>
      <w:r>
        <w:rPr>
          <w:b/>
        </w:rPr>
        <w:t xml:space="preserve">Commercialization Timeline:</w:t>
      </w:r>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Company</w:t>
            </w:r>
          </w:p>
        </w:tc>
        <w:tc>
          <w:tcPr>
            <w:tcBorders>
              <w:bottom w:val="single"/>
            </w:tcBorders>
            <w:vAlign w:val="bottom"/>
          </w:tcPr>
          <w:p>
            <w:pPr>
              <w:pStyle w:val="Normal"/>
              <w:jc w:val="left"/>
            </w:pPr>
            <w:r>
              <w:t xml:space="preserve">Target Date</w:t>
            </w:r>
          </w:p>
        </w:tc>
        <w:tc>
          <w:tcPr>
            <w:tcBorders>
              <w:bottom w:val="single"/>
            </w:tcBorders>
            <w:vAlign w:val="bottom"/>
          </w:tcPr>
          <w:p>
            <w:pPr>
              <w:pStyle w:val="Normal"/>
              <w:jc w:val="left"/>
            </w:pPr>
            <w:r>
              <w:t xml:space="preserve">Initial Application</w:t>
            </w:r>
          </w:p>
        </w:tc>
      </w:tr>
      <w:tr>
        <w:tc>
          <w:p>
            <w:pPr>
              <w:pStyle w:val="Normal"/>
              <w:jc w:val="left"/>
            </w:pPr>
            <w:r>
              <w:t xml:space="preserve">QuantumScape</w:t>
            </w:r>
          </w:p>
        </w:tc>
        <w:tc>
          <w:p>
            <w:pPr>
              <w:pStyle w:val="Normal"/>
              <w:jc w:val="left"/>
            </w:pPr>
            <w:r>
              <w:t xml:space="preserve">2026-2027</w:t>
            </w:r>
          </w:p>
        </w:tc>
        <w:tc>
          <w:p>
            <w:pPr>
              <w:pStyle w:val="Normal"/>
              <w:jc w:val="left"/>
            </w:pPr>
            <w:r>
              <w:t xml:space="preserve">Premium BEVs</w:t>
            </w:r>
          </w:p>
        </w:tc>
      </w:tr>
      <w:tr>
        <w:tc>
          <w:p>
            <w:pPr>
              <w:pStyle w:val="Normal"/>
              <w:jc w:val="left"/>
            </w:pPr>
            <w:r>
              <w:t xml:space="preserve">Toyota</w:t>
            </w:r>
          </w:p>
        </w:tc>
        <w:tc>
          <w:p>
            <w:pPr>
              <w:pStyle w:val="Normal"/>
              <w:jc w:val="left"/>
            </w:pPr>
            <w:r>
              <w:t xml:space="preserve">2027-2028</w:t>
            </w:r>
          </w:p>
        </w:tc>
        <w:tc>
          <w:p>
            <w:pPr>
              <w:pStyle w:val="Normal"/>
              <w:jc w:val="left"/>
            </w:pPr>
            <w:r>
              <w:t xml:space="preserve">Hybrids first, then BEVs</w:t>
            </w:r>
          </w:p>
        </w:tc>
      </w:tr>
      <w:tr>
        <w:tc>
          <w:p>
            <w:pPr>
              <w:pStyle w:val="Normal"/>
              <w:jc w:val="left"/>
            </w:pPr>
            <w:r>
              <w:t xml:space="preserve">Samsung SDI</w:t>
            </w:r>
          </w:p>
        </w:tc>
        <w:tc>
          <w:p>
            <w:pPr>
              <w:pStyle w:val="Normal"/>
              <w:jc w:val="left"/>
            </w:pPr>
            <w:r>
              <w:t xml:space="preserve">2027</w:t>
            </w:r>
          </w:p>
        </w:tc>
        <w:tc>
          <w:p>
            <w:pPr>
              <w:pStyle w:val="Normal"/>
              <w:jc w:val="left"/>
            </w:pPr>
            <w:r>
              <w:t xml:space="preserve">Premium vehicles</w:t>
            </w:r>
          </w:p>
        </w:tc>
      </w:tr>
      <w:tr>
        <w:tc>
          <w:p>
            <w:pPr>
              <w:pStyle w:val="Normal"/>
              <w:jc w:val="left"/>
            </w:pPr>
            <w:r>
              <w:t xml:space="preserve">Solid Power</w:t>
            </w:r>
          </w:p>
        </w:tc>
        <w:tc>
          <w:p>
            <w:pPr>
              <w:pStyle w:val="Normal"/>
              <w:jc w:val="left"/>
            </w:pPr>
            <w:r>
              <w:t xml:space="preserve">2026</w:t>
            </w:r>
          </w:p>
        </w:tc>
        <w:tc>
          <w:p>
            <w:pPr>
              <w:pStyle w:val="Normal"/>
              <w:jc w:val="left"/>
            </w:pPr>
            <w:r>
              <w:t xml:space="preserve">Various OEMs</w:t>
            </w:r>
          </w:p>
        </w:tc>
      </w:tr>
    </w:tbl>
    <w:p>
      <w:pPr>
        <w:pStyle w:val="Heading3"/>
      </w:pPr>
      <w:bookmarkStart w:id="106" w:name="sodium-ion-batteries"/>
      <w:r>
        <w:rPr>
          <w:color w:val="FF0000"/>
        </w:rPr>
        <w:t xml:space="preserve">Sodium-Ion Batteries</w:t>
      </w:r>
      <w:bookmarkEnd w:id="106"/>
    </w:p>
    <w:p>
      <w:pPr>
        <w:pStyle w:val="Normal"/>
      </w:pPr>
      <w:r>
        <w:t xml:space="preserve">Sodium-ion technology eliminates need for lithium and cobalt.</w:t>
      </w:r>
    </w:p>
    <w:p>
      <w:pPr>
        <w:pStyle w:val="BodyText"/>
      </w:pPr>
      <w:r>
        <w:rPr>
          <w:b/>
        </w:rPr>
        <w:t xml:space="preserve">Current Status:</w:t>
      </w:r>
    </w:p>
    <w:p>
      <w:pPr>
        <w:numPr>
          <w:ilvl w:val="0"/>
          <w:numId w:val="1055"/>
        </w:numPr>
        <w:pStyle w:val="Normal"/>
      </w:pPr>
      <w:r>
        <w:t xml:space="preserve">CATL and BYD aggressively scaling production</w:t>
      </w:r>
    </w:p>
    <w:p>
      <w:pPr>
        <w:numPr>
          <w:ilvl w:val="0"/>
          <w:numId w:val="1055"/>
        </w:numPr>
        <w:pStyle w:val="Normal"/>
      </w:pPr>
      <w:r>
        <w:t xml:space="preserve">2025 global shipments: 9 GWh</w:t>
      </w:r>
    </w:p>
    <w:p>
      <w:pPr>
        <w:numPr>
          <w:ilvl w:val="0"/>
          <w:numId w:val="1055"/>
        </w:numPr>
        <w:pStyle w:val="Normal"/>
      </w:pPr>
      <w:r>
        <w:t xml:space="preserve">Being installed in passenger vehicles (Chery, Changan models)</w:t>
      </w:r>
    </w:p>
    <w:p>
      <w:pPr>
        <w:pStyle w:val="Normal"/>
      </w:pPr>
      <w:r>
        <w:rPr>
          <w:b/>
        </w:rPr>
        <w:t xml:space="preserve">Advantages:</w:t>
      </w:r>
    </w:p>
    <w:p>
      <w:pPr>
        <w:numPr>
          <w:ilvl w:val="0"/>
          <w:numId w:val="1056"/>
        </w:numPr>
        <w:pStyle w:val="Normal"/>
      </w:pPr>
      <w:r>
        <w:t xml:space="preserve">Superior cold-weather performance (90% capacity at -20C)</w:t>
      </w:r>
    </w:p>
    <w:p>
      <w:pPr>
        <w:numPr>
          <w:ilvl w:val="0"/>
          <w:numId w:val="1056"/>
        </w:numPr>
        <w:pStyle w:val="Normal"/>
      </w:pPr>
      <w:r>
        <w:t xml:space="preserve">30-40% cheaper materials than lithium</w:t>
      </w:r>
    </w:p>
    <w:p>
      <w:pPr>
        <w:numPr>
          <w:ilvl w:val="0"/>
          <w:numId w:val="1056"/>
        </w:numPr>
        <w:pStyle w:val="Normal"/>
      </w:pPr>
      <w:r>
        <w:t xml:space="preserve">Abundant sodium supply (from soda ash)</w:t>
      </w:r>
    </w:p>
    <w:p>
      <w:pPr>
        <w:numPr>
          <w:ilvl w:val="0"/>
          <w:numId w:val="1056"/>
        </w:numPr>
        <w:pStyle w:val="Normal"/>
      </w:pPr>
      <w:r>
        <w:t xml:space="preserve">Ideal for standard-range vehicles</w:t>
      </w:r>
    </w:p>
    <w:p>
      <w:pPr>
        <w:pStyle w:val="Heading2"/>
      </w:pPr>
      <w:bookmarkStart w:id="107" w:name="autonomous-and-connected-vehicles"/>
      <w:r>
        <w:rPr>
          <w:color w:val="FF0000"/>
        </w:rPr>
        <w:t xml:space="preserve">Autonomous and Connected Vehicles</w:t>
      </w:r>
      <w:bookmarkEnd w:id="107"/>
    </w:p>
    <w:p>
      <w:pPr>
        <w:pStyle w:val="Normal"/>
      </w:pPr>
      <w:r>
        <w:t xml:space="preserve">The convergence of electrification with autonomous driving enables:</w:t>
      </w:r>
    </w:p>
    <w:p>
      <w:pPr>
        <w:numPr>
          <w:ilvl w:val="0"/>
          <w:numId w:val="1057"/>
        </w:numPr>
        <w:pStyle w:val="Normal"/>
      </w:pPr>
      <w:r>
        <w:t xml:space="preserve">Shared, on-demand electric fleets</w:t>
      </w:r>
    </w:p>
    <w:p>
      <w:pPr>
        <w:numPr>
          <w:ilvl w:val="0"/>
          <w:numId w:val="1057"/>
        </w:numPr>
        <w:pStyle w:val="Normal"/>
      </w:pPr>
      <w:r>
        <w:t xml:space="preserve">Optimized routing reducing energy use</w:t>
      </w:r>
    </w:p>
    <w:p>
      <w:pPr>
        <w:numPr>
          <w:ilvl w:val="0"/>
          <w:numId w:val="1057"/>
        </w:numPr>
        <w:pStyle w:val="Normal"/>
      </w:pPr>
      <w:r>
        <w:t xml:space="preserve">Automated charging coordination</w:t>
      </w:r>
    </w:p>
    <w:p>
      <w:pPr>
        <w:numPr>
          <w:ilvl w:val="0"/>
          <w:numId w:val="1057"/>
        </w:numPr>
        <w:pStyle w:val="Normal"/>
      </w:pPr>
      <w:r>
        <w:t xml:space="preserve">Reduced private car ownership</w:t>
      </w:r>
    </w:p>
    <w:p>
      <w:pPr>
        <w:numPr>
          <w:ilvl w:val="0"/>
          <w:numId w:val="1057"/>
        </w:numPr>
        <w:pStyle w:val="Normal"/>
      </w:pPr>
      <w:r>
        <w:t xml:space="preserve">Lower emissions per passenger-mile</w:t>
      </w:r>
    </w:p>
    <w:p>
      <w:pPr>
        <w:pStyle w:val="Heading2"/>
      </w:pPr>
      <w:bookmarkStart w:id="108" w:name="global-policy-momentum"/>
      <w:r>
        <w:rPr>
          <w:color w:val="FF0000"/>
        </w:rPr>
        <w:t xml:space="preserve">Global Policy Momentum</w:t>
      </w:r>
      <w:bookmarkEnd w:id="108"/>
    </w:p>
    <w:p>
      <w:pPr>
        <w:pStyle w:val="Normal"/>
      </w:pPr>
      <w:r>
        <w:t xml:space="preserve">Over 20 countries have announced plans to ban new ICE vehicle sales by 2035-2040.</w:t>
      </w:r>
    </w:p>
    <w:p>
      <w:pPr>
        <w:pStyle w:val="Heading3"/>
      </w:pPr>
      <w:bookmarkStart w:id="109" w:name="table-ice-phase-out-commitments"/>
      <w:r>
        <w:rPr>
          <w:color w:val="FF0000"/>
        </w:rPr>
        <w:t xml:space="preserve">Table: ICE Phase-Out Commitments</w:t>
      </w:r>
      <w:bookmarkEnd w:id="109"/>
    </w:p>
    <w:tbl>
      <w:tblPr>
        <w:tblStyle w:val="TableNormal"/>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Normal"/>
              <w:jc w:val="left"/>
            </w:pPr>
            <w:r>
              <w:t xml:space="preserve">Jurisdiction</w:t>
            </w:r>
          </w:p>
        </w:tc>
        <w:tc>
          <w:tcPr>
            <w:tcBorders>
              <w:bottom w:val="single"/>
            </w:tcBorders>
            <w:vAlign w:val="bottom"/>
          </w:tcPr>
          <w:p>
            <w:pPr>
              <w:pStyle w:val="Normal"/>
              <w:jc w:val="left"/>
            </w:pPr>
            <w:r>
              <w:t xml:space="preserve">Target Year</w:t>
            </w:r>
          </w:p>
        </w:tc>
        <w:tc>
          <w:tcPr>
            <w:tcBorders>
              <w:bottom w:val="single"/>
            </w:tcBorders>
            <w:vAlign w:val="bottom"/>
          </w:tcPr>
          <w:p>
            <w:pPr>
              <w:pStyle w:val="Normal"/>
              <w:jc w:val="left"/>
            </w:pPr>
            <w:r>
              <w:t xml:space="preserve">Scope</w:t>
            </w:r>
          </w:p>
        </w:tc>
      </w:tr>
      <w:tr>
        <w:tc>
          <w:p>
            <w:pPr>
              <w:pStyle w:val="Normal"/>
              <w:jc w:val="left"/>
            </w:pPr>
            <w:r>
              <w:t xml:space="preserve">Norway</w:t>
            </w:r>
          </w:p>
        </w:tc>
        <w:tc>
          <w:p>
            <w:pPr>
              <w:pStyle w:val="Normal"/>
              <w:jc w:val="left"/>
            </w:pPr>
            <w:r>
              <w:t xml:space="preserve">2025</w:t>
            </w:r>
          </w:p>
        </w:tc>
        <w:tc>
          <w:p>
            <w:pPr>
              <w:pStyle w:val="Normal"/>
              <w:jc w:val="left"/>
            </w:pPr>
            <w:r>
              <w:t xml:space="preserve">All new cars</w:t>
            </w:r>
          </w:p>
        </w:tc>
      </w:tr>
      <w:tr>
        <w:tc>
          <w:p>
            <w:pPr>
              <w:pStyle w:val="Normal"/>
              <w:jc w:val="left"/>
            </w:pPr>
            <w:r>
              <w:t xml:space="preserve">European Union</w:t>
            </w:r>
          </w:p>
        </w:tc>
        <w:tc>
          <w:p>
            <w:pPr>
              <w:pStyle w:val="Normal"/>
              <w:jc w:val="left"/>
            </w:pPr>
            <w:r>
              <w:t xml:space="preserve">2035</w:t>
            </w:r>
          </w:p>
        </w:tc>
        <w:tc>
          <w:p>
            <w:pPr>
              <w:pStyle w:val="Normal"/>
              <w:jc w:val="left"/>
            </w:pPr>
            <w:r>
              <w:t xml:space="preserve">All new cars</w:t>
            </w:r>
          </w:p>
        </w:tc>
      </w:tr>
      <w:tr>
        <w:tc>
          <w:p>
            <w:pPr>
              <w:pStyle w:val="Normal"/>
              <w:jc w:val="left"/>
            </w:pPr>
            <w:r>
              <w:t xml:space="preserve">California</w:t>
            </w:r>
          </w:p>
        </w:tc>
        <w:tc>
          <w:p>
            <w:pPr>
              <w:pStyle w:val="Normal"/>
              <w:jc w:val="left"/>
            </w:pPr>
            <w:r>
              <w:t xml:space="preserve">2035</w:t>
            </w:r>
          </w:p>
        </w:tc>
        <w:tc>
          <w:p>
            <w:pPr>
              <w:pStyle w:val="Normal"/>
              <w:jc w:val="left"/>
            </w:pPr>
            <w:r>
              <w:t xml:space="preserve">All new cars</w:t>
            </w:r>
          </w:p>
        </w:tc>
      </w:tr>
      <w:tr>
        <w:tc>
          <w:p>
            <w:pPr>
              <w:pStyle w:val="Normal"/>
              <w:jc w:val="left"/>
            </w:pPr>
            <w:r>
              <w:t xml:space="preserve">United Kingdom</w:t>
            </w:r>
          </w:p>
        </w:tc>
        <w:tc>
          <w:p>
            <w:pPr>
              <w:pStyle w:val="Normal"/>
              <w:jc w:val="left"/>
            </w:pPr>
            <w:r>
              <w:t xml:space="preserve">2035</w:t>
            </w:r>
          </w:p>
        </w:tc>
        <w:tc>
          <w:p>
            <w:pPr>
              <w:pStyle w:val="Normal"/>
              <w:jc w:val="left"/>
            </w:pPr>
            <w:r>
              <w:t xml:space="preserve">All new cars</w:t>
            </w:r>
          </w:p>
        </w:tc>
      </w:tr>
      <w:tr>
        <w:tc>
          <w:p>
            <w:pPr>
              <w:pStyle w:val="Normal"/>
              <w:jc w:val="left"/>
            </w:pPr>
            <w:r>
              <w:t xml:space="preserve">Canada</w:t>
            </w:r>
          </w:p>
        </w:tc>
        <w:tc>
          <w:p>
            <w:pPr>
              <w:pStyle w:val="Normal"/>
              <w:jc w:val="left"/>
            </w:pPr>
            <w:r>
              <w:t xml:space="preserve">2035</w:t>
            </w:r>
          </w:p>
        </w:tc>
        <w:tc>
          <w:p>
            <w:pPr>
              <w:pStyle w:val="Normal"/>
              <w:jc w:val="left"/>
            </w:pPr>
            <w:r>
              <w:t xml:space="preserve">All new cars</w:t>
            </w:r>
          </w:p>
        </w:tc>
      </w:tr>
      <w:tr>
        <w:tc>
          <w:p>
            <w:pPr>
              <w:pStyle w:val="Normal"/>
              <w:jc w:val="left"/>
            </w:pPr>
            <w:r>
              <w:t xml:space="preserve">China</w:t>
            </w:r>
          </w:p>
        </w:tc>
        <w:tc>
          <w:p>
            <w:pPr>
              <w:pStyle w:val="Normal"/>
              <w:jc w:val="left"/>
            </w:pPr>
            <w:r>
              <w:t xml:space="preserve">2035</w:t>
            </w:r>
          </w:p>
        </w:tc>
        <w:tc>
          <w:p>
            <w:pPr>
              <w:pStyle w:val="Normal"/>
              <w:jc w:val="left"/>
            </w:pPr>
            <w:r>
              <w:t xml:space="preserve">50% NEV target</w:t>
            </w:r>
          </w:p>
        </w:tc>
      </w:tr>
      <w:tr>
        <w:tc>
          <w:p>
            <w:pPr>
              <w:pStyle w:val="Normal"/>
              <w:jc w:val="left"/>
            </w:pPr>
            <w:r>
              <w:t xml:space="preserve">Japan</w:t>
            </w:r>
          </w:p>
        </w:tc>
        <w:tc>
          <w:p>
            <w:pPr>
              <w:pStyle w:val="Normal"/>
              <w:jc w:val="left"/>
            </w:pPr>
            <w:r>
              <w:t xml:space="preserve">2035</w:t>
            </w:r>
          </w:p>
        </w:tc>
        <w:tc>
          <w:p>
            <w:pPr>
              <w:pStyle w:val="Normal"/>
              <w:jc w:val="left"/>
            </w:pPr>
            <w:r>
              <w:t xml:space="preserve">All new cars</w:t>
            </w:r>
          </w:p>
        </w:tc>
      </w:tr>
    </w:tbl>
    <w:p>
      <w:pPr>
        <w:pStyle w:val="Heading2"/>
      </w:pPr>
      <w:bookmarkStart w:id="110" w:name="emerging-markets"/>
      <w:r>
        <w:rPr>
          <w:color w:val="FF0000"/>
        </w:rPr>
        <w:t xml:space="preserve">Emerging Markets</w:t>
      </w:r>
      <w:bookmarkEnd w:id="110"/>
    </w:p>
    <w:p>
      <w:pPr>
        <w:pStyle w:val="Normal"/>
      </w:pPr>
      <w:r>
        <w:t xml:space="preserve">Asia and Africa represent the next frontier for EV adoption.</w:t>
      </w:r>
    </w:p>
    <w:p>
      <w:pPr>
        <w:pStyle w:val="BodyText"/>
      </w:pPr>
      <w:r>
        <w:rPr>
          <w:b/>
        </w:rPr>
        <w:t xml:space="preserve">Key Success Factors:</w:t>
      </w:r>
    </w:p>
    <w:p>
      <w:pPr>
        <w:numPr>
          <w:ilvl w:val="0"/>
          <w:numId w:val="1058"/>
        </w:numPr>
        <w:pStyle w:val="Normal"/>
      </w:pPr>
      <w:r>
        <w:t xml:space="preserve">Affordable models under $15,000</w:t>
      </w:r>
    </w:p>
    <w:p>
      <w:pPr>
        <w:numPr>
          <w:ilvl w:val="0"/>
          <w:numId w:val="1058"/>
        </w:numPr>
        <w:pStyle w:val="Normal"/>
      </w:pPr>
      <w:r>
        <w:t xml:space="preserve">Battery swapping infrastructure</w:t>
      </w:r>
    </w:p>
    <w:p>
      <w:pPr>
        <w:numPr>
          <w:ilvl w:val="0"/>
          <w:numId w:val="1058"/>
        </w:numPr>
        <w:pStyle w:val="Normal"/>
      </w:pPr>
      <w:r>
        <w:t xml:space="preserve">Local manufacturing development</w:t>
      </w:r>
    </w:p>
    <w:p>
      <w:pPr>
        <w:numPr>
          <w:ilvl w:val="0"/>
          <w:numId w:val="1058"/>
        </w:numPr>
        <w:pStyle w:val="Normal"/>
      </w:pPr>
      <w:r>
        <w:t xml:space="preserve">Two/three-wheeler electrification</w:t>
      </w:r>
    </w:p>
    <w:p>
      <w:pPr>
        <w:numPr>
          <w:ilvl w:val="0"/>
          <w:numId w:val="1058"/>
        </w:numPr>
        <w:pStyle w:val="Normal"/>
      </w:pPr>
      <w:r>
        <w:t xml:space="preserve">Innovative financing models</w:t>
      </w:r>
    </w:p>
    <w:p>
      <w:pPr>
        <w:numPr>
          <w:ilvl w:val="0"/>
          <w:numId w:val="1058"/>
        </w:numPr>
        <w:pStyle w:val="Normal"/>
      </w:pPr>
      <w:r>
        <w:t xml:space="preserve">Second-life battery applications</w:t>
      </w:r>
    </w:p>
    <w:p>
      <w:pPr>
        <w:pStyle w:val="Heading2"/>
      </w:pPr>
      <w:bookmarkStart w:id="111" w:name="heavy-duty-transport-evolution"/>
      <w:r>
        <w:rPr>
          <w:color w:val="FF0000"/>
        </w:rPr>
        <w:t xml:space="preserve">Heavy-Duty Transport Evolution</w:t>
      </w:r>
      <w:bookmarkEnd w:id="111"/>
    </w:p>
    <w:p>
      <w:pPr>
        <w:pStyle w:val="Heading3"/>
      </w:pPr>
      <w:bookmarkStart w:id="112" w:name="battery-electric-trucks"/>
      <w:r>
        <w:rPr>
          <w:color w:val="FF0000"/>
        </w:rPr>
        <w:t xml:space="preserve">Battery Electric Trucks</w:t>
      </w:r>
      <w:bookmarkEnd w:id="112"/>
    </w:p>
    <w:p>
      <w:pPr>
        <w:numPr>
          <w:ilvl w:val="0"/>
          <w:numId w:val="1059"/>
        </w:numPr>
        <w:pStyle w:val="Normal"/>
      </w:pPr>
      <w:r>
        <w:t xml:space="preserve">Winning market for short-haul and urban logistics</w:t>
      </w:r>
    </w:p>
    <w:p>
      <w:pPr>
        <w:numPr>
          <w:ilvl w:val="0"/>
          <w:numId w:val="1059"/>
        </w:numPr>
        <w:pStyle w:val="Normal"/>
      </w:pPr>
      <w:r>
        <w:t xml:space="preserve">China: 22% market share in H1 2025</w:t>
      </w:r>
    </w:p>
    <w:p>
      <w:pPr>
        <w:numPr>
          <w:ilvl w:val="0"/>
          <w:numId w:val="1059"/>
        </w:numPr>
        <w:pStyle w:val="Normal"/>
      </w:pPr>
      <w:r>
        <w:t xml:space="preserve">Battery swapping mitigates charging downtime</w:t>
      </w:r>
    </w:p>
    <w:p>
      <w:pPr>
        <w:numPr>
          <w:ilvl w:val="0"/>
          <w:numId w:val="1059"/>
        </w:numPr>
        <w:pStyle w:val="Normal"/>
      </w:pPr>
      <w:r>
        <w:t xml:space="preserve">Energy costs 50%+ lower than diesel</w:t>
      </w:r>
    </w:p>
    <w:p>
      <w:pPr>
        <w:pStyle w:val="Heading3"/>
      </w:pPr>
      <w:bookmarkStart w:id="113" w:name="hydrogen-fuel-cell-trucks"/>
      <w:r>
        <w:rPr>
          <w:color w:val="FF0000"/>
        </w:rPr>
        <w:t xml:space="preserve">Hydrogen Fuel Cell Trucks</w:t>
      </w:r>
      <w:bookmarkEnd w:id="113"/>
    </w:p>
    <w:p>
      <w:pPr>
        <w:numPr>
          <w:ilvl w:val="0"/>
          <w:numId w:val="1060"/>
        </w:numPr>
        <w:pStyle w:val="Normal"/>
      </w:pPr>
      <w:r>
        <w:t xml:space="preserve">Theoretical advantage for long-haul (energy density, refueling speed)</w:t>
      </w:r>
    </w:p>
    <w:p>
      <w:pPr>
        <w:numPr>
          <w:ilvl w:val="0"/>
          <w:numId w:val="1060"/>
        </w:numPr>
        <w:pStyle w:val="Normal"/>
      </w:pPr>
      <w:r>
        <w:t xml:space="preserve">Currently 35% higher purchase price than diesel</w:t>
      </w:r>
    </w:p>
    <w:p>
      <w:pPr>
        <w:numPr>
          <w:ilvl w:val="0"/>
          <w:numId w:val="1060"/>
        </w:numPr>
        <w:pStyle w:val="Normal"/>
      </w:pPr>
      <w:r>
        <w:t xml:space="preserve">Infrastructure buildout needed</w:t>
      </w:r>
    </w:p>
    <w:p>
      <w:pPr>
        <w:numPr>
          <w:ilvl w:val="0"/>
          <w:numId w:val="1060"/>
        </w:numPr>
        <w:pStyle w:val="Normal"/>
      </w:pPr>
      <w:r>
        <w:t xml:space="preserve">Expected significant market share in heavy segment (&gt;16 tons) by 2030</w:t>
      </w:r>
    </w:p>
    <w:p>
      <w:pPr>
        <w:pStyle w:val="Heading1"/>
      </w:pPr>
      <w:bookmarkStart w:id="114" w:name="case-studies"/>
      <w:r>
        <w:rPr>
          <w:color w:val="FF0000"/>
        </w:rPr>
        <w:t xml:space="preserve">Case Studies</w:t>
      </w:r>
      <w:bookmarkEnd w:id="114"/>
    </w:p>
    <w:p>
      <w:pPr>
        <w:pStyle w:val="Heading2"/>
      </w:pPr>
      <w:bookmarkStart w:id="115" w:name="norway-leading-the-ev-revolution"/>
      <w:r>
        <w:rPr>
          <w:color w:val="FF0000"/>
        </w:rPr>
        <w:t xml:space="preserve">Norway: Leading the EV Revolution</w:t>
      </w:r>
      <w:bookmarkEnd w:id="115"/>
    </w:p>
    <w:p>
      <w:pPr>
        <w:pStyle w:val="Heading3"/>
      </w:pPr>
      <w:bookmarkStart w:id="116" w:name="overview-1"/>
      <w:r>
        <w:rPr>
          <w:color w:val="FF0000"/>
        </w:rPr>
        <w:t xml:space="preserve">Overview</w:t>
      </w:r>
      <w:bookmarkEnd w:id="116"/>
    </w:p>
    <w:p>
      <w:pPr>
        <w:pStyle w:val="Normal"/>
      </w:pPr>
      <w:r>
        <w:t xml:space="preserve">Norway boasts the highest EV market share in the world, with 79% of new car sales in 2022 being electric.</w:t>
      </w:r>
    </w:p>
    <w:p>
      <w:pPr>
        <w:pStyle w:val="Heading3"/>
      </w:pPr>
      <w:bookmarkStart w:id="117" w:name="success-factors"/>
      <w:r>
        <w:rPr>
          <w:color w:val="FF0000"/>
        </w:rPr>
        <w:t xml:space="preserve">Success Factors</w:t>
      </w:r>
      <w:bookmarkEnd w:id="117"/>
    </w:p>
    <w:p>
      <w:pPr>
        <w:pStyle w:val="Normal"/>
      </w:pPr>
      <w:r>
        <w:rPr>
          <w:b/>
        </w:rPr>
        <w:t xml:space="preserve">Policy Framework:</w:t>
      </w:r>
    </w:p>
    <w:p>
      <w:pPr>
        <w:numPr>
          <w:ilvl w:val="0"/>
          <w:numId w:val="1061"/>
        </w:numPr>
        <w:pStyle w:val="Normal"/>
      </w:pPr>
      <w:r>
        <w:t xml:space="preserve">VAT exemption for EVs</w:t>
      </w:r>
    </w:p>
    <w:p>
      <w:pPr>
        <w:numPr>
          <w:ilvl w:val="0"/>
          <w:numId w:val="1061"/>
        </w:numPr>
        <w:pStyle w:val="Normal"/>
      </w:pPr>
      <w:r>
        <w:t xml:space="preserve">No purchase/import taxes on EVs</w:t>
      </w:r>
    </w:p>
    <w:p>
      <w:pPr>
        <w:numPr>
          <w:ilvl w:val="0"/>
          <w:numId w:val="1061"/>
        </w:numPr>
        <w:pStyle w:val="Normal"/>
      </w:pPr>
      <w:r>
        <w:t xml:space="preserve">Reduced annual road tax</w:t>
      </w:r>
    </w:p>
    <w:p>
      <w:pPr>
        <w:numPr>
          <w:ilvl w:val="0"/>
          <w:numId w:val="1061"/>
        </w:numPr>
        <w:pStyle w:val="Normal"/>
      </w:pPr>
      <w:r>
        <w:t xml:space="preserve">Free or reduced tolls</w:t>
      </w:r>
    </w:p>
    <w:p>
      <w:pPr>
        <w:numPr>
          <w:ilvl w:val="0"/>
          <w:numId w:val="1061"/>
        </w:numPr>
        <w:pStyle w:val="Normal"/>
      </w:pPr>
      <w:r>
        <w:t xml:space="preserve">Access to bus lanes</w:t>
      </w:r>
    </w:p>
    <w:p>
      <w:pPr>
        <w:numPr>
          <w:ilvl w:val="0"/>
          <w:numId w:val="1061"/>
        </w:numPr>
        <w:pStyle w:val="Normal"/>
      </w:pPr>
      <w:r>
        <w:t xml:space="preserve">Free municipal parking</w:t>
      </w:r>
    </w:p>
    <w:p>
      <w:pPr>
        <w:pStyle w:val="Normal"/>
      </w:pPr>
      <w:r>
        <w:rPr>
          <w:b/>
        </w:rPr>
        <w:t xml:space="preserve">Infrastructure Investment:</w:t>
      </w:r>
    </w:p>
    <w:p>
      <w:pPr>
        <w:numPr>
          <w:ilvl w:val="0"/>
          <w:numId w:val="1062"/>
        </w:numPr>
        <w:pStyle w:val="Normal"/>
      </w:pPr>
      <w:r>
        <w:t xml:space="preserve">Extensive public charging network (20,000+ points)</w:t>
      </w:r>
    </w:p>
    <w:p>
      <w:pPr>
        <w:numPr>
          <w:ilvl w:val="0"/>
          <w:numId w:val="1062"/>
        </w:numPr>
        <w:pStyle w:val="Normal"/>
      </w:pPr>
      <w:r>
        <w:t xml:space="preserve">Fast charger deployment along major highways</w:t>
      </w:r>
    </w:p>
    <w:p>
      <w:pPr>
        <w:numPr>
          <w:ilvl w:val="0"/>
          <w:numId w:val="1062"/>
        </w:numPr>
        <w:pStyle w:val="Normal"/>
      </w:pPr>
      <w:r>
        <w:t xml:space="preserve">Integration with renewable grid (98% hydropower)</w:t>
      </w:r>
    </w:p>
    <w:p>
      <w:pPr>
        <w:pStyle w:val="Normal"/>
      </w:pPr>
      <w:r>
        <w:rPr>
          <w:b/>
        </w:rPr>
        <w:t xml:space="preserve">Results:</w:t>
      </w:r>
    </w:p>
    <w:p>
      <w:pPr>
        <w:numPr>
          <w:ilvl w:val="0"/>
          <w:numId w:val="1063"/>
        </w:numPr>
        <w:pStyle w:val="Normal"/>
      </w:pPr>
      <w:r>
        <w:t xml:space="preserve">79% EV market share (2022)</w:t>
      </w:r>
    </w:p>
    <w:p>
      <w:pPr>
        <w:numPr>
          <w:ilvl w:val="0"/>
          <w:numId w:val="1063"/>
        </w:numPr>
        <w:pStyle w:val="Normal"/>
      </w:pPr>
      <w:r>
        <w:t xml:space="preserve">Over 600,000 EVs in operation</w:t>
      </w:r>
    </w:p>
    <w:p>
      <w:pPr>
        <w:numPr>
          <w:ilvl w:val="0"/>
          <w:numId w:val="1063"/>
        </w:numPr>
        <w:pStyle w:val="Normal"/>
      </w:pPr>
      <w:r>
        <w:t xml:space="preserve">Dramatic reduction in transport emissions</w:t>
      </w:r>
    </w:p>
    <w:p>
      <w:pPr>
        <w:numPr>
          <w:ilvl w:val="0"/>
          <w:numId w:val="1063"/>
        </w:numPr>
        <w:pStyle w:val="Normal"/>
      </w:pPr>
      <w:r>
        <w:t xml:space="preserve">Technology export opportunities</w:t>
      </w:r>
    </w:p>
    <w:p>
      <w:pPr>
        <w:pStyle w:val="Heading3"/>
      </w:pPr>
      <w:bookmarkStart w:id="118" w:name="lessons-learned"/>
      <w:r>
        <w:rPr>
          <w:color w:val="FF0000"/>
        </w:rPr>
        <w:t xml:space="preserve">Lessons Learned</w:t>
      </w:r>
      <w:bookmarkEnd w:id="118"/>
    </w:p>
    <w:p>
      <w:pPr>
        <w:numPr>
          <w:ilvl w:val="0"/>
          <w:numId w:val="1064"/>
        </w:numPr>
        <w:pStyle w:val="Normal"/>
      </w:pPr>
      <w:r>
        <w:t xml:space="preserve">Comprehensive, long-term policy commitment essential</w:t>
      </w:r>
    </w:p>
    <w:p>
      <w:pPr>
        <w:numPr>
          <w:ilvl w:val="0"/>
          <w:numId w:val="1064"/>
        </w:numPr>
        <w:pStyle w:val="Normal"/>
      </w:pPr>
      <w:r>
        <w:t xml:space="preserve">Incentives must be substantial and sustained</w:t>
      </w:r>
    </w:p>
    <w:p>
      <w:pPr>
        <w:numPr>
          <w:ilvl w:val="0"/>
          <w:numId w:val="1064"/>
        </w:numPr>
        <w:pStyle w:val="Normal"/>
      </w:pPr>
      <w:r>
        <w:t xml:space="preserve">Infrastructure must precede mass adoption</w:t>
      </w:r>
    </w:p>
    <w:p>
      <w:pPr>
        <w:numPr>
          <w:ilvl w:val="0"/>
          <w:numId w:val="1064"/>
        </w:numPr>
        <w:pStyle w:val="Normal"/>
      </w:pPr>
      <w:r>
        <w:t xml:space="preserve">Clean grid maximizes environmental benefits</w:t>
      </w:r>
    </w:p>
    <w:p>
      <w:pPr>
        <w:numPr>
          <w:ilvl w:val="0"/>
          <w:numId w:val="1064"/>
        </w:numPr>
        <w:pStyle w:val="Normal"/>
      </w:pPr>
      <w:r>
        <w:t xml:space="preserve">Public engagement and education critical</w:t>
      </w:r>
    </w:p>
    <w:p>
      <w:pPr>
        <w:pStyle w:val="Heading2"/>
      </w:pPr>
      <w:bookmarkStart w:id="119" w:name="china-scaling-up-for-impact"/>
      <w:r>
        <w:rPr>
          <w:color w:val="FF0000"/>
        </w:rPr>
        <w:t xml:space="preserve">China: Scaling Up for Impact</w:t>
      </w:r>
      <w:bookmarkEnd w:id="119"/>
    </w:p>
    <w:p>
      <w:pPr>
        <w:pStyle w:val="Heading3"/>
      </w:pPr>
      <w:bookmarkStart w:id="120" w:name="overview-2"/>
      <w:r>
        <w:rPr>
          <w:color w:val="FF0000"/>
        </w:rPr>
        <w:t xml:space="preserve">Overview</w:t>
      </w:r>
      <w:bookmarkEnd w:id="120"/>
    </w:p>
    <w:p>
      <w:pPr>
        <w:pStyle w:val="Normal"/>
      </w:pPr>
      <w:r>
        <w:t xml:space="preserve">China is the world's largest EV market, accounting for over 60% of global EV sales in 2022.</w:t>
      </w:r>
    </w:p>
    <w:p>
      <w:pPr>
        <w:pStyle w:val="Heading3"/>
      </w:pPr>
      <w:bookmarkStart w:id="121" w:name="success-factors-1"/>
      <w:r>
        <w:rPr>
          <w:color w:val="FF0000"/>
        </w:rPr>
        <w:t xml:space="preserve">Success Factors</w:t>
      </w:r>
      <w:bookmarkEnd w:id="121"/>
    </w:p>
    <w:p>
      <w:pPr>
        <w:pStyle w:val="Normal"/>
      </w:pPr>
      <w:r>
        <w:rPr>
          <w:b/>
        </w:rPr>
        <w:t xml:space="preserve">Government Policies:</w:t>
      </w:r>
    </w:p>
    <w:p>
      <w:pPr>
        <w:numPr>
          <w:ilvl w:val="0"/>
          <w:numId w:val="1065"/>
        </w:numPr>
        <w:pStyle w:val="Normal"/>
      </w:pPr>
      <w:r>
        <w:t xml:space="preserve">Purchase subsidies (being phased out)</w:t>
      </w:r>
    </w:p>
    <w:p>
      <w:pPr>
        <w:numPr>
          <w:ilvl w:val="0"/>
          <w:numId w:val="1065"/>
        </w:numPr>
        <w:pStyle w:val="Normal"/>
      </w:pPr>
      <w:r>
        <w:t xml:space="preserve">Manufacturing incentives</w:t>
      </w:r>
    </w:p>
    <w:p>
      <w:pPr>
        <w:numPr>
          <w:ilvl w:val="0"/>
          <w:numId w:val="1065"/>
        </w:numPr>
        <w:pStyle w:val="Normal"/>
      </w:pPr>
      <w:r>
        <w:t xml:space="preserve">Stringent emissions standards</w:t>
      </w:r>
    </w:p>
    <w:p>
      <w:pPr>
        <w:numPr>
          <w:ilvl w:val="0"/>
          <w:numId w:val="1065"/>
        </w:numPr>
        <w:pStyle w:val="Normal"/>
      </w:pPr>
      <w:r>
        <w:t xml:space="preserve">License plate preferences for EVs</w:t>
      </w:r>
    </w:p>
    <w:p>
      <w:pPr>
        <w:numPr>
          <w:ilvl w:val="0"/>
          <w:numId w:val="1065"/>
        </w:numPr>
        <w:pStyle w:val="Normal"/>
      </w:pPr>
      <w:r>
        <w:t xml:space="preserve">City-specific restrictions on ICE vehicles</w:t>
      </w:r>
    </w:p>
    <w:p>
      <w:pPr>
        <w:pStyle w:val="Normal"/>
      </w:pPr>
      <w:r>
        <w:rPr>
          <w:b/>
        </w:rPr>
        <w:t xml:space="preserve">Infrastructure Development:</w:t>
      </w:r>
    </w:p>
    <w:p>
      <w:pPr>
        <w:numPr>
          <w:ilvl w:val="0"/>
          <w:numId w:val="1066"/>
        </w:numPr>
        <w:pStyle w:val="Normal"/>
      </w:pPr>
      <w:r>
        <w:t xml:space="preserve">1.76 million public charging points</w:t>
      </w:r>
    </w:p>
    <w:p>
      <w:pPr>
        <w:numPr>
          <w:ilvl w:val="0"/>
          <w:numId w:val="1066"/>
        </w:numPr>
        <w:pStyle w:val="Normal"/>
      </w:pPr>
      <w:r>
        <w:t xml:space="preserve">Extensive battery swapping networks</w:t>
      </w:r>
    </w:p>
    <w:p>
      <w:pPr>
        <w:numPr>
          <w:ilvl w:val="0"/>
          <w:numId w:val="1066"/>
        </w:numPr>
        <w:pStyle w:val="Normal"/>
      </w:pPr>
      <w:r>
        <w:t xml:space="preserve">Integration with smart city planning</w:t>
      </w:r>
    </w:p>
    <w:p>
      <w:pPr>
        <w:pStyle w:val="Normal"/>
      </w:pPr>
      <w:r>
        <w:rPr>
          <w:b/>
        </w:rPr>
        <w:t xml:space="preserve">Industrial Policy:</w:t>
      </w:r>
    </w:p>
    <w:p>
      <w:pPr>
        <w:numPr>
          <w:ilvl w:val="0"/>
          <w:numId w:val="1067"/>
        </w:numPr>
        <w:pStyle w:val="Normal"/>
      </w:pPr>
      <w:r>
        <w:t xml:space="preserve">Domestic battery manufacturing leadership</w:t>
      </w:r>
    </w:p>
    <w:p>
      <w:pPr>
        <w:numPr>
          <w:ilvl w:val="0"/>
          <w:numId w:val="1067"/>
        </w:numPr>
        <w:pStyle w:val="Normal"/>
      </w:pPr>
      <w:r>
        <w:t xml:space="preserve">Vertical integration of supply chain</w:t>
      </w:r>
    </w:p>
    <w:p>
      <w:pPr>
        <w:numPr>
          <w:ilvl w:val="0"/>
          <w:numId w:val="1067"/>
        </w:numPr>
        <w:pStyle w:val="Normal"/>
      </w:pPr>
      <w:r>
        <w:t xml:space="preserve">Export competitiveness development</w:t>
      </w:r>
    </w:p>
    <w:p>
      <w:pPr>
        <w:pStyle w:val="Heading3"/>
      </w:pPr>
      <w:bookmarkStart w:id="122" w:name="notable-achievements"/>
      <w:r>
        <w:rPr>
          <w:color w:val="FF0000"/>
        </w:rPr>
        <w:t xml:space="preserve">Notable Achievements</w:t>
      </w:r>
      <w:bookmarkEnd w:id="122"/>
    </w:p>
    <w:p>
      <w:pPr>
        <w:numPr>
          <w:ilvl w:val="0"/>
          <w:numId w:val="1068"/>
        </w:numPr>
        <w:pStyle w:val="Normal"/>
      </w:pPr>
      <w:r>
        <w:t xml:space="preserve">Shenzhen: 100% electric bus fleet (16,000+ buses)</w:t>
      </w:r>
    </w:p>
    <w:p>
      <w:pPr>
        <w:numPr>
          <w:ilvl w:val="0"/>
          <w:numId w:val="1068"/>
        </w:numPr>
        <w:pStyle w:val="Normal"/>
      </w:pPr>
      <w:r>
        <w:t xml:space="preserve">Electric taxi fleets in major cities</w:t>
      </w:r>
    </w:p>
    <w:p>
      <w:pPr>
        <w:numPr>
          <w:ilvl w:val="0"/>
          <w:numId w:val="1068"/>
        </w:numPr>
        <w:pStyle w:val="Normal"/>
      </w:pPr>
      <w:r>
        <w:t xml:space="preserve">Global battery manufacturing leadership</w:t>
      </w:r>
    </w:p>
    <w:p>
      <w:pPr>
        <w:numPr>
          <w:ilvl w:val="0"/>
          <w:numId w:val="1068"/>
        </w:numPr>
        <w:pStyle w:val="Normal"/>
      </w:pPr>
      <w:r>
        <w:t xml:space="preserve">Rapid technology improvement</w:t>
      </w:r>
    </w:p>
    <w:p>
      <w:pPr>
        <w:pStyle w:val="Heading3"/>
      </w:pPr>
      <w:bookmarkStart w:id="123" w:name="challenges"/>
      <w:r>
        <w:rPr>
          <w:color w:val="FF0000"/>
        </w:rPr>
        <w:t xml:space="preserve">Challenges</w:t>
      </w:r>
      <w:bookmarkEnd w:id="123"/>
    </w:p>
    <w:p>
      <w:pPr>
        <w:numPr>
          <w:ilvl w:val="0"/>
          <w:numId w:val="1069"/>
        </w:numPr>
        <w:pStyle w:val="Normal"/>
      </w:pPr>
      <w:r>
        <w:t xml:space="preserve">Grid carbon intensity limits environmental gains</w:t>
      </w:r>
    </w:p>
    <w:p>
      <w:pPr>
        <w:numPr>
          <w:ilvl w:val="0"/>
          <w:numId w:val="1069"/>
        </w:numPr>
        <w:pStyle w:val="Normal"/>
      </w:pPr>
      <w:r>
        <w:t xml:space="preserve">Sustainable raw material sourcing needed</w:t>
      </w:r>
    </w:p>
    <w:p>
      <w:pPr>
        <w:numPr>
          <w:ilvl w:val="0"/>
          <w:numId w:val="1069"/>
        </w:numPr>
        <w:pStyle w:val="Normal"/>
      </w:pPr>
      <w:r>
        <w:t xml:space="preserve">Domestic market saturation concerns</w:t>
      </w:r>
    </w:p>
    <w:p>
      <w:pPr>
        <w:numPr>
          <w:ilvl w:val="0"/>
          <w:numId w:val="1069"/>
        </w:numPr>
        <w:pStyle w:val="Normal"/>
      </w:pPr>
      <w:r>
        <w:t xml:space="preserve">International trade tensions</w:t>
      </w:r>
    </w:p>
    <w:p>
      <w:pPr>
        <w:pStyle w:val="Heading2"/>
      </w:pPr>
      <w:bookmarkStart w:id="124" w:name="Xf8906ed09a5b1f296561220359e10f0e9e38218"/>
      <w:r>
        <w:rPr>
          <w:color w:val="FF0000"/>
        </w:rPr>
        <w:t xml:space="preserve">California, USA: Policy-Driven Transformation</w:t>
      </w:r>
      <w:bookmarkEnd w:id="124"/>
    </w:p>
    <w:p>
      <w:pPr>
        <w:pStyle w:val="Heading3"/>
      </w:pPr>
      <w:bookmarkStart w:id="125" w:name="overview-3"/>
      <w:r>
        <w:rPr>
          <w:color w:val="FF0000"/>
        </w:rPr>
        <w:t xml:space="preserve">Overview</w:t>
      </w:r>
      <w:bookmarkEnd w:id="125"/>
    </w:p>
    <w:p>
      <w:pPr>
        <w:pStyle w:val="Normal"/>
      </w:pPr>
      <w:r>
        <w:t xml:space="preserve">California has been a pioneer in promoting EV adoption, accounting for nearly 40% of all EVs in the United States.</w:t>
      </w:r>
    </w:p>
    <w:p>
      <w:pPr>
        <w:pStyle w:val="Heading3"/>
      </w:pPr>
      <w:bookmarkStart w:id="126" w:name="policy-framework"/>
      <w:r>
        <w:rPr>
          <w:color w:val="FF0000"/>
        </w:rPr>
        <w:t xml:space="preserve">Policy Framework</w:t>
      </w:r>
      <w:bookmarkEnd w:id="126"/>
    </w:p>
    <w:p>
      <w:pPr>
        <w:pStyle w:val="Normal"/>
      </w:pPr>
      <w:r>
        <w:rPr>
          <w:b/>
        </w:rPr>
        <w:t xml:space="preserve">Zero Emission Vehicle (ZEV) Mandate:</w:t>
      </w:r>
    </w:p>
    <w:p>
      <w:pPr>
        <w:numPr>
          <w:ilvl w:val="0"/>
          <w:numId w:val="1070"/>
        </w:numPr>
        <w:pStyle w:val="Normal"/>
      </w:pPr>
      <w:r>
        <w:t xml:space="preserve">Automaker requirements for EV sales percentages</w:t>
      </w:r>
    </w:p>
    <w:p>
      <w:pPr>
        <w:numPr>
          <w:ilvl w:val="0"/>
          <w:numId w:val="1070"/>
        </w:numPr>
        <w:pStyle w:val="Normal"/>
      </w:pPr>
      <w:r>
        <w:t xml:space="preserve">Credit trading system</w:t>
      </w:r>
    </w:p>
    <w:p>
      <w:pPr>
        <w:numPr>
          <w:ilvl w:val="0"/>
          <w:numId w:val="1070"/>
        </w:numPr>
        <w:pStyle w:val="Normal"/>
      </w:pPr>
      <w:r>
        <w:t xml:space="preserve">Increasing stringency over time</w:t>
      </w:r>
    </w:p>
    <w:p>
      <w:pPr>
        <w:pStyle w:val="Normal"/>
      </w:pPr>
      <w:r>
        <w:rPr>
          <w:b/>
        </w:rPr>
        <w:t xml:space="preserve">Consumer Incentives:</w:t>
      </w:r>
    </w:p>
    <w:p>
      <w:pPr>
        <w:numPr>
          <w:ilvl w:val="0"/>
          <w:numId w:val="1071"/>
        </w:numPr>
        <w:pStyle w:val="Normal"/>
      </w:pPr>
      <w:r>
        <w:t xml:space="preserve">State rebates up to $7,500</w:t>
      </w:r>
    </w:p>
    <w:p>
      <w:pPr>
        <w:numPr>
          <w:ilvl w:val="0"/>
          <w:numId w:val="1071"/>
        </w:numPr>
        <w:pStyle w:val="Normal"/>
      </w:pPr>
      <w:r>
        <w:t xml:space="preserve">Federal tax credits</w:t>
      </w:r>
    </w:p>
    <w:p>
      <w:pPr>
        <w:numPr>
          <w:ilvl w:val="0"/>
          <w:numId w:val="1071"/>
        </w:numPr>
        <w:pStyle w:val="Normal"/>
      </w:pPr>
      <w:r>
        <w:t xml:space="preserve">HOV lane access</w:t>
      </w:r>
    </w:p>
    <w:p>
      <w:pPr>
        <w:numPr>
          <w:ilvl w:val="0"/>
          <w:numId w:val="1071"/>
        </w:numPr>
        <w:pStyle w:val="Normal"/>
      </w:pPr>
      <w:r>
        <w:t xml:space="preserve">Reduced registration fees</w:t>
      </w:r>
    </w:p>
    <w:p>
      <w:pPr>
        <w:pStyle w:val="Normal"/>
      </w:pPr>
      <w:r>
        <w:rPr>
          <w:b/>
        </w:rPr>
        <w:t xml:space="preserve">Infrastructure Programs:</w:t>
      </w:r>
    </w:p>
    <w:p>
      <w:pPr>
        <w:numPr>
          <w:ilvl w:val="0"/>
          <w:numId w:val="1072"/>
        </w:numPr>
        <w:pStyle w:val="Normal"/>
      </w:pPr>
      <w:r>
        <w:t xml:space="preserve">California Electric Vehicle Infrastructure Project (CALeVIP)</w:t>
      </w:r>
    </w:p>
    <w:p>
      <w:pPr>
        <w:numPr>
          <w:ilvl w:val="0"/>
          <w:numId w:val="1072"/>
        </w:numPr>
        <w:pStyle w:val="Normal"/>
      </w:pPr>
      <w:r>
        <w:t xml:space="preserve">Charging station mandates for new construction</w:t>
      </w:r>
    </w:p>
    <w:p>
      <w:pPr>
        <w:numPr>
          <w:ilvl w:val="0"/>
          <w:numId w:val="1072"/>
        </w:numPr>
        <w:pStyle w:val="Normal"/>
      </w:pPr>
      <w:r>
        <w:t xml:space="preserve">Utility incentive programs</w:t>
      </w:r>
    </w:p>
    <w:p>
      <w:pPr>
        <w:pStyle w:val="Heading3"/>
      </w:pPr>
      <w:bookmarkStart w:id="127" w:name="results"/>
      <w:r>
        <w:rPr>
          <w:color w:val="FF0000"/>
        </w:rPr>
        <w:t xml:space="preserve">Results</w:t>
      </w:r>
      <w:bookmarkEnd w:id="127"/>
    </w:p>
    <w:p>
      <w:pPr>
        <w:numPr>
          <w:ilvl w:val="0"/>
          <w:numId w:val="1073"/>
        </w:numPr>
        <w:pStyle w:val="Normal"/>
      </w:pPr>
      <w:r>
        <w:t xml:space="preserve">40% of US EVs registered in California</w:t>
      </w:r>
    </w:p>
    <w:p>
      <w:pPr>
        <w:numPr>
          <w:ilvl w:val="0"/>
          <w:numId w:val="1073"/>
        </w:numPr>
        <w:pStyle w:val="Normal"/>
      </w:pPr>
      <w:r>
        <w:t xml:space="preserve">2035 phase-out target for new gasoline car sales</w:t>
      </w:r>
    </w:p>
    <w:p>
      <w:pPr>
        <w:numPr>
          <w:ilvl w:val="0"/>
          <w:numId w:val="1073"/>
        </w:numPr>
        <w:pStyle w:val="Normal"/>
      </w:pPr>
      <w:r>
        <w:t xml:space="preserve">1 million+ EVs on the road</w:t>
      </w:r>
    </w:p>
    <w:p>
      <w:pPr>
        <w:numPr>
          <w:ilvl w:val="0"/>
          <w:numId w:val="1073"/>
        </w:numPr>
        <w:pStyle w:val="Normal"/>
      </w:pPr>
      <w:r>
        <w:t xml:space="preserve">Significant air quality improvements in major cities</w:t>
      </w:r>
    </w:p>
    <w:p>
      <w:pPr>
        <w:pStyle w:val="Heading3"/>
      </w:pPr>
      <w:bookmarkStart w:id="128" w:name="lessons-for-other-regions"/>
      <w:r>
        <w:rPr>
          <w:color w:val="FF0000"/>
        </w:rPr>
        <w:t xml:space="preserve">Lessons for Other Regions</w:t>
      </w:r>
      <w:bookmarkEnd w:id="128"/>
    </w:p>
    <w:p>
      <w:pPr>
        <w:numPr>
          <w:ilvl w:val="0"/>
          <w:numId w:val="1074"/>
        </w:numPr>
        <w:pStyle w:val="Normal"/>
      </w:pPr>
      <w:r>
        <w:t xml:space="preserve">Regulatory leadership drives market transformation</w:t>
      </w:r>
    </w:p>
    <w:p>
      <w:pPr>
        <w:numPr>
          <w:ilvl w:val="0"/>
          <w:numId w:val="1074"/>
        </w:numPr>
        <w:pStyle w:val="Normal"/>
      </w:pPr>
      <w:r>
        <w:t xml:space="preserve">Public-private collaboration essential</w:t>
      </w:r>
    </w:p>
    <w:p>
      <w:pPr>
        <w:numPr>
          <w:ilvl w:val="0"/>
          <w:numId w:val="1074"/>
        </w:numPr>
        <w:pStyle w:val="Normal"/>
      </w:pPr>
      <w:r>
        <w:t xml:space="preserve">Consumer education increases adoption</w:t>
      </w:r>
    </w:p>
    <w:p>
      <w:pPr>
        <w:numPr>
          <w:ilvl w:val="0"/>
          <w:numId w:val="1074"/>
        </w:numPr>
        <w:pStyle w:val="Normal"/>
      </w:pPr>
      <w:r>
        <w:t xml:space="preserve">Consistent, long-term policy signals matter</w:t>
      </w:r>
    </w:p>
    <w:p>
      <w:pPr>
        <w:numPr>
          <w:ilvl w:val="0"/>
          <w:numId w:val="1074"/>
        </w:numPr>
        <w:pStyle w:val="Normal"/>
      </w:pPr>
      <w:r>
        <w:t xml:space="preserve">Environmental justice must be addressed</w:t>
      </w:r>
    </w:p>
    <w:p>
      <w:pPr>
        <w:pStyle w:val="Heading1"/>
      </w:pPr>
      <w:bookmarkStart w:id="129" w:name="conclusion"/>
      <w:r>
        <w:rPr>
          <w:color w:val="FF0000"/>
        </w:rPr>
        <w:t xml:space="preserve">Conclusion</w:t>
      </w:r>
      <w:bookmarkEnd w:id="129"/>
    </w:p>
    <w:p>
      <w:pPr>
        <w:pStyle w:val="Heading2"/>
      </w:pPr>
      <w:bookmarkStart w:id="130" w:name="summary-of-key-findings"/>
      <w:r>
        <w:rPr>
          <w:color w:val="FF0000"/>
        </w:rPr>
        <w:t xml:space="preserve">Summary of Key Findings</w:t>
      </w:r>
      <w:bookmarkEnd w:id="130"/>
    </w:p>
    <w:p>
      <w:pPr>
        <w:pStyle w:val="Normal"/>
      </w:pPr>
      <w:r>
        <w:t xml:space="preserve">The electrification of transportation represents one of the most significant opportunities to address climate change, improve public health, and foster sustainable economic development. This comprehensive analysis reveals several critical insights:</w:t>
      </w:r>
    </w:p>
    <w:p>
      <w:pPr>
        <w:pStyle w:val="BodyText"/>
      </w:pPr>
      <w:r>
        <w:rPr>
          <w:b/>
        </w:rPr>
        <w:t xml:space="preserve">Environmental Benefits Are Substantial but Conditional:</w:t>
      </w:r>
    </w:p>
    <w:p>
      <w:pPr>
        <w:numPr>
          <w:ilvl w:val="0"/>
          <w:numId w:val="1075"/>
        </w:numPr>
        <w:pStyle w:val="Normal"/>
      </w:pPr>
      <w:r>
        <w:t xml:space="preserve">EVs deliver significant lifecycle emissions reductions (27-71% depending on region)</w:t>
      </w:r>
    </w:p>
    <w:p>
      <w:pPr>
        <w:numPr>
          <w:ilvl w:val="0"/>
          <w:numId w:val="1075"/>
        </w:numPr>
        <w:pStyle w:val="Normal"/>
      </w:pPr>
      <w:r>
        <w:t xml:space="preserve">Benefits are maximized when coupled with renewable energy and responsible supply chains</w:t>
      </w:r>
    </w:p>
    <w:p>
      <w:pPr>
        <w:numPr>
          <w:ilvl w:val="0"/>
          <w:numId w:val="1075"/>
        </w:numPr>
        <w:pStyle w:val="Normal"/>
      </w:pPr>
      <w:r>
        <w:t xml:space="preserve">Grid decarbonization is essential for realizing full environmental potential</w:t>
      </w:r>
    </w:p>
    <w:p>
      <w:pPr>
        <w:pStyle w:val="Normal"/>
      </w:pPr>
      <w:r>
        <w:rPr>
          <w:b/>
        </w:rPr>
        <w:t xml:space="preserve">Technology Is Advancing Rapidly:</w:t>
      </w:r>
    </w:p>
    <w:p>
      <w:pPr>
        <w:numPr>
          <w:ilvl w:val="0"/>
          <w:numId w:val="1076"/>
        </w:numPr>
        <w:pStyle w:val="Normal"/>
      </w:pPr>
      <w:r>
        <w:t xml:space="preserve">Battery costs have declined 87% in 12 years</w:t>
      </w:r>
    </w:p>
    <w:p>
      <w:pPr>
        <w:numPr>
          <w:ilvl w:val="0"/>
          <w:numId w:val="1076"/>
        </w:numPr>
        <w:pStyle w:val="Normal"/>
      </w:pPr>
      <w:r>
        <w:t xml:space="preserve">Energy density continues to improve</w:t>
      </w:r>
    </w:p>
    <w:p>
      <w:pPr>
        <w:numPr>
          <w:ilvl w:val="0"/>
          <w:numId w:val="1076"/>
        </w:numPr>
        <w:pStyle w:val="Normal"/>
      </w:pPr>
      <w:r>
        <w:t xml:space="preserve">Next-generation technologies (solid-state, sodium-ion) promise further gains</w:t>
      </w:r>
    </w:p>
    <w:p>
      <w:pPr>
        <w:numPr>
          <w:ilvl w:val="0"/>
          <w:numId w:val="1076"/>
        </w:numPr>
        <w:pStyle w:val="Normal"/>
      </w:pPr>
      <w:r>
        <w:t xml:space="preserve">Charging infrastructure is expanding exponentially</w:t>
      </w:r>
    </w:p>
    <w:p>
      <w:pPr>
        <w:pStyle w:val="Normal"/>
      </w:pPr>
      <w:r>
        <w:rPr>
          <w:b/>
        </w:rPr>
        <w:t xml:space="preserve">Challenges Require Coordinated Action:</w:t>
      </w:r>
    </w:p>
    <w:p>
      <w:pPr>
        <w:numPr>
          <w:ilvl w:val="0"/>
          <w:numId w:val="1077"/>
        </w:numPr>
        <w:pStyle w:val="Normal"/>
      </w:pPr>
      <w:r>
        <w:t xml:space="preserve">Supply chain concentration creates geopolitical vulnerabilities</w:t>
      </w:r>
    </w:p>
    <w:p>
      <w:pPr>
        <w:numPr>
          <w:ilvl w:val="0"/>
          <w:numId w:val="1077"/>
        </w:numPr>
        <w:pStyle w:val="Normal"/>
      </w:pPr>
      <w:r>
        <w:t xml:space="preserve">Grid infrastructure needs significant investment</w:t>
      </w:r>
    </w:p>
    <w:p>
      <w:pPr>
        <w:numPr>
          <w:ilvl w:val="0"/>
          <w:numId w:val="1077"/>
        </w:numPr>
        <w:pStyle w:val="Normal"/>
      </w:pPr>
      <w:r>
        <w:t xml:space="preserve">Equity and accessibility must be prioritized</w:t>
      </w:r>
    </w:p>
    <w:p>
      <w:pPr>
        <w:numPr>
          <w:ilvl w:val="0"/>
          <w:numId w:val="1077"/>
        </w:numPr>
        <w:pStyle w:val="Normal"/>
      </w:pPr>
      <w:r>
        <w:t xml:space="preserve">End-of-life management systems need development</w:t>
      </w:r>
    </w:p>
    <w:p>
      <w:pPr>
        <w:pStyle w:val="Heading2"/>
      </w:pPr>
      <w:bookmarkStart w:id="131" w:name="the-path-forward"/>
      <w:r>
        <w:rPr>
          <w:color w:val="FF0000"/>
        </w:rPr>
        <w:t xml:space="preserve">The Path Forward</w:t>
      </w:r>
      <w:bookmarkEnd w:id="131"/>
    </w:p>
    <w:p>
      <w:pPr>
        <w:pStyle w:val="Normal"/>
      </w:pPr>
      <w:r>
        <w:t xml:space="preserve">While EVs are not a panacea, their adoption, when coupled with renewable energy, responsible supply chains, and robust end-of-life management, can deliver substantial environmental benefits compared to conventional vehicles.</w:t>
      </w:r>
    </w:p>
    <w:p>
      <w:pPr>
        <w:pStyle w:val="BodyText"/>
      </w:pPr>
      <w:r>
        <w:t xml:space="preserve">The journey toward a sustainable EV future requires:</w:t>
      </w:r>
    </w:p>
    <w:p>
      <w:pPr>
        <w:numPr>
          <w:ilvl w:val="0"/>
          <w:numId w:val="1078"/>
        </w:numPr>
        <w:pStyle w:val="Normal"/>
      </w:pPr>
      <w:r>
        <w:rPr>
          <w:b/>
        </w:rPr>
        <w:t xml:space="preserve">Policy Commitment:</w:t>
      </w:r>
      <w:r>
        <w:t xml:space="preserve"> </w:t>
      </w:r>
      <w:r>
        <w:t xml:space="preserve">Long-term, consistent support for EV adoption</w:t>
      </w:r>
    </w:p>
    <w:p>
      <w:pPr>
        <w:numPr>
          <w:ilvl w:val="0"/>
          <w:numId w:val="1078"/>
        </w:numPr>
        <w:pStyle w:val="Normal"/>
      </w:pPr>
      <w:r>
        <w:rPr>
          <w:b/>
        </w:rPr>
        <w:t xml:space="preserve">Infrastructure Investment:</w:t>
      </w:r>
      <w:r>
        <w:t xml:space="preserve"> </w:t>
      </w:r>
      <w:r>
        <w:t xml:space="preserve">Charging networks, grid upgrades, recycling facilities</w:t>
      </w:r>
    </w:p>
    <w:p>
      <w:pPr>
        <w:numPr>
          <w:ilvl w:val="0"/>
          <w:numId w:val="1078"/>
        </w:numPr>
        <w:pStyle w:val="Normal"/>
      </w:pPr>
      <w:r>
        <w:rPr>
          <w:b/>
        </w:rPr>
        <w:t xml:space="preserve">Technology Development:</w:t>
      </w:r>
      <w:r>
        <w:t xml:space="preserve"> </w:t>
      </w:r>
      <w:r>
        <w:t xml:space="preserve">Continued R&amp;D for batteries, charging, and integration</w:t>
      </w:r>
    </w:p>
    <w:p>
      <w:pPr>
        <w:numPr>
          <w:ilvl w:val="0"/>
          <w:numId w:val="1078"/>
        </w:numPr>
        <w:pStyle w:val="Normal"/>
      </w:pPr>
      <w:r>
        <w:rPr>
          <w:b/>
        </w:rPr>
        <w:t xml:space="preserve">International Cooperation:</w:t>
      </w:r>
      <w:r>
        <w:t xml:space="preserve"> </w:t>
      </w:r>
      <w:r>
        <w:t xml:space="preserve">Supply chain diversification and standards harmonization</w:t>
      </w:r>
    </w:p>
    <w:p>
      <w:pPr>
        <w:numPr>
          <w:ilvl w:val="0"/>
          <w:numId w:val="1078"/>
        </w:numPr>
        <w:pStyle w:val="Normal"/>
      </w:pPr>
      <w:r>
        <w:rPr>
          <w:b/>
        </w:rPr>
        <w:t xml:space="preserve">Equity Focus:</w:t>
      </w:r>
      <w:r>
        <w:t xml:space="preserve"> </w:t>
      </w:r>
      <w:r>
        <w:t xml:space="preserve">Ensuring benefits reach all communities</w:t>
      </w:r>
    </w:p>
    <w:p>
      <w:pPr>
        <w:pStyle w:val="Heading2"/>
      </w:pPr>
      <w:bookmarkStart w:id="132" w:name="final-perspective"/>
      <w:r>
        <w:rPr>
          <w:color w:val="FF0000"/>
        </w:rPr>
        <w:t xml:space="preserve">Final Perspective</w:t>
      </w:r>
      <w:bookmarkEnd w:id="132"/>
    </w:p>
    <w:p>
      <w:pPr>
        <w:pStyle w:val="Normal"/>
      </w:pPr>
      <w:r>
        <w:t xml:space="preserve">As the world accelerates toward net-zero emissions, the role of EVs will only grow in importance. By learning from leading examples like Norway, China, and California, adopting best practices, and fostering inclusive, data-driven policies, societies can ensure that the shift to electric mobility delivers on its promise of a cleaner, healthier, and more equitable future.</w:t>
      </w:r>
    </w:p>
    <w:p>
      <w:pPr>
        <w:pStyle w:val="BodyText"/>
      </w:pPr>
      <w:r>
        <w:t xml:space="preserve">The transition to electric vehicles is not merely a technological shift but a fundamental transformation of how societies produce, distribute, and consume energy for transportation. Success requires a holistic approach that integrates vehicle technology with grid management, circular recycling economies, and diversified raw material sourcing.</w:t>
      </w:r>
    </w:p>
    <w:p>
      <w:pPr>
        <w:pStyle w:val="BodyText"/>
      </w:pPr>
      <w:r>
        <w:t xml:space="preserve">The environmental benefits are clear but conditional. The economic opportunities are substantial but require careful management. The social implications demand attention to equity and inclusion. With coordinated action from governments, industry, and consumers, the electric vehicle revolution can be a cornerstone of global sustainability efforts.</w:t>
      </w:r>
    </w:p>
    <w:p>
      <w:pPr>
        <w:pStyle w:val="Heading1"/>
      </w:pPr>
      <w:bookmarkStart w:id="133" w:name="visual-assets-plan"/>
      <w:r>
        <w:rPr>
          <w:color w:val="FF0000"/>
        </w:rPr>
        <w:t xml:space="preserve">Visual Assets Plan</w:t>
      </w:r>
      <w:bookmarkEnd w:id="133"/>
    </w:p>
    <w:p>
      <w:pPr>
        <w:pStyle w:val="Heading3"/>
      </w:pPr>
      <w:bookmarkStart w:id="134" w:name="X8ca39c8a11f4fc5b41562ffbfa0bf5a352bc726"/>
      <w:r>
        <w:rPr>
          <w:color w:val="FF0000"/>
        </w:rPr>
        <w:t xml:space="preserve">Table: Visual Assets Description and Placement</w:t>
      </w:r>
      <w:bookmarkEnd w:id="134"/>
    </w:p>
    <w:tbl>
      <w:tblPr>
        <w:tblStyle w:val="TableNormal"/>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5"/>
        <w:gridCol w:w="2451"/>
        <w:gridCol w:w="1697"/>
        <w:gridCol w:w="2074"/>
        <w:gridCol w:w="1131"/>
      </w:tblGrid>
      <w:tr>
        <w:trPr>
          <w:cnfStyle w:firstRow="1"/>
        </w:trPr>
        <w:tc>
          <w:tcPr>
            <w:tcBorders>
              <w:bottom w:val="single"/>
            </w:tcBorders>
            <w:vAlign w:val="bottom"/>
          </w:tcPr>
          <w:p>
            <w:pPr>
              <w:pStyle w:val="Normal"/>
              <w:jc w:val="left"/>
            </w:pPr>
            <w:r>
              <w:t xml:space="preserve">#</w:t>
            </w:r>
          </w:p>
        </w:tc>
        <w:tc>
          <w:tcPr>
            <w:tcBorders>
              <w:bottom w:val="single"/>
            </w:tcBorders>
            <w:vAlign w:val="bottom"/>
          </w:tcPr>
          <w:p>
            <w:pPr>
              <w:pStyle w:val="Normal"/>
              <w:jc w:val="left"/>
            </w:pPr>
            <w:r>
              <w:t xml:space="preserve">Description</w:t>
            </w:r>
          </w:p>
        </w:tc>
        <w:tc>
          <w:tcPr>
            <w:tcBorders>
              <w:bottom w:val="single"/>
            </w:tcBorders>
            <w:vAlign w:val="bottom"/>
          </w:tcPr>
          <w:p>
            <w:pPr>
              <w:pStyle w:val="Normal"/>
              <w:jc w:val="left"/>
            </w:pPr>
            <w:r>
              <w:t xml:space="preserve">Purpose</w:t>
            </w:r>
          </w:p>
        </w:tc>
        <w:tc>
          <w:tcPr>
            <w:tcBorders>
              <w:bottom w:val="single"/>
            </w:tcBorders>
            <w:vAlign w:val="bottom"/>
          </w:tcPr>
          <w:p>
            <w:pPr>
              <w:pStyle w:val="Normal"/>
              <w:jc w:val="left"/>
            </w:pPr>
            <w:r>
              <w:t xml:space="preserve">Placement</w:t>
            </w:r>
          </w:p>
        </w:tc>
        <w:tc>
          <w:tcPr>
            <w:tcBorders>
              <w:bottom w:val="single"/>
            </w:tcBorders>
            <w:vAlign w:val="bottom"/>
          </w:tcPr>
          <w:p>
            <w:pPr>
              <w:pStyle w:val="Normal"/>
              <w:jc w:val="left"/>
            </w:pPr>
            <w:r>
              <w:t xml:space="preserve">Type</w:t>
            </w:r>
          </w:p>
        </w:tc>
      </w:tr>
      <w:tr>
        <w:tc>
          <w:p>
            <w:pPr>
              <w:pStyle w:val="Normal"/>
              <w:jc w:val="left"/>
            </w:pPr>
            <w:r>
              <w:t xml:space="preserve">1</w:t>
            </w:r>
          </w:p>
        </w:tc>
        <w:tc>
          <w:p>
            <w:pPr>
              <w:pStyle w:val="Normal"/>
              <w:jc w:val="left"/>
            </w:pPr>
            <w:r>
              <w:t xml:space="preserve">Hero image of a modern EV charging at a solar-powered station</w:t>
            </w:r>
          </w:p>
        </w:tc>
        <w:tc>
          <w:p>
            <w:pPr>
              <w:pStyle w:val="Normal"/>
              <w:jc w:val="left"/>
            </w:pPr>
            <w:r>
              <w:t xml:space="preserve">Sets the tone, visualizes clean mobility</w:t>
            </w:r>
          </w:p>
        </w:tc>
        <w:tc>
          <w:p>
            <w:pPr>
              <w:pStyle w:val="Normal"/>
              <w:jc w:val="left"/>
            </w:pPr>
            <w:r>
              <w:t xml:space="preserve">Title/Introduction</w:t>
            </w:r>
          </w:p>
        </w:tc>
        <w:tc>
          <w:p>
            <w:pPr>
              <w:pStyle w:val="Normal"/>
              <w:jc w:val="left"/>
            </w:pPr>
            <w:r>
              <w:t xml:space="preserve">Photo</w:t>
            </w:r>
          </w:p>
        </w:tc>
      </w:tr>
      <w:tr>
        <w:tc>
          <w:p>
            <w:pPr>
              <w:pStyle w:val="Normal"/>
              <w:jc w:val="left"/>
            </w:pPr>
            <w:r>
              <w:t xml:space="preserve">2</w:t>
            </w:r>
          </w:p>
        </w:tc>
        <w:tc>
          <w:p>
            <w:pPr>
              <w:pStyle w:val="Normal"/>
              <w:jc w:val="left"/>
            </w:pPr>
            <w:r>
              <w:t xml:space="preserve">Timeline infographic of EV development (1820s-2020s)</w:t>
            </w:r>
          </w:p>
        </w:tc>
        <w:tc>
          <w:p>
            <w:pPr>
              <w:pStyle w:val="Normal"/>
              <w:jc w:val="left"/>
            </w:pPr>
            <w:r>
              <w:t xml:space="preserve">Illustrates historical context and milestones</w:t>
            </w:r>
          </w:p>
        </w:tc>
        <w:tc>
          <w:p>
            <w:pPr>
              <w:pStyle w:val="Normal"/>
              <w:jc w:val="left"/>
            </w:pPr>
            <w:r>
              <w:t xml:space="preserve">Background &amp; Historical Context</w:t>
            </w:r>
          </w:p>
        </w:tc>
        <w:tc>
          <w:p>
            <w:pPr>
              <w:pStyle w:val="Normal"/>
              <w:jc w:val="left"/>
            </w:pPr>
            <w:r>
              <w:t xml:space="preserve">Infographic</w:t>
            </w:r>
          </w:p>
        </w:tc>
      </w:tr>
      <w:tr>
        <w:tc>
          <w:p>
            <w:pPr>
              <w:pStyle w:val="Normal"/>
              <w:jc w:val="left"/>
            </w:pPr>
            <w:r>
              <w:t xml:space="preserve">3</w:t>
            </w:r>
          </w:p>
        </w:tc>
        <w:tc>
          <w:p>
            <w:pPr>
              <w:pStyle w:val="Normal"/>
              <w:jc w:val="left"/>
            </w:pPr>
            <w:r>
              <w:t xml:space="preserve">Diagram comparing BEV, PHEV, HEV, FCEV architectures</w:t>
            </w:r>
          </w:p>
        </w:tc>
        <w:tc>
          <w:p>
            <w:pPr>
              <w:pStyle w:val="Normal"/>
              <w:jc w:val="left"/>
            </w:pPr>
            <w:r>
              <w:t xml:space="preserve">Clarifies technical differences</w:t>
            </w:r>
          </w:p>
        </w:tc>
        <w:tc>
          <w:p>
            <w:pPr>
              <w:pStyle w:val="Normal"/>
              <w:jc w:val="left"/>
            </w:pPr>
            <w:r>
              <w:t xml:space="preserve">Core Content: Types and Technologies</w:t>
            </w:r>
          </w:p>
        </w:tc>
        <w:tc>
          <w:p>
            <w:pPr>
              <w:pStyle w:val="Normal"/>
              <w:jc w:val="left"/>
            </w:pPr>
            <w:r>
              <w:t xml:space="preserve">Diagram</w:t>
            </w:r>
          </w:p>
        </w:tc>
      </w:tr>
      <w:tr>
        <w:tc>
          <w:p>
            <w:pPr>
              <w:pStyle w:val="Normal"/>
              <w:jc w:val="left"/>
            </w:pPr>
            <w:r>
              <w:t xml:space="preserve">4</w:t>
            </w:r>
          </w:p>
        </w:tc>
        <w:tc>
          <w:p>
            <w:pPr>
              <w:pStyle w:val="Normal"/>
              <w:jc w:val="left"/>
            </w:pPr>
            <w:r>
              <w:t xml:space="preserve">Map showing global EV adoption rates by country</w:t>
            </w:r>
          </w:p>
        </w:tc>
        <w:tc>
          <w:p>
            <w:pPr>
              <w:pStyle w:val="Normal"/>
              <w:jc w:val="left"/>
            </w:pPr>
            <w:r>
              <w:t xml:space="preserve">Visualizes market penetration</w:t>
            </w:r>
          </w:p>
        </w:tc>
        <w:tc>
          <w:p>
            <w:pPr>
              <w:pStyle w:val="Normal"/>
              <w:jc w:val="left"/>
            </w:pPr>
            <w:r>
              <w:t xml:space="preserve">Data &amp; Analysis</w:t>
            </w:r>
          </w:p>
        </w:tc>
        <w:tc>
          <w:p>
            <w:pPr>
              <w:pStyle w:val="Normal"/>
              <w:jc w:val="left"/>
            </w:pPr>
            <w:r>
              <w:t xml:space="preserve">Map</w:t>
            </w:r>
          </w:p>
        </w:tc>
      </w:tr>
      <w:tr>
        <w:tc>
          <w:p>
            <w:pPr>
              <w:pStyle w:val="Normal"/>
              <w:jc w:val="left"/>
            </w:pPr>
            <w:r>
              <w:t xml:space="preserve">5</w:t>
            </w:r>
          </w:p>
        </w:tc>
        <w:tc>
          <w:p>
            <w:pPr>
              <w:pStyle w:val="Normal"/>
              <w:jc w:val="left"/>
            </w:pPr>
            <w:r>
              <w:t xml:space="preserve">Bar chart: Lifecycle CO2 emissions of ICE vs. BEV vs. PHEV</w:t>
            </w:r>
          </w:p>
        </w:tc>
        <w:tc>
          <w:p>
            <w:pPr>
              <w:pStyle w:val="Normal"/>
              <w:jc w:val="left"/>
            </w:pPr>
            <w:r>
              <w:t xml:space="preserve">Supports environmental impact analysis</w:t>
            </w:r>
          </w:p>
        </w:tc>
        <w:tc>
          <w:p>
            <w:pPr>
              <w:pStyle w:val="Normal"/>
              <w:jc w:val="left"/>
            </w:pPr>
            <w:r>
              <w:t xml:space="preserve">Data &amp; Analysis</w:t>
            </w:r>
          </w:p>
        </w:tc>
        <w:tc>
          <w:p>
            <w:pPr>
              <w:pStyle w:val="Normal"/>
              <w:jc w:val="left"/>
            </w:pPr>
            <w:r>
              <w:t xml:space="preserve">Chart</w:t>
            </w:r>
          </w:p>
        </w:tc>
      </w:tr>
      <w:tr>
        <w:tc>
          <w:p>
            <w:pPr>
              <w:pStyle w:val="Normal"/>
              <w:jc w:val="left"/>
            </w:pPr>
            <w:r>
              <w:t xml:space="preserve">6</w:t>
            </w:r>
          </w:p>
        </w:tc>
        <w:tc>
          <w:p>
            <w:pPr>
              <w:pStyle w:val="Normal"/>
              <w:jc w:val="left"/>
            </w:pPr>
            <w:r>
              <w:t xml:space="preserve">Flowchart of battery lifecycle (mining, manufacturing, use, recycling)</w:t>
            </w:r>
          </w:p>
        </w:tc>
        <w:tc>
          <w:p>
            <w:pPr>
              <w:pStyle w:val="Normal"/>
              <w:jc w:val="left"/>
            </w:pPr>
            <w:r>
              <w:t xml:space="preserve">Explains lifecycle impacts</w:t>
            </w:r>
          </w:p>
        </w:tc>
        <w:tc>
          <w:p>
            <w:pPr>
              <w:pStyle w:val="Normal"/>
              <w:jc w:val="left"/>
            </w:pPr>
            <w:r>
              <w:t xml:space="preserve">Core Content: Environmental Impact</w:t>
            </w:r>
          </w:p>
        </w:tc>
        <w:tc>
          <w:p>
            <w:pPr>
              <w:pStyle w:val="Normal"/>
              <w:jc w:val="left"/>
            </w:pPr>
            <w:r>
              <w:t xml:space="preserve">Flowchart</w:t>
            </w:r>
          </w:p>
        </w:tc>
      </w:tr>
      <w:tr>
        <w:tc>
          <w:p>
            <w:pPr>
              <w:pStyle w:val="Normal"/>
              <w:jc w:val="left"/>
            </w:pPr>
            <w:r>
              <w:t xml:space="preserve">7</w:t>
            </w:r>
          </w:p>
        </w:tc>
        <w:tc>
          <w:p>
            <w:pPr>
              <w:pStyle w:val="Normal"/>
              <w:jc w:val="left"/>
            </w:pPr>
            <w:r>
              <w:t xml:space="preserve">Photo of a lithium mine and battery recycling facility</w:t>
            </w:r>
          </w:p>
        </w:tc>
        <w:tc>
          <w:p>
            <w:pPr>
              <w:pStyle w:val="Normal"/>
              <w:jc w:val="left"/>
            </w:pPr>
            <w:r>
              <w:t xml:space="preserve">Highlights raw material and end-of-life issues</w:t>
            </w:r>
          </w:p>
        </w:tc>
        <w:tc>
          <w:p>
            <w:pPr>
              <w:pStyle w:val="Normal"/>
              <w:jc w:val="left"/>
            </w:pPr>
            <w:r>
              <w:t xml:space="preserve">Core Content: Manufacturing &amp; Recycling</w:t>
            </w:r>
          </w:p>
        </w:tc>
        <w:tc>
          <w:p>
            <w:pPr>
              <w:pStyle w:val="Normal"/>
              <w:jc w:val="left"/>
            </w:pPr>
            <w:r>
              <w:t xml:space="preserve">Photo</w:t>
            </w:r>
          </w:p>
        </w:tc>
      </w:tr>
      <w:tr>
        <w:tc>
          <w:p>
            <w:pPr>
              <w:pStyle w:val="Normal"/>
              <w:jc w:val="left"/>
            </w:pPr>
            <w:r>
              <w:t xml:space="preserve">8</w:t>
            </w:r>
          </w:p>
        </w:tc>
        <w:tc>
          <w:p>
            <w:pPr>
              <w:pStyle w:val="Normal"/>
              <w:jc w:val="left"/>
            </w:pPr>
            <w:r>
              <w:t xml:space="preserve">Infographic: Smart charging and vehicle-to-grid integration</w:t>
            </w:r>
          </w:p>
        </w:tc>
        <w:tc>
          <w:p>
            <w:pPr>
              <w:pStyle w:val="Normal"/>
              <w:jc w:val="left"/>
            </w:pPr>
            <w:r>
              <w:t xml:space="preserve">Shows future grid solutions</w:t>
            </w:r>
          </w:p>
        </w:tc>
        <w:tc>
          <w:p>
            <w:pPr>
              <w:pStyle w:val="Normal"/>
              <w:jc w:val="left"/>
            </w:pPr>
            <w:r>
              <w:t xml:space="preserve">Future Outlook</w:t>
            </w:r>
          </w:p>
        </w:tc>
        <w:tc>
          <w:p>
            <w:pPr>
              <w:pStyle w:val="Normal"/>
              <w:jc w:val="left"/>
            </w:pPr>
            <w:r>
              <w:t xml:space="preserve">Infographic</w:t>
            </w:r>
          </w:p>
        </w:tc>
      </w:tr>
      <w:tr>
        <w:tc>
          <w:p>
            <w:pPr>
              <w:pStyle w:val="Normal"/>
              <w:jc w:val="left"/>
            </w:pPr>
            <w:r>
              <w:t xml:space="preserve">9</w:t>
            </w:r>
          </w:p>
        </w:tc>
        <w:tc>
          <w:p>
            <w:pPr>
              <w:pStyle w:val="Normal"/>
              <w:jc w:val="left"/>
            </w:pPr>
            <w:r>
              <w:t xml:space="preserve">Photo of Norway's EV infrastructure (charging stations, EVs in use)</w:t>
            </w:r>
          </w:p>
        </w:tc>
        <w:tc>
          <w:p>
            <w:pPr>
              <w:pStyle w:val="Normal"/>
              <w:jc w:val="left"/>
            </w:pPr>
            <w:r>
              <w:t xml:space="preserve">Case study illustration</w:t>
            </w:r>
          </w:p>
        </w:tc>
        <w:tc>
          <w:p>
            <w:pPr>
              <w:pStyle w:val="Normal"/>
              <w:jc w:val="left"/>
            </w:pPr>
            <w:r>
              <w:t xml:space="preserve">Case Studies: Norway</w:t>
            </w:r>
          </w:p>
        </w:tc>
        <w:tc>
          <w:p>
            <w:pPr>
              <w:pStyle w:val="Normal"/>
              <w:jc w:val="left"/>
            </w:pPr>
            <w:r>
              <w:t xml:space="preserve">Photo</w:t>
            </w:r>
          </w:p>
        </w:tc>
      </w:tr>
      <w:tr>
        <w:tc>
          <w:p>
            <w:pPr>
              <w:pStyle w:val="Normal"/>
              <w:jc w:val="left"/>
            </w:pPr>
            <w:r>
              <w:t xml:space="preserve">10</w:t>
            </w:r>
          </w:p>
        </w:tc>
        <w:tc>
          <w:p>
            <w:pPr>
              <w:pStyle w:val="Normal"/>
              <w:jc w:val="left"/>
            </w:pPr>
            <w:r>
              <w:t xml:space="preserve">Photo of Shenzhen's electric bus fleet</w:t>
            </w:r>
          </w:p>
        </w:tc>
        <w:tc>
          <w:p>
            <w:pPr>
              <w:pStyle w:val="Normal"/>
              <w:jc w:val="left"/>
            </w:pPr>
            <w:r>
              <w:t xml:space="preserve">Case study illustration</w:t>
            </w:r>
          </w:p>
        </w:tc>
        <w:tc>
          <w:p>
            <w:pPr>
              <w:pStyle w:val="Normal"/>
              <w:jc w:val="left"/>
            </w:pPr>
            <w:r>
              <w:t xml:space="preserve">Case Studies: China</w:t>
            </w:r>
          </w:p>
        </w:tc>
        <w:tc>
          <w:p>
            <w:pPr>
              <w:pStyle w:val="Normal"/>
              <w:jc w:val="left"/>
            </w:pPr>
            <w:r>
              <w:t xml:space="preserve">Photo</w:t>
            </w:r>
          </w:p>
        </w:tc>
      </w:tr>
      <w:tr>
        <w:tc>
          <w:p>
            <w:pPr>
              <w:pStyle w:val="Normal"/>
              <w:jc w:val="left"/>
            </w:pPr>
            <w:r>
              <w:t xml:space="preserve">11</w:t>
            </w:r>
          </w:p>
        </w:tc>
        <w:tc>
          <w:p>
            <w:pPr>
              <w:pStyle w:val="Normal"/>
              <w:jc w:val="left"/>
            </w:pPr>
            <w:r>
              <w:t xml:space="preserve">Photo of a California EV dealership or charging hub</w:t>
            </w:r>
          </w:p>
        </w:tc>
        <w:tc>
          <w:p>
            <w:pPr>
              <w:pStyle w:val="Normal"/>
              <w:jc w:val="left"/>
            </w:pPr>
            <w:r>
              <w:t xml:space="preserve">Case study illustration</w:t>
            </w:r>
          </w:p>
        </w:tc>
        <w:tc>
          <w:p>
            <w:pPr>
              <w:pStyle w:val="Normal"/>
              <w:jc w:val="left"/>
            </w:pPr>
            <w:r>
              <w:t xml:space="preserve">Case Studies: California</w:t>
            </w:r>
          </w:p>
        </w:tc>
        <w:tc>
          <w:p>
            <w:pPr>
              <w:pStyle w:val="Normal"/>
              <w:jc w:val="left"/>
            </w:pPr>
            <w:r>
              <w:t xml:space="preserve">Photo</w:t>
            </w:r>
          </w:p>
        </w:tc>
      </w:tr>
      <w:tr>
        <w:tc>
          <w:p>
            <w:pPr>
              <w:pStyle w:val="Normal"/>
              <w:jc w:val="left"/>
            </w:pPr>
            <w:r>
              <w:t xml:space="preserve">12</w:t>
            </w:r>
          </w:p>
        </w:tc>
        <w:tc>
          <w:p>
            <w:pPr>
              <w:pStyle w:val="Normal"/>
              <w:jc w:val="left"/>
            </w:pPr>
            <w:r>
              <w:t xml:space="preserve">Table summarizing best practices and recommendations</w:t>
            </w:r>
          </w:p>
        </w:tc>
        <w:tc>
          <w:p>
            <w:pPr>
              <w:pStyle w:val="Normal"/>
              <w:jc w:val="left"/>
            </w:pPr>
            <w:r>
              <w:t xml:space="preserve">Quick reference for readers</w:t>
            </w:r>
          </w:p>
        </w:tc>
        <w:tc>
          <w:p>
            <w:pPr>
              <w:pStyle w:val="Normal"/>
              <w:jc w:val="left"/>
            </w:pPr>
            <w:r>
              <w:t xml:space="preserve">Best Practices</w:t>
            </w:r>
          </w:p>
        </w:tc>
        <w:tc>
          <w:p>
            <w:pPr>
              <w:pStyle w:val="Normal"/>
              <w:jc w:val="left"/>
            </w:pPr>
            <w:r>
              <w:t xml:space="preserve">Table</w:t>
            </w:r>
          </w:p>
        </w:tc>
      </w:tr>
    </w:tbl>
    <w:p>
      <w:pPr>
        <w:pStyle w:val="Heading1"/>
      </w:pPr>
      <w:bookmarkStart w:id="135" w:name="glossary-of-key-terms"/>
      <w:r>
        <w:rPr>
          <w:color w:val="FF0000"/>
        </w:rPr>
        <w:t xml:space="preserve">Glossary of Key Terms</w:t>
      </w:r>
      <w:bookmarkEnd w:id="135"/>
    </w:p>
    <w:p>
      <w:pPr>
        <w:pStyle w:val="Heading3"/>
      </w:pPr>
      <w:bookmarkStart w:id="136" w:name="table-glossary"/>
      <w:r>
        <w:rPr>
          <w:color w:val="FF0000"/>
        </w:rPr>
        <w:t xml:space="preserve">Table: Glossary</w:t>
      </w:r>
      <w:bookmarkEnd w:id="136"/>
    </w:p>
    <w:tbl>
      <w:tblPr>
        <w:tblStyle w:val="TableNormal"/>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cnfStyle w:firstRow="1"/>
        </w:trPr>
        <w:tc>
          <w:tcPr>
            <w:tcBorders>
              <w:bottom w:val="single"/>
            </w:tcBorders>
            <w:vAlign w:val="bottom"/>
          </w:tcPr>
          <w:p>
            <w:pPr>
              <w:pStyle w:val="Normal"/>
              <w:jc w:val="left"/>
            </w:pPr>
            <w:r>
              <w:t xml:space="preserve">Term</w:t>
            </w:r>
          </w:p>
        </w:tc>
        <w:tc>
          <w:tcPr>
            <w:tcBorders>
              <w:bottom w:val="single"/>
            </w:tcBorders>
            <w:vAlign w:val="bottom"/>
          </w:tcPr>
          <w:p>
            <w:pPr>
              <w:pStyle w:val="Normal"/>
              <w:jc w:val="left"/>
            </w:pPr>
            <w:r>
              <w:t xml:space="preserve">Definition</w:t>
            </w:r>
          </w:p>
        </w:tc>
      </w:tr>
      <w:tr>
        <w:tc>
          <w:p>
            <w:pPr>
              <w:pStyle w:val="Normal"/>
              <w:jc w:val="left"/>
            </w:pPr>
            <w:r>
              <w:t xml:space="preserve">BEV (Battery Electric Vehicle)</w:t>
            </w:r>
          </w:p>
        </w:tc>
        <w:tc>
          <w:p>
            <w:pPr>
              <w:pStyle w:val="Normal"/>
              <w:jc w:val="left"/>
            </w:pPr>
            <w:r>
              <w:t xml:space="preserve">A vehicle powered exclusively by electricity stored in onboard batteries, with no internal combustion engine.</w:t>
            </w:r>
          </w:p>
        </w:tc>
      </w:tr>
      <w:tr>
        <w:tc>
          <w:p>
            <w:pPr>
              <w:pStyle w:val="Normal"/>
              <w:jc w:val="left"/>
            </w:pPr>
            <w:r>
              <w:t xml:space="preserve">PHEV (Plug-in Hybrid Electric Vehicle)</w:t>
            </w:r>
          </w:p>
        </w:tc>
        <w:tc>
          <w:p>
            <w:pPr>
              <w:pStyle w:val="Normal"/>
              <w:jc w:val="left"/>
            </w:pPr>
            <w:r>
              <w:t xml:space="preserve">A vehicle with both an internal combustion engine and a rechargeable battery that can be plugged in.</w:t>
            </w:r>
          </w:p>
        </w:tc>
      </w:tr>
      <w:tr>
        <w:tc>
          <w:p>
            <w:pPr>
              <w:pStyle w:val="Normal"/>
              <w:jc w:val="left"/>
            </w:pPr>
            <w:r>
              <w:t xml:space="preserve">HEV (Hybrid Electric Vehicle)</w:t>
            </w:r>
          </w:p>
        </w:tc>
        <w:tc>
          <w:p>
            <w:pPr>
              <w:pStyle w:val="Normal"/>
              <w:jc w:val="left"/>
            </w:pPr>
            <w:r>
              <w:t xml:space="preserve">A vehicle that combines a conventional engine with an electric propulsion system, but cannot be plugged in.</w:t>
            </w:r>
          </w:p>
        </w:tc>
      </w:tr>
      <w:tr>
        <w:tc>
          <w:p>
            <w:pPr>
              <w:pStyle w:val="Normal"/>
              <w:jc w:val="left"/>
            </w:pPr>
            <w:r>
              <w:t xml:space="preserve">FCEV (Fuel Cell Electric Vehicle)</w:t>
            </w:r>
          </w:p>
        </w:tc>
        <w:tc>
          <w:p>
            <w:pPr>
              <w:pStyle w:val="Normal"/>
              <w:jc w:val="left"/>
            </w:pPr>
            <w:r>
              <w:t xml:space="preserve">A vehicle that generates electricity using a hydrogen fuel cell, emitting only water vapor.</w:t>
            </w:r>
          </w:p>
        </w:tc>
      </w:tr>
      <w:tr>
        <w:tc>
          <w:p>
            <w:pPr>
              <w:pStyle w:val="Normal"/>
              <w:jc w:val="left"/>
            </w:pPr>
            <w:r>
              <w:t xml:space="preserve">Lifecycle Emissions</w:t>
            </w:r>
          </w:p>
        </w:tc>
        <w:tc>
          <w:p>
            <w:pPr>
              <w:pStyle w:val="Normal"/>
              <w:jc w:val="left"/>
            </w:pPr>
            <w:r>
              <w:t xml:space="preserve">The total greenhouse gas emissions associated with a product from raw material extraction to disposal.</w:t>
            </w:r>
          </w:p>
        </w:tc>
      </w:tr>
      <w:tr>
        <w:tc>
          <w:p>
            <w:pPr>
              <w:pStyle w:val="Normal"/>
              <w:jc w:val="left"/>
            </w:pPr>
            <w:r>
              <w:t xml:space="preserve">Smart Charging</w:t>
            </w:r>
          </w:p>
        </w:tc>
        <w:tc>
          <w:p>
            <w:pPr>
              <w:pStyle w:val="Normal"/>
              <w:jc w:val="left"/>
            </w:pPr>
            <w:r>
              <w:t xml:space="preserve">Charging technology that optimizes when and how EVs are charged to benefit the grid and environment.</w:t>
            </w:r>
          </w:p>
        </w:tc>
      </w:tr>
      <w:tr>
        <w:tc>
          <w:p>
            <w:pPr>
              <w:pStyle w:val="Normal"/>
              <w:jc w:val="left"/>
            </w:pPr>
            <w:r>
              <w:t xml:space="preserve">Vehicle-to-Grid (V2G)</w:t>
            </w:r>
          </w:p>
        </w:tc>
        <w:tc>
          <w:p>
            <w:pPr>
              <w:pStyle w:val="Normal"/>
              <w:jc w:val="left"/>
            </w:pPr>
            <w:r>
              <w:t xml:space="preserve">Technology that allows EVs to discharge electricity back into the grid.</w:t>
            </w:r>
          </w:p>
        </w:tc>
      </w:tr>
      <w:tr>
        <w:tc>
          <w:p>
            <w:pPr>
              <w:pStyle w:val="Normal"/>
              <w:jc w:val="left"/>
            </w:pPr>
            <w:r>
              <w:t xml:space="preserve">Energy Density</w:t>
            </w:r>
          </w:p>
        </w:tc>
        <w:tc>
          <w:p>
            <w:pPr>
              <w:pStyle w:val="Normal"/>
              <w:jc w:val="left"/>
            </w:pPr>
            <w:r>
              <w:t xml:space="preserve">The amount of energy stored in a given system or battery per unit mass (Wh/kg).</w:t>
            </w:r>
          </w:p>
        </w:tc>
      </w:tr>
      <w:tr>
        <w:tc>
          <w:p>
            <w:pPr>
              <w:pStyle w:val="Normal"/>
              <w:jc w:val="left"/>
            </w:pPr>
            <w:r>
              <w:t xml:space="preserve">Zero Emission Vehicle (ZEV)</w:t>
            </w:r>
          </w:p>
        </w:tc>
        <w:tc>
          <w:p>
            <w:pPr>
              <w:pStyle w:val="Normal"/>
              <w:jc w:val="left"/>
            </w:pPr>
            <w:r>
              <w:t xml:space="preserve">A vehicle that emits no exhaust gas from the onboard source of power.</w:t>
            </w:r>
          </w:p>
        </w:tc>
      </w:tr>
      <w:tr>
        <w:tc>
          <w:p>
            <w:pPr>
              <w:pStyle w:val="Normal"/>
              <w:jc w:val="left"/>
            </w:pPr>
            <w:r>
              <w:t xml:space="preserve">Second-life Battery</w:t>
            </w:r>
          </w:p>
        </w:tc>
        <w:tc>
          <w:p>
            <w:pPr>
              <w:pStyle w:val="Normal"/>
              <w:jc w:val="left"/>
            </w:pPr>
            <w:r>
              <w:t xml:space="preserve">A used EV battery repurposed for applications such as stationary energy storage.</w:t>
            </w:r>
          </w:p>
        </w:tc>
      </w:tr>
      <w:tr>
        <w:tc>
          <w:p>
            <w:pPr>
              <w:pStyle w:val="Normal"/>
              <w:jc w:val="left"/>
            </w:pPr>
            <w:r>
              <w:t xml:space="preserve">Carbon Backpack</w:t>
            </w:r>
          </w:p>
        </w:tc>
        <w:tc>
          <w:p>
            <w:pPr>
              <w:pStyle w:val="Normal"/>
              <w:jc w:val="left"/>
            </w:pPr>
            <w:r>
              <w:t xml:space="preserve">The initial carbon footprint of a vehicle from manufacturing, especially battery production.</w:t>
            </w:r>
          </w:p>
        </w:tc>
      </w:tr>
      <w:tr>
        <w:tc>
          <w:p>
            <w:pPr>
              <w:pStyle w:val="Normal"/>
              <w:jc w:val="left"/>
            </w:pPr>
            <w:r>
              <w:t xml:space="preserve">Carbon Breakeven</w:t>
            </w:r>
          </w:p>
        </w:tc>
        <w:tc>
          <w:p>
            <w:pPr>
              <w:pStyle w:val="Normal"/>
              <w:jc w:val="left"/>
            </w:pPr>
            <w:r>
              <w:t xml:space="preserve">The distance at which an EV's operational savings offset its higher manufacturing emissions.</w:t>
            </w:r>
          </w:p>
        </w:tc>
      </w:tr>
      <w:tr>
        <w:tc>
          <w:p>
            <w:pPr>
              <w:pStyle w:val="Normal"/>
              <w:jc w:val="left"/>
            </w:pPr>
            <w:r>
              <w:t xml:space="preserve">LIB (Lithium-Ion Battery)</w:t>
            </w:r>
          </w:p>
        </w:tc>
        <w:tc>
          <w:p>
            <w:pPr>
              <w:pStyle w:val="Normal"/>
              <w:jc w:val="left"/>
            </w:pPr>
            <w:r>
              <w:t xml:space="preserve">The dominant battery technology in current EVs using lithium-ion chemistry.</w:t>
            </w:r>
          </w:p>
        </w:tc>
      </w:tr>
      <w:tr>
        <w:tc>
          <w:p>
            <w:pPr>
              <w:pStyle w:val="Normal"/>
              <w:jc w:val="left"/>
            </w:pPr>
            <w:r>
              <w:t xml:space="preserve">LFP (Lithium Iron Phosphate)</w:t>
            </w:r>
          </w:p>
        </w:tc>
        <w:tc>
          <w:p>
            <w:pPr>
              <w:pStyle w:val="Normal"/>
              <w:jc w:val="left"/>
            </w:pPr>
            <w:r>
              <w:t xml:space="preserve">A lithium battery chemistry that eliminates cobalt and nickel for lower cost and longer life.</w:t>
            </w:r>
          </w:p>
        </w:tc>
      </w:tr>
      <w:tr>
        <w:tc>
          <w:p>
            <w:pPr>
              <w:pStyle w:val="Normal"/>
              <w:jc w:val="left"/>
            </w:pPr>
            <w:r>
              <w:t xml:space="preserve">SSB (Solid-State Battery)</w:t>
            </w:r>
          </w:p>
        </w:tc>
        <w:tc>
          <w:p>
            <w:pPr>
              <w:pStyle w:val="Normal"/>
              <w:jc w:val="left"/>
            </w:pPr>
            <w:r>
              <w:t xml:space="preserve">Next-generation battery using solid electrolyte instead of liquid for higher energy density.</w:t>
            </w:r>
          </w:p>
        </w:tc>
      </w:tr>
      <w:tr>
        <w:tc>
          <w:p>
            <w:pPr>
              <w:pStyle w:val="Normal"/>
              <w:jc w:val="left"/>
            </w:pPr>
            <w:r>
              <w:t xml:space="preserve">SIB (Sodium-Ion Battery)</w:t>
            </w:r>
          </w:p>
        </w:tc>
        <w:tc>
          <w:p>
            <w:pPr>
              <w:pStyle w:val="Normal"/>
              <w:jc w:val="left"/>
            </w:pPr>
            <w:r>
              <w:t xml:space="preserve">Battery technology using sodium instead of lithium, avoiding critical mineral constraints.</w:t>
            </w:r>
          </w:p>
        </w:tc>
      </w:tr>
      <w:tr>
        <w:tc>
          <w:p>
            <w:pPr>
              <w:pStyle w:val="Normal"/>
              <w:jc w:val="left"/>
            </w:pPr>
            <w:r>
              <w:t xml:space="preserve">NMC (Nickel Manganese Cobalt)</w:t>
            </w:r>
          </w:p>
        </w:tc>
        <w:tc>
          <w:p>
            <w:pPr>
              <w:pStyle w:val="Normal"/>
              <w:jc w:val="left"/>
            </w:pPr>
            <w:r>
              <w:t xml:space="preserve">A common lithium battery cathode chemistry offering high energy density.</w:t>
            </w:r>
          </w:p>
        </w:tc>
      </w:tr>
      <w:tr>
        <w:tc>
          <w:p>
            <w:pPr>
              <w:pStyle w:val="Normal"/>
              <w:jc w:val="left"/>
            </w:pPr>
            <w:r>
              <w:t xml:space="preserve">CAM (Cathode Active Material)</w:t>
            </w:r>
          </w:p>
        </w:tc>
        <w:tc>
          <w:p>
            <w:pPr>
              <w:pStyle w:val="Normal"/>
              <w:jc w:val="left"/>
            </w:pPr>
            <w:r>
              <w:t xml:space="preserve">The material in a battery cathode that stores and releases lithium ions.</w:t>
            </w:r>
          </w:p>
        </w:tc>
      </w:tr>
      <w:tr>
        <w:tc>
          <w:p>
            <w:pPr>
              <w:pStyle w:val="Normal"/>
              <w:jc w:val="left"/>
            </w:pPr>
            <w:r>
              <w:t xml:space="preserve">GWP (Global Warming Potential)</w:t>
            </w:r>
          </w:p>
        </w:tc>
        <w:tc>
          <w:p>
            <w:pPr>
              <w:pStyle w:val="Normal"/>
              <w:jc w:val="left"/>
            </w:pPr>
            <w:r>
              <w:t xml:space="preserve">A measure of how much a given mass of greenhouse gas contributes to global warming.</w:t>
            </w:r>
          </w:p>
        </w:tc>
      </w:tr>
      <w:tr>
        <w:tc>
          <w:p>
            <w:pPr>
              <w:pStyle w:val="Normal"/>
              <w:jc w:val="left"/>
            </w:pPr>
            <w:r>
              <w:t xml:space="preserve">CAGR (Compound Annual Growth Rate)</w:t>
            </w:r>
          </w:p>
        </w:tc>
        <w:tc>
          <w:p>
            <w:pPr>
              <w:pStyle w:val="Normal"/>
              <w:jc w:val="left"/>
            </w:pPr>
            <w:r>
              <w:t xml:space="preserve">The mean annual growth rate over a specified time period.</w:t>
            </w:r>
          </w:p>
        </w:tc>
      </w:tr>
      <w:tr>
        <w:tc>
          <w:p>
            <w:pPr>
              <w:pStyle w:val="Normal"/>
              <w:jc w:val="left"/>
            </w:pPr>
            <w:r>
              <w:t xml:space="preserve">DSM (Deep Sea Mining)</w:t>
            </w:r>
          </w:p>
        </w:tc>
        <w:tc>
          <w:p>
            <w:pPr>
              <w:pStyle w:val="Normal"/>
              <w:jc w:val="left"/>
            </w:pPr>
            <w:r>
              <w:t xml:space="preserve">Extraction of minerals from the ocean floor.</w:t>
            </w:r>
          </w:p>
        </w:tc>
      </w:tr>
      <w:tr>
        <w:tc>
          <w:p>
            <w:pPr>
              <w:pStyle w:val="Normal"/>
              <w:jc w:val="left"/>
            </w:pPr>
            <w:r>
              <w:t xml:space="preserve">CCZ (Clarion-Clipperton Zone)</w:t>
            </w:r>
          </w:p>
        </w:tc>
        <w:tc>
          <w:p>
            <w:pPr>
              <w:pStyle w:val="Normal"/>
              <w:jc w:val="left"/>
            </w:pPr>
            <w:r>
              <w:t xml:space="preserve">An area in the Pacific Ocean rich in polymetallic nodules being considered for mining.</w:t>
            </w:r>
          </w:p>
        </w:tc>
      </w:tr>
      <w:tr>
        <w:tc>
          <w:p>
            <w:pPr>
              <w:pStyle w:val="Normal"/>
              <w:jc w:val="left"/>
            </w:pPr>
            <w:r>
              <w:t xml:space="preserve">AVAS (Acoustic Vehicle Alerting System)</w:t>
            </w:r>
          </w:p>
        </w:tc>
        <w:tc>
          <w:p>
            <w:pPr>
              <w:pStyle w:val="Normal"/>
              <w:jc w:val="left"/>
            </w:pPr>
            <w:r>
              <w:t xml:space="preserve">Sound generators required on EVs for pedestrian safety at low speeds.</w:t>
            </w:r>
          </w:p>
        </w:tc>
      </w:tr>
      <w:tr>
        <w:tc>
          <w:p>
            <w:pPr>
              <w:pStyle w:val="Normal"/>
              <w:jc w:val="left"/>
            </w:pPr>
            <w:r>
              <w:t xml:space="preserve">EPR (Extended Producer Responsibility)</w:t>
            </w:r>
          </w:p>
        </w:tc>
        <w:tc>
          <w:p>
            <w:pPr>
              <w:pStyle w:val="Normal"/>
              <w:jc w:val="left"/>
            </w:pPr>
            <w:r>
              <w:t xml:space="preserve">Policy requiring manufacturers to manage product end-of-life impacts.</w:t>
            </w:r>
          </w:p>
        </w:tc>
      </w:tr>
    </w:tbl>
    <w:p>
      <w:pPr>
        <w:pStyle w:val="Heading1"/>
      </w:pPr>
      <w:bookmarkStart w:id="137" w:name="references-and-further-reading"/>
      <w:r>
        <w:rPr>
          <w:color w:val="FF0000"/>
        </w:rPr>
        <w:t xml:space="preserve">References and Further Reading</w:t>
      </w:r>
      <w:bookmarkEnd w:id="137"/>
    </w:p>
    <w:p>
      <w:pPr>
        <w:pStyle w:val="Heading2"/>
      </w:pPr>
      <w:bookmarkStart w:id="138" w:name="key-sources"/>
      <w:r>
        <w:rPr>
          <w:color w:val="FF0000"/>
        </w:rPr>
        <w:t xml:space="preserve">Key Sources</w:t>
      </w:r>
      <w:bookmarkEnd w:id="138"/>
    </w:p>
    <w:p>
      <w:pPr>
        <w:numPr>
          <w:ilvl w:val="0"/>
          <w:numId w:val="1079"/>
        </w:numPr>
      </w:pPr>
      <w:r>
        <w:t xml:space="preserve">International Energy Agency (IEA). (2023).</w:t>
      </w:r>
      <w:r>
        <w:t xml:space="preserve"> </w:t>
      </w:r>
      <w:r>
        <w:rPr>
          <w:i/>
        </w:rPr>
        <w:t xml:space="preserve">Global EV Outlook 2023</w:t>
      </w:r>
      <w:r>
        <w:t xml:space="preserve">. https://www.iea.org/</w:t>
      </w:r>
    </w:p>
    <w:p>
      <w:pPr>
        <w:numPr>
          <w:ilvl w:val="0"/>
          <w:numId w:val="1079"/>
        </w:numPr>
      </w:pPr>
      <w:r>
        <w:t xml:space="preserve">International Council on Clean Transportation (ICCT). (2020).</w:t>
      </w:r>
      <w:r>
        <w:t xml:space="preserve"> </w:t>
      </w:r>
      <w:r>
        <w:rPr>
          <w:i/>
        </w:rPr>
        <w:t xml:space="preserve">Effects of battery manufacturing on electric vehicle life-cycle greenhouse gas emissions</w:t>
      </w:r>
      <w:r>
        <w:t xml:space="preserve">.</w:t>
      </w:r>
    </w:p>
    <w:p>
      <w:pPr>
        <w:numPr>
          <w:ilvl w:val="0"/>
          <w:numId w:val="1079"/>
        </w:numPr>
      </w:pPr>
      <w:r>
        <w:t xml:space="preserve">BloombergNEF. (2022).</w:t>
      </w:r>
      <w:r>
        <w:t xml:space="preserve"> </w:t>
      </w:r>
      <w:r>
        <w:rPr>
          <w:i/>
        </w:rPr>
        <w:t xml:space="preserve">Battery Price Survey</w:t>
      </w:r>
      <w:r>
        <w:t xml:space="preserve">.</w:t>
      </w:r>
    </w:p>
    <w:p>
      <w:pPr>
        <w:numPr>
          <w:ilvl w:val="0"/>
          <w:numId w:val="1079"/>
        </w:numPr>
      </w:pPr>
      <w:r>
        <w:t xml:space="preserve">World Health Organization. (2018).</w:t>
      </w:r>
      <w:r>
        <w:t xml:space="preserve"> </w:t>
      </w:r>
      <w:r>
        <w:rPr>
          <w:i/>
        </w:rPr>
        <w:t xml:space="preserve">Ambient air pollution: Health impacts</w:t>
      </w:r>
      <w:r>
        <w:t xml:space="preserve">. https://www.who.int/</w:t>
      </w:r>
    </w:p>
    <w:p>
      <w:pPr>
        <w:numPr>
          <w:ilvl w:val="0"/>
          <w:numId w:val="1079"/>
        </w:numPr>
      </w:pPr>
      <w:r>
        <w:t xml:space="preserve">European Environment Agency. (2022).</w:t>
      </w:r>
      <w:r>
        <w:t xml:space="preserve"> </w:t>
      </w:r>
      <w:r>
        <w:rPr>
          <w:i/>
        </w:rPr>
        <w:t xml:space="preserve">Electric vehicles and the energy sector</w:t>
      </w:r>
      <w:r>
        <w:t xml:space="preserve">. https://www.eea.europa.eu/</w:t>
      </w:r>
    </w:p>
    <w:p>
      <w:pPr>
        <w:numPr>
          <w:ilvl w:val="0"/>
          <w:numId w:val="1079"/>
        </w:numPr>
      </w:pPr>
      <w:r>
        <w:t xml:space="preserve">Swedish Environmental Research Institute (IVL). (2017).</w:t>
      </w:r>
      <w:r>
        <w:t xml:space="preserve"> </w:t>
      </w:r>
      <w:r>
        <w:rPr>
          <w:i/>
        </w:rPr>
        <w:t xml:space="preserve">The Life Cycle Energy Consumption and Greenhouse Gas Emissions from Lithium-Ion Batteries</w:t>
      </w:r>
      <w:r>
        <w:t xml:space="preserve">.</w:t>
      </w:r>
    </w:p>
    <w:p>
      <w:pPr>
        <w:numPr>
          <w:ilvl w:val="0"/>
          <w:numId w:val="1079"/>
        </w:numPr>
      </w:pPr>
      <w:r>
        <w:t xml:space="preserve">MIT Climate Portal. (2023).</w:t>
      </w:r>
      <w:r>
        <w:t xml:space="preserve"> </w:t>
      </w:r>
      <w:r>
        <w:rPr>
          <w:i/>
        </w:rPr>
        <w:t xml:space="preserve">Are electric vehicles definitely better for the climate than gas-powered cars?</w:t>
      </w:r>
    </w:p>
    <w:p>
      <w:pPr>
        <w:numPr>
          <w:ilvl w:val="0"/>
          <w:numId w:val="1079"/>
        </w:numPr>
      </w:pPr>
      <w:r>
        <w:t xml:space="preserve">EPA (Environmental Protection Agency).</w:t>
      </w:r>
      <w:r>
        <w:t xml:space="preserve"> </w:t>
      </w:r>
      <w:r>
        <w:rPr>
          <w:i/>
        </w:rPr>
        <w:t xml:space="preserve">Greenhouse Gas Emissions from a Typical Passenger Vehicle</w:t>
      </w:r>
      <w:r>
        <w:t xml:space="preserve">. https://www.epa.gov/</w:t>
      </w:r>
    </w:p>
    <w:p>
      <w:pPr>
        <w:pStyle w:val="Heading2"/>
      </w:pPr>
      <w:bookmarkStart w:id="139" w:name="recommended-books-and-articles"/>
      <w:r>
        <w:rPr>
          <w:color w:val="FF0000"/>
        </w:rPr>
        <w:t xml:space="preserve">Recommended Books and Articles</w:t>
      </w:r>
      <w:bookmarkEnd w:id="139"/>
    </w:p>
    <w:p>
      <w:pPr>
        <w:numPr>
          <w:ilvl w:val="0"/>
          <w:numId w:val="1080"/>
        </w:numPr>
      </w:pPr>
      <w:r>
        <w:t xml:space="preserve">Sperling, D. (2018).</w:t>
      </w:r>
      <w:r>
        <w:t xml:space="preserve"> </w:t>
      </w:r>
      <w:r>
        <w:rPr>
          <w:i/>
        </w:rPr>
        <w:t xml:space="preserve">Three Revolutions: Steering Automated, Shared, and Electric Vehicles to a Better Future</w:t>
      </w:r>
      <w:r>
        <w:t xml:space="preserve">. Island Press.</w:t>
      </w:r>
    </w:p>
    <w:p>
      <w:pPr>
        <w:numPr>
          <w:ilvl w:val="0"/>
          <w:numId w:val="1080"/>
        </w:numPr>
      </w:pPr>
      <w:r>
        <w:t xml:space="preserve">McKerracher, C. (2021).</w:t>
      </w:r>
      <w:r>
        <w:t xml:space="preserve"> </w:t>
      </w:r>
      <w:r>
        <w:rPr>
          <w:i/>
        </w:rPr>
        <w:t xml:space="preserve">The Future of Electric Vehicles</w:t>
      </w:r>
      <w:r>
        <w:t xml:space="preserve"> </w:t>
      </w:r>
      <w:r>
        <w:t xml:space="preserve">(BloombergNEF White Paper).</w:t>
      </w:r>
    </w:p>
    <w:p>
      <w:pPr>
        <w:numPr>
          <w:ilvl w:val="0"/>
          <w:numId w:val="1080"/>
        </w:numPr>
      </w:pPr>
      <w:r>
        <w:t xml:space="preserve">Lutsey, N., &amp; Nicholas, M. (2019).</w:t>
      </w:r>
      <w:r>
        <w:t xml:space="preserve"> </w:t>
      </w:r>
      <w:r>
        <w:rPr>
          <w:i/>
        </w:rPr>
        <w:t xml:space="preserve">Update on electric vehicle costs in the United States through 2030</w:t>
      </w:r>
      <w:r>
        <w:t xml:space="preserve"> </w:t>
      </w:r>
      <w:r>
        <w:t xml:space="preserve">(ICCT).</w:t>
      </w:r>
    </w:p>
    <w:p>
      <w:pPr>
        <w:numPr>
          <w:ilvl w:val="0"/>
          <w:numId w:val="1080"/>
        </w:numPr>
      </w:pPr>
      <w:r>
        <w:t xml:space="preserve">Bieker, G. (2021).</w:t>
      </w:r>
      <w:r>
        <w:t xml:space="preserve"> </w:t>
      </w:r>
      <w:r>
        <w:rPr>
          <w:i/>
        </w:rPr>
        <w:t xml:space="preserve">A global comparison of the life-cycle greenhouse gas emissions of combustion engine and electric passenger cars</w:t>
      </w:r>
      <w:r>
        <w:t xml:space="preserve"> </w:t>
      </w:r>
      <w:r>
        <w:t xml:space="preserve">(ICCT).</w:t>
      </w:r>
    </w:p>
    <w:p>
      <w:pPr>
        <w:numPr>
          <w:ilvl w:val="0"/>
          <w:numId w:val="1080"/>
        </w:numPr>
      </w:pPr>
      <w:r>
        <w:t xml:space="preserve">Creutzig, F., et al. (2015).</w:t>
      </w:r>
      <w:r>
        <w:t xml:space="preserve"> </w:t>
      </w:r>
      <w:r>
        <w:rPr>
          <w:i/>
        </w:rPr>
        <w:t xml:space="preserve">Transport: A roadblock to climate change mitigation?</w:t>
      </w:r>
      <w:r>
        <w:t xml:space="preserve"> </w:t>
      </w:r>
      <w:r>
        <w:t xml:space="preserve">Science, 350(6263), 911-912.</w:t>
      </w:r>
    </w:p>
    <w:p>
      <w:pPr>
        <w:pStyle w:val="Heading2"/>
      </w:pPr>
      <w:bookmarkStart w:id="140" w:name="organizations-and-websites"/>
      <w:r>
        <w:rPr>
          <w:color w:val="FF0000"/>
        </w:rPr>
        <w:t xml:space="preserve">Organizations and Websites</w:t>
      </w:r>
      <w:bookmarkEnd w:id="140"/>
    </w:p>
    <w:p>
      <w:pPr>
        <w:numPr>
          <w:ilvl w:val="0"/>
          <w:numId w:val="1081"/>
        </w:numPr>
        <w:pStyle w:val="Normal"/>
      </w:pPr>
      <w:r>
        <w:t xml:space="preserve">International Energy Agency (IEA) - https://www.iea.org/</w:t>
      </w:r>
    </w:p>
    <w:p>
      <w:pPr>
        <w:numPr>
          <w:ilvl w:val="0"/>
          <w:numId w:val="1081"/>
        </w:numPr>
        <w:pStyle w:val="Normal"/>
      </w:pPr>
      <w:r>
        <w:t xml:space="preserve">International Council on Clean Transportation (ICCT) - https://theicct.org/</w:t>
      </w:r>
    </w:p>
    <w:p>
      <w:pPr>
        <w:numPr>
          <w:ilvl w:val="0"/>
          <w:numId w:val="1081"/>
        </w:numPr>
        <w:pStyle w:val="Normal"/>
      </w:pPr>
      <w:r>
        <w:t xml:space="preserve">BloombergNEF - https://about.bnef.com/</w:t>
      </w:r>
    </w:p>
    <w:p>
      <w:pPr>
        <w:numPr>
          <w:ilvl w:val="0"/>
          <w:numId w:val="1081"/>
        </w:numPr>
        <w:pStyle w:val="Normal"/>
      </w:pPr>
      <w:r>
        <w:t xml:space="preserve">World Health Organization (WHO) - https://www.who.int/</w:t>
      </w:r>
    </w:p>
    <w:p>
      <w:pPr>
        <w:numPr>
          <w:ilvl w:val="0"/>
          <w:numId w:val="1081"/>
        </w:numPr>
        <w:pStyle w:val="Normal"/>
      </w:pPr>
      <w:r>
        <w:t xml:space="preserve">European Environment Agency (EEA) - https://www.eea.europa.eu/</w:t>
      </w:r>
    </w:p>
    <w:p>
      <w:pPr>
        <w:numPr>
          <w:ilvl w:val="0"/>
          <w:numId w:val="1081"/>
        </w:numPr>
        <w:pStyle w:val="Normal"/>
      </w:pPr>
      <w:r>
        <w:t xml:space="preserve">Rocky Mountain Institute - https://rmi.org/</w:t>
      </w:r>
    </w:p>
    <w:p>
      <w:pPr>
        <w:numPr>
          <w:ilvl w:val="0"/>
          <w:numId w:val="1081"/>
        </w:numPr>
        <w:pStyle w:val="Normal"/>
      </w:pPr>
      <w:r>
        <w:t xml:space="preserve">Transport &amp; Environment - https://www.transportenvironment.org/</w:t>
      </w:r>
    </w:p>
    <w:p>
      <w:pPr>
        <w:numPr>
          <w:ilvl w:val="0"/>
          <w:numId w:val="1081"/>
        </w:numPr>
        <w:pStyle w:val="Normal"/>
      </w:pPr>
      <w:r>
        <w:t xml:space="preserve">Clean Energy Ministerial - https://www.cleanenergyministerial.org/</w:t>
      </w:r>
    </w:p>
    <w:p>
      <w:pPr>
        <w:pStyle w:val="Heading2"/>
      </w:pPr>
      <w:bookmarkStart w:id="141" w:name="data-sources"/>
      <w:r>
        <w:rPr>
          <w:color w:val="FF0000"/>
        </w:rPr>
        <w:t xml:space="preserve">Data Sources</w:t>
      </w:r>
      <w:bookmarkEnd w:id="141"/>
    </w:p>
    <w:p>
      <w:pPr>
        <w:numPr>
          <w:ilvl w:val="0"/>
          <w:numId w:val="1082"/>
        </w:numPr>
        <w:pStyle w:val="Normal"/>
      </w:pPr>
      <w:r>
        <w:t xml:space="preserve">IEA Global EV Data Explorer - https://www.iea.org/data-and-statistics/data-tools/global-ev-data-explorer</w:t>
      </w:r>
    </w:p>
    <w:p>
      <w:pPr>
        <w:numPr>
          <w:ilvl w:val="0"/>
          <w:numId w:val="1082"/>
        </w:numPr>
        <w:pStyle w:val="Normal"/>
      </w:pPr>
      <w:r>
        <w:t xml:space="preserve">European Alternative Fuels Observatory - https://alternative-fuels-observatory.ec.europa.eu/</w:t>
      </w:r>
    </w:p>
    <w:p>
      <w:pPr>
        <w:numPr>
          <w:ilvl w:val="0"/>
          <w:numId w:val="1082"/>
        </w:numPr>
        <w:pStyle w:val="Normal"/>
      </w:pPr>
      <w:r>
        <w:t xml:space="preserve">US Department of Energy Alternative Fuels Data Center - https://afdc.energy.gov/</w:t>
      </w:r>
    </w:p>
    <w:p>
      <w:pPr>
        <w:numPr>
          <w:ilvl w:val="0"/>
          <w:numId w:val="1082"/>
        </w:numPr>
        <w:pStyle w:val="Normal"/>
      </w:pPr>
      <w:r>
        <w:t xml:space="preserve">China Association of Automobile Manufacturers (CAAM)</w:t>
      </w:r>
    </w:p>
    <w:p>
      <w:pPr>
        <w:numPr>
          <w:ilvl w:val="0"/>
          <w:numId w:val="1082"/>
        </w:numPr>
        <w:pStyle w:val="Normal"/>
      </w:pPr>
      <w:r>
        <w:t xml:space="preserve">Norwegian Road Federation (OFV)</w:t>
      </w:r>
    </w:p>
    <w:p>
      <w:r>
        <w:pict>
          <v:rect style="width:0;height:1.5pt" o:hralign="center" o:hrstd="t" o:hr="t"/>
        </w:pict>
      </w:r>
    </w:p>
    <w:p>
      <w:pPr>
        <w:pStyle w:val="Heading1"/>
      </w:pPr>
      <w:bookmarkStart w:id="142" w:name="deep-research-findings"/>
      <w:r>
        <w:rPr>
          <w:color w:val="FF0000"/>
        </w:rPr>
        <w:t xml:space="preserve">Deep Research Findings</w:t>
      </w:r>
      <w:bookmarkEnd w:id="142"/>
    </w:p>
    <w:p>
      <w:pPr>
        <w:pStyle w:val="Normal"/>
      </w:pPr>
      <w:r>
        <w:t xml:space="preserve">The following section contains comprehensive research findings from in-depth analysis:</w:t>
      </w:r>
    </w:p>
    <w:p>
      <w:pPr>
        <w:pStyle w:val="Heading1"/>
      </w:pPr>
      <w:bookmarkStart w:id="143" w:name="X64a5fa7f23ac961d55288b8121d55334220d655"/>
      <w:r>
        <w:rPr>
          <w:color w:val="FF0000"/>
        </w:rPr>
        <w:t xml:space="preserve">Comprehensive Documentation: The Future of Electric Vehicles and Environmental Effects</w:t>
      </w:r>
      <w:bookmarkEnd w:id="143"/>
    </w:p>
    <w:p>
      <w:pPr>
        <w:pStyle w:val="Heading3"/>
      </w:pPr>
      <w:bookmarkStart w:id="144" w:name="executive-summary-key-findings"/>
      <w:r>
        <w:rPr>
          <w:color w:val="FF0000"/>
          <w:u w:val="single"/>
        </w:rPr>
        <w:t xml:space="preserve">Executive Summary</w:t>
      </w:r>
      <w:r>
        <w:rPr>
          <w:color w:val="FF0000"/>
        </w:rPr>
        <w:t xml:space="preserve"> &amp; Key Findings</w:t>
      </w:r>
      <w:bookmarkEnd w:id="144"/>
    </w:p>
    <w:p>
      <w:pPr>
        <w:pStyle w:val="Normal"/>
      </w:pPr>
      <w:r>
        <w:t xml:space="preserve">The transition from Internal Combustion Engine (ICE) vehicles to Electric Vehicles (EVs) represents a profound shift in global energy and transportation architectures. Research suggests that while EVs offer a definitive pathway to decarbonizing the operational phase of road transport, they introduce complex environmental trade-offs in the manufacturing and end-of-life phases. The immediate future (2025-2030) is characterized by a rapid diversification of battery chemistries-specifically the commercialization of solid-state and sodium-ion technologies-aimed at mitigating the raw material bottlenecks currently dominated by Chinese supply chains. However, significant architectural risks remain regarding grid stability, specifically transformer aging due to harmonic distortion from charging, and the economic sustainability of the insurance and repair sectors due to the rise of structural battery packs.</w:t>
      </w:r>
    </w:p>
    <w:p>
      <w:pPr>
        <w:pStyle w:val="BodyText"/>
      </w:pPr>
      <w:r>
        <w:rPr>
          <w:b/>
        </w:rPr>
        <w:t xml:space="preserve">Key Points of Controversy and Uncertainty:</w:t>
      </w:r>
      <w:r>
        <w:t xml:space="preserve"> </w:t>
      </w:r>
      <w:r>
        <w:t xml:space="preserve">*</w:t>
      </w:r>
      <w:r>
        <w:t xml:space="preserve"> </w:t>
      </w:r>
      <w:r>
        <w:rPr>
          <w:b/>
        </w:rPr>
        <w:t xml:space="preserve">The Carbon</w:t>
      </w:r>
      <w:r>
        <w:rPr>
          <w:b/>
        </w:rPr>
        <w:t xml:space="preserve"> </w:t>
      </w:r>
      <w:r>
        <w:rPr>
          <w:b/>
        </w:rPr>
        <w:t xml:space="preserve">"</w:t>
      </w:r>
      <w:r>
        <w:rPr>
          <w:b/>
        </w:rPr>
        <w:t xml:space="preserve">Breakeven</w:t>
      </w:r>
      <w:r>
        <w:rPr>
          <w:b/>
        </w:rPr>
        <w:t xml:space="preserve">"</w:t>
      </w:r>
      <w:r>
        <w:rPr>
          <w:b/>
        </w:rPr>
        <w:t xml:space="preserve"> </w:t>
      </w:r>
      <w:r>
        <w:rPr>
          <w:b/>
        </w:rPr>
        <w:t xml:space="preserve">Point:</w:t>
      </w:r>
      <w:r>
        <w:t xml:space="preserve"> </w:t>
      </w:r>
      <w:r>
        <w:t xml:space="preserve">While consensus indicates EVs pay off their</w:t>
      </w:r>
      <w:r>
        <w:t xml:space="preserve"> </w:t>
      </w:r>
      <w:r>
        <w:t xml:space="preserve">"</w:t>
      </w:r>
      <w:r>
        <w:t xml:space="preserve">carbon debt</w:t>
      </w:r>
      <w:r>
        <w:t xml:space="preserve">"</w:t>
      </w:r>
      <w:r>
        <w:t xml:space="preserve"> </w:t>
      </w:r>
      <w:r>
        <w:t xml:space="preserve">within 1-2 years of operation in cleaner grids, this timeline extends significantly in coal-heavy regions (e.g., India, parts of China), creating a disparity in environmental efficacy [cite: 1, 2].</w:t>
      </w:r>
      <w:r>
        <w:t xml:space="preserve"> </w:t>
      </w:r>
      <w:r>
        <w:t xml:space="preserve">*</w:t>
      </w:r>
      <w:r>
        <w:t xml:space="preserve"> </w:t>
      </w:r>
      <w:r>
        <w:rPr>
          <w:b/>
        </w:rPr>
        <w:t xml:space="preserve">Resource Dependency:</w:t>
      </w:r>
      <w:r>
        <w:t xml:space="preserve"> </w:t>
      </w:r>
      <w:r>
        <w:t xml:space="preserve">The shift to EVs threatens to replace oil dependency with a dependency on critical minerals (lithium, cobalt, nickel), where China controls 70-95% of refining capacity, creating geopolitical vulnerabilities comparable to fossil fuel markets [cite: 3, 4].</w:t>
      </w:r>
      <w:r>
        <w:t xml:space="preserve"> </w:t>
      </w:r>
      <w:r>
        <w:t xml:space="preserve">*</w:t>
      </w:r>
      <w:r>
        <w:t xml:space="preserve"> </w:t>
      </w:r>
      <w:r>
        <w:rPr>
          <w:b/>
        </w:rPr>
        <w:t xml:space="preserve">Deep Sea Mining (DSM):</w:t>
      </w:r>
      <w:r>
        <w:t xml:space="preserve"> </w:t>
      </w:r>
      <w:r>
        <w:t xml:space="preserve">As terrestrial ore grades decline, the industry faces a polarizing debate over harvesting polymetallic nodules from the ocean floor, presenting a conflict between the need for battery metals and the risk of irreversible deep-ocean biodiversity loss [cite: 5, 6].</w:t>
      </w:r>
      <w:r>
        <w:t xml:space="preserve"> </w:t>
      </w:r>
      <w:r>
        <w:t xml:space="preserve">*</w:t>
      </w:r>
      <w:r>
        <w:t xml:space="preserve"> </w:t>
      </w:r>
      <w:r>
        <w:rPr>
          <w:b/>
        </w:rPr>
        <w:t xml:space="preserve">Economic Viability of Repair:</w:t>
      </w:r>
      <w:r>
        <w:t xml:space="preserve"> </w:t>
      </w:r>
      <w:r>
        <w:t xml:space="preserve">The industry trend toward</w:t>
      </w:r>
      <w:r>
        <w:t xml:space="preserve"> </w:t>
      </w:r>
      <w:r>
        <w:t xml:space="preserve">"</w:t>
      </w:r>
      <w:r>
        <w:t xml:space="preserve">structural</w:t>
      </w:r>
      <w:r>
        <w:t xml:space="preserve">"</w:t>
      </w:r>
      <w:r>
        <w:t xml:space="preserve"> </w:t>
      </w:r>
      <w:r>
        <w:t xml:space="preserve">battery packs (cell-to-chassis) has reduced manufacturing costs but skyrocketed insurance premiums and repair unavailability, leading to higher total loss rates for minor accidents [cite: 7, 8].</w:t>
      </w:r>
    </w:p>
    <w:p>
      <w:r>
        <w:pict>
          <v:rect style="width:0;height:1.5pt" o:hralign="center" o:hrstd="t" o:hr="t"/>
        </w:pict>
      </w:r>
    </w:p>
    <w:p>
      <w:pPr>
        <w:pStyle w:val="Heading2"/>
      </w:pPr>
      <w:bookmarkStart w:id="145" w:name="X40d2a2f0f707bf91c085ff07d9a00be58d770aa"/>
      <w:r>
        <w:rPr>
          <w:color w:val="FF0000"/>
        </w:rPr>
        <w:t xml:space="preserve">1. Lifecycle Assessment (LCA) and Carbon Debt Dynamics</w:t>
      </w:r>
      <w:bookmarkEnd w:id="145"/>
    </w:p>
    <w:p>
      <w:pPr>
        <w:pStyle w:val="Normal"/>
      </w:pPr>
      <w:r>
        <w:t xml:space="preserve">A rigorous architectural investigation into the environmental impact of EVs requires a</w:t>
      </w:r>
      <w:r>
        <w:t xml:space="preserve"> </w:t>
      </w:r>
      <w:r>
        <w:t xml:space="preserve">"</w:t>
      </w:r>
      <w:r>
        <w:t xml:space="preserve">cradle-to-grave</w:t>
      </w:r>
      <w:r>
        <w:t xml:space="preserve">"</w:t>
      </w:r>
      <w:r>
        <w:t xml:space="preserve"> </w:t>
      </w:r>
      <w:r>
        <w:t xml:space="preserve">Lifecycle Assessment (LCA), distinguishing between embedded emissions (manufacturing) and operational emissions (driving).</w:t>
      </w:r>
    </w:p>
    <w:p>
      <w:pPr>
        <w:pStyle w:val="Heading3"/>
      </w:pPr>
      <w:bookmarkStart w:id="146" w:name="Xefa439bf66ffba4f92008530f73efe8c1908543"/>
      <w:r>
        <w:rPr>
          <w:color w:val="FF0000"/>
        </w:rPr>
        <w:t xml:space="preserve">1.1 Manufacturing Emissions and the</w:t>
      </w:r>
      <w:r>
        <w:rPr>
          <w:color w:val="FF0000"/>
        </w:rPr>
        <w:t xml:space="preserve"> </w:t>
      </w:r>
      <w:r>
        <w:rPr>
          <w:color w:val="FF0000"/>
        </w:rPr>
        <w:t xml:space="preserve">"</w:t>
      </w:r>
      <w:r>
        <w:rPr>
          <w:color w:val="FF0000"/>
        </w:rPr>
        <w:t xml:space="preserve">Carbon Backpack</w:t>
      </w:r>
      <w:r>
        <w:rPr>
          <w:color w:val="FF0000"/>
        </w:rPr>
        <w:t xml:space="preserve">"</w:t>
      </w:r>
      <w:bookmarkEnd w:id="146"/>
    </w:p>
    <w:p>
      <w:pPr>
        <w:pStyle w:val="Normal"/>
      </w:pPr>
      <w:r>
        <w:t xml:space="preserve">Electric vehicles commence their lifecycle with a higher carbon footprint than ICE vehicles, often referred to as the</w:t>
      </w:r>
      <w:r>
        <w:t xml:space="preserve"> </w:t>
      </w:r>
      <w:r>
        <w:t xml:space="preserve">"</w:t>
      </w:r>
      <w:r>
        <w:t xml:space="preserve">carbon backpack.</w:t>
      </w:r>
      <w:r>
        <w:t xml:space="preserve">"</w:t>
      </w:r>
      <w:r>
        <w:t xml:space="preserve"> </w:t>
      </w:r>
      <w:r>
        <w:t xml:space="preserve">This is primarily attributed to the energy-intensive nature of battery cell production, particularly the mining, refining, and cathode active material (CAM) manufacturing processes.</w:t>
      </w:r>
      <w:r>
        <w:t xml:space="preserve"> </w:t>
      </w:r>
      <w:r>
        <w:t xml:space="preserve">*</w:t>
      </w:r>
      <w:r>
        <w:t xml:space="preserve"> </w:t>
      </w:r>
      <w:r>
        <w:rPr>
          <w:b/>
        </w:rPr>
        <w:t xml:space="preserve">Comparative Emissions:</w:t>
      </w:r>
      <w:r>
        <w:t xml:space="preserve"> </w:t>
      </w:r>
      <w:r>
        <w:t xml:space="preserve">Research indicates that producing an EV battery can emit between 60 to 90 kilograms of CO2 equivalent per kilowatt-hour (kWh) [cite: 9]. Consequently, manufacturing a new EV can produce approximately 80% more emissions than building a comparable gasoline-powered car [cite: 10].</w:t>
      </w:r>
      <w:r>
        <w:t xml:space="preserve"> </w:t>
      </w:r>
      <w:r>
        <w:t xml:space="preserve">*</w:t>
      </w:r>
      <w:r>
        <w:t xml:space="preserve"> </w:t>
      </w:r>
      <w:r>
        <w:rPr>
          <w:b/>
        </w:rPr>
        <w:t xml:space="preserve">Drivers of Intensity:</w:t>
      </w:r>
      <w:r>
        <w:t xml:space="preserve"> </w:t>
      </w:r>
      <w:r>
        <w:t xml:space="preserve">The primary drivers are the electricity consumption during the electrode drying process and the chemical refining of lithium and nickel. However, innovations such as Tesla's dry electrode manufacturing and the shift toward lower-cobalt chemistries are steadily reducing this initial deficit [cite: 11].</w:t>
      </w:r>
    </w:p>
    <w:p>
      <w:pPr>
        <w:pStyle w:val="Heading3"/>
      </w:pPr>
      <w:bookmarkStart w:id="147" w:name="operational-breakeven-analysis"/>
      <w:r>
        <w:rPr>
          <w:color w:val="FF0000"/>
        </w:rPr>
        <w:t xml:space="preserve">1.2 Operational</w:t>
      </w:r>
      <w:r>
        <w:rPr>
          <w:color w:val="FF0000"/>
        </w:rPr>
        <w:t xml:space="preserve"> </w:t>
      </w:r>
      <w:r>
        <w:rPr>
          <w:color w:val="FF0000"/>
        </w:rPr>
        <w:t xml:space="preserve">"</w:t>
      </w:r>
      <w:r>
        <w:rPr>
          <w:color w:val="FF0000"/>
        </w:rPr>
        <w:t xml:space="preserve">Breakeven</w:t>
      </w:r>
      <w:r>
        <w:rPr>
          <w:color w:val="FF0000"/>
        </w:rPr>
        <w:t xml:space="preserve">"</w:t>
      </w:r>
      <w:r>
        <w:rPr>
          <w:color w:val="FF0000"/>
        </w:rPr>
        <w:t xml:space="preserve"> </w:t>
      </w:r>
      <w:r>
        <w:rPr>
          <w:color w:val="FF0000"/>
        </w:rPr>
        <w:t xml:space="preserve">Analysis</w:t>
      </w:r>
      <w:bookmarkEnd w:id="147"/>
    </w:p>
    <w:p>
      <w:pPr>
        <w:pStyle w:val="Normal"/>
      </w:pPr>
      <w:r>
        <w:t xml:space="preserve">The environmental advantage of EVs is realized during the operational phase. The distance required to offset the initial manufacturing carbon debt-the</w:t>
      </w:r>
      <w:r>
        <w:t xml:space="preserve"> </w:t>
      </w:r>
      <w:r>
        <w:t xml:space="preserve">"</w:t>
      </w:r>
      <w:r>
        <w:t xml:space="preserve">breakeven point</w:t>
      </w:r>
      <w:r>
        <w:t xml:space="preserve">"</w:t>
      </w:r>
      <w:r>
        <w:t xml:space="preserve">-varies drastically based on the carbon intensity of the local electrical grid.</w:t>
      </w:r>
      <w:r>
        <w:t xml:space="preserve"> </w:t>
      </w:r>
      <w:r>
        <w:t xml:space="preserve">*</w:t>
      </w:r>
      <w:r>
        <w:t xml:space="preserve"> </w:t>
      </w:r>
      <w:r>
        <w:rPr>
          <w:b/>
        </w:rPr>
        <w:t xml:space="preserve">Grid Intensity Variables:</w:t>
      </w:r>
      <w:r>
        <w:t xml:space="preserve"> </w:t>
      </w:r>
      <w:r>
        <w:t xml:space="preserve">In regions with renewable-heavy grids, such as the United States or the EU, the breakeven point is achieved relatively quickly. A 2024 study suggests that in the US, an EV pays off its carbon debt in approximately 41,000 km (roughly 2 years of driving), whereas in China, due to higher reliance on coal, this extends to nearly 120,000 km [cite: 1].</w:t>
      </w:r>
      <w:r>
        <w:t xml:space="preserve"> </w:t>
      </w:r>
      <w:r>
        <w:t xml:space="preserve">*</w:t>
      </w:r>
      <w:r>
        <w:t xml:space="preserve"> </w:t>
      </w:r>
      <w:r>
        <w:rPr>
          <w:b/>
        </w:rPr>
        <w:t xml:space="preserve">Long-Term Reductions:</w:t>
      </w:r>
      <w:r>
        <w:t xml:space="preserve"> </w:t>
      </w:r>
      <w:r>
        <w:t xml:space="preserve">Over a lifecycle of 250,000 km, a medium-sized Battery Electric Vehicle (BEV) manufactured in 2023 is projected to emit 27-71% less CO2 than an equivalent ICE vehicle, depending on the region [cite: 1]. Even in coal-intensive grids like India, BEVs eventually offer emission savings, though the margin is slimmer (~20% reduction compared to ICE) [cite: 2].</w:t>
      </w:r>
    </w:p>
    <w:p>
      <w:pPr>
        <w:pStyle w:val="Heading3"/>
      </w:pPr>
      <w:bookmarkStart w:id="148" w:name="the-myth-of-zero-emissions"/>
      <w:r>
        <w:rPr>
          <w:color w:val="FF0000"/>
        </w:rPr>
        <w:t xml:space="preserve">1.3 The Myth of</w:t>
      </w:r>
      <w:r>
        <w:rPr>
          <w:color w:val="FF0000"/>
        </w:rPr>
        <w:t xml:space="preserve"> </w:t>
      </w:r>
      <w:r>
        <w:rPr>
          <w:color w:val="FF0000"/>
        </w:rPr>
        <w:t xml:space="preserve">"</w:t>
      </w:r>
      <w:r>
        <w:rPr>
          <w:color w:val="FF0000"/>
        </w:rPr>
        <w:t xml:space="preserve">Zero Emissions</w:t>
      </w:r>
      <w:r>
        <w:rPr>
          <w:color w:val="FF0000"/>
        </w:rPr>
        <w:t xml:space="preserve">"</w:t>
      </w:r>
      <w:bookmarkEnd w:id="148"/>
    </w:p>
    <w:p>
      <w:pPr>
        <w:pStyle w:val="Normal"/>
      </w:pPr>
      <w:r>
        <w:t xml:space="preserve">It is architecturally inaccurate to label EVs as</w:t>
      </w:r>
      <w:r>
        <w:t xml:space="preserve"> </w:t>
      </w:r>
      <w:r>
        <w:t xml:space="preserve">"</w:t>
      </w:r>
      <w:r>
        <w:t xml:space="preserve">zero emission</w:t>
      </w:r>
      <w:r>
        <w:t xml:space="preserve">"</w:t>
      </w:r>
      <w:r>
        <w:t xml:space="preserve"> </w:t>
      </w:r>
      <w:r>
        <w:t xml:space="preserve">vehicles without qualification. While they produce zero</w:t>
      </w:r>
      <w:r>
        <w:t xml:space="preserve"> </w:t>
      </w:r>
      <w:r>
        <w:rPr>
          <w:i/>
        </w:rPr>
        <w:t xml:space="preserve">tailpipe</w:t>
      </w:r>
      <w:r>
        <w:t xml:space="preserve"> </w:t>
      </w:r>
      <w:r>
        <w:t xml:space="preserve">emissions, they effectively displace pollution from diffused mobile sources (cars) to concentrated stationary sources (power plants). This shift is environmentally advantageous because stationary sources are easier to regulate and equip with carbon capture technologies, and because electric motors are thermodynamically more efficient (87-91% efficiency) compared to internal combustion engines (16-25% efficiency) [cite: 12].</w:t>
      </w:r>
    </w:p>
    <w:p>
      <w:r>
        <w:pict>
          <v:rect style="width:0;height:1.5pt" o:hralign="center" o:hrstd="t" o:hr="t"/>
        </w:pict>
      </w:r>
    </w:p>
    <w:p>
      <w:pPr>
        <w:pStyle w:val="Heading2"/>
      </w:pPr>
      <w:bookmarkStart w:id="149" w:name="Xee493c49bd8d7a6208cdac7ed00ae41baf45541"/>
      <w:r>
        <w:rPr>
          <w:color w:val="FF0000"/>
        </w:rPr>
        <w:t xml:space="preserve">2. Advanced Battery Architectures: The 2025-2030 Roadmap</w:t>
      </w:r>
      <w:bookmarkEnd w:id="149"/>
    </w:p>
    <w:p>
      <w:pPr>
        <w:pStyle w:val="Normal"/>
      </w:pPr>
      <w:r>
        <w:t xml:space="preserve">The current dominance of liquid-electrolyte Lithium-Ion batteries (LIBs) is being challenged by next-generation architectures designed to solve energy density, safety, and supply chain constraints.</w:t>
      </w:r>
    </w:p>
    <w:p>
      <w:pPr>
        <w:pStyle w:val="Heading3"/>
      </w:pPr>
      <w:bookmarkStart w:id="150" w:name="solid-state-batteries-ssb"/>
      <w:r>
        <w:rPr>
          <w:color w:val="FF0000"/>
        </w:rPr>
        <w:t xml:space="preserve">2.1 Solid-State Batteries (SSB)</w:t>
      </w:r>
      <w:bookmarkEnd w:id="150"/>
    </w:p>
    <w:p>
      <w:pPr>
        <w:pStyle w:val="Normal"/>
      </w:pPr>
      <w:r>
        <w:t xml:space="preserve">Solid-state batteries replace the flammable liquid electrolyte with a solid ceramic, polymer, or sulfide electrolyte. This architecture allows for the use of lithium-metal anodes, significantly increasing energy density and safety.</w:t>
      </w:r>
      <w:r>
        <w:t xml:space="preserve"> </w:t>
      </w:r>
      <w:r>
        <w:t xml:space="preserve">*</w:t>
      </w:r>
      <w:r>
        <w:t xml:space="preserve"> </w:t>
      </w:r>
      <w:r>
        <w:rPr>
          <w:b/>
        </w:rPr>
        <w:t xml:space="preserve">Environmental Impact:</w:t>
      </w:r>
      <w:r>
        <w:t xml:space="preserve"> </w:t>
      </w:r>
      <w:r>
        <w:t xml:space="preserve">SSBs using oxide electrolytes and NMC-811 cathodes can reduce the Global Warming Potential (GWP) by 24% compared to current LIBs, primarily due to higher energy density (increasing from ~250 Wh/kg to ~400 Wh/kg), which requires fewer materials for the same range [cite: 13].</w:t>
      </w:r>
      <w:r>
        <w:t xml:space="preserve"> </w:t>
      </w:r>
      <w:r>
        <w:t xml:space="preserve">*</w:t>
      </w:r>
      <w:r>
        <w:t xml:space="preserve"> </w:t>
      </w:r>
      <w:r>
        <w:rPr>
          <w:b/>
        </w:rPr>
        <w:t xml:space="preserve">Commercialization Timeline:</w:t>
      </w:r>
      <w:r>
        <w:t xml:space="preserve"> </w:t>
      </w:r>
      <w:r>
        <w:t xml:space="preserve">*</w:t>
      </w:r>
      <w:r>
        <w:t xml:space="preserve"> </w:t>
      </w:r>
      <w:r>
        <w:rPr>
          <w:b/>
        </w:rPr>
        <w:t xml:space="preserve">QuantumScape:</w:t>
      </w:r>
      <w:r>
        <w:t xml:space="preserve"> </w:t>
      </w:r>
      <w:r>
        <w:t xml:space="preserve">The company has installed key equipment for its</w:t>
      </w:r>
      <w:r>
        <w:t xml:space="preserve"> </w:t>
      </w:r>
      <w:r>
        <w:t xml:space="preserve">"</w:t>
      </w:r>
      <w:r>
        <w:t xml:space="preserve">Cobra</w:t>
      </w:r>
      <w:r>
        <w:t xml:space="preserve">"</w:t>
      </w:r>
      <w:r>
        <w:t xml:space="preserve"> </w:t>
      </w:r>
      <w:r>
        <w:t xml:space="preserve">production process and aims for higher-volume B-sample production of its QSE-5 cells in 2025. Mass commercialization is projected for the 2026-2027 horizon [cite: 14, 15].</w:t>
      </w:r>
      <w:r>
        <w:t xml:space="preserve"> </w:t>
      </w:r>
      <w:r>
        <w:t xml:space="preserve">*</w:t>
      </w:r>
      <w:r>
        <w:t xml:space="preserve"> </w:t>
      </w:r>
      <w:r>
        <w:rPr>
          <w:b/>
        </w:rPr>
        <w:t xml:space="preserve">Toyota:</w:t>
      </w:r>
      <w:r>
        <w:t xml:space="preserve"> </w:t>
      </w:r>
      <w:r>
        <w:t xml:space="preserve">Historically targeting early adoption, Toyota has revised its timeline. While a solid-state vehicle is expected by 2027-2028, mass production may not occur until 2030 or later, initially appearing in hybrid vehicles rather than pure BEVs to manage costs [cite: 16, 17].</w:t>
      </w:r>
      <w:r>
        <w:t xml:space="preserve"> </w:t>
      </w:r>
      <w:r>
        <w:t xml:space="preserve">*</w:t>
      </w:r>
      <w:r>
        <w:t xml:space="preserve"> </w:t>
      </w:r>
      <w:r>
        <w:rPr>
          <w:b/>
        </w:rPr>
        <w:t xml:space="preserve">Risks:</w:t>
      </w:r>
      <w:r>
        <w:t xml:space="preserve"> </w:t>
      </w:r>
      <w:r>
        <w:t xml:space="preserve">The production of lithium-metal anodes remains a hotspot for emissions. If the lithium is not sourced sustainably, the environmental gains of SSBs could be negated [cite: 13].</w:t>
      </w:r>
    </w:p>
    <w:p>
      <w:pPr>
        <w:pStyle w:val="Heading3"/>
      </w:pPr>
      <w:bookmarkStart w:id="151" w:name="sodium-ion-batteries-sib"/>
      <w:r>
        <w:rPr>
          <w:color w:val="FF0000"/>
        </w:rPr>
        <w:t xml:space="preserve">2.2 Sodium-Ion Batteries (SIB)</w:t>
      </w:r>
      <w:bookmarkEnd w:id="151"/>
    </w:p>
    <w:p>
      <w:pPr>
        <w:pStyle w:val="Normal"/>
      </w:pPr>
      <w:r>
        <w:t xml:space="preserve">Sodium-ion technology is emerging as a critical alternative for cost-sensitive and stationary storage applications. It eliminates the need for lithium and cobalt, using abundant sodium (soda ash) instead.</w:t>
      </w:r>
      <w:r>
        <w:t xml:space="preserve"> </w:t>
      </w:r>
      <w:r>
        <w:t xml:space="preserve">*</w:t>
      </w:r>
      <w:r>
        <w:t xml:space="preserve"> </w:t>
      </w:r>
      <w:r>
        <w:rPr>
          <w:b/>
        </w:rPr>
        <w:t xml:space="preserve">Adoption Status:</w:t>
      </w:r>
      <w:r>
        <w:t xml:space="preserve"> </w:t>
      </w:r>
      <w:r>
        <w:t xml:space="preserve">Chinese giants CATL and BYD are aggressively scaling this technology. In 2025, global SIB shipments reached 9 GWh. CATL has begun installing sodium-ion batteries in passenger vehicles (e.g., Chery and Changan models) and light commercial vehicles as of late 2025/early 2026 [cite: 18, 19, 20].</w:t>
      </w:r>
      <w:r>
        <w:t xml:space="preserve"> </w:t>
      </w:r>
      <w:r>
        <w:t xml:space="preserve">*</w:t>
      </w:r>
      <w:r>
        <w:t xml:space="preserve"> </w:t>
      </w:r>
      <w:r>
        <w:rPr>
          <w:b/>
        </w:rPr>
        <w:t xml:space="preserve">Advantages:</w:t>
      </w:r>
      <w:r>
        <w:t xml:space="preserve"> </w:t>
      </w:r>
      <w:r>
        <w:t xml:space="preserve">SIBs offer superior cold-weather performance (retaining 90% capacity at -20C) and lower costs (30-40% cheaper materials than lithium), making them ideal for standard-range vehicles and reducing reliance on volatile lithium markets [cite: 18, 20].</w:t>
      </w:r>
    </w:p>
    <w:p>
      <w:r>
        <w:pict>
          <v:rect style="width:0;height:1.5pt" o:hralign="center" o:hrstd="t" o:hr="t"/>
        </w:pict>
      </w:r>
    </w:p>
    <w:p>
      <w:pPr>
        <w:pStyle w:val="Heading2"/>
      </w:pPr>
      <w:bookmarkStart w:id="152" w:name="X610e942c31053c9a3952eeaeb29bb63b65081ee"/>
      <w:r>
        <w:rPr>
          <w:color w:val="FF0000"/>
        </w:rPr>
        <w:t xml:space="preserve">3. Supply Chain Vulnerabilities and Geopolitics</w:t>
      </w:r>
      <w:bookmarkEnd w:id="152"/>
    </w:p>
    <w:p>
      <w:pPr>
        <w:pStyle w:val="Normal"/>
      </w:pPr>
      <w:r>
        <w:t xml:space="preserve">The transition to EVs is reshaping global geopolitical power structures, moving from an oil-based economy to a mineral-based one.</w:t>
      </w:r>
    </w:p>
    <w:p>
      <w:pPr>
        <w:pStyle w:val="Heading3"/>
      </w:pPr>
      <w:bookmarkStart w:id="153" w:name="the-china-stranglehold"/>
      <w:r>
        <w:rPr>
          <w:color w:val="FF0000"/>
        </w:rPr>
        <w:t xml:space="preserve">3.1 The</w:t>
      </w:r>
      <w:r>
        <w:rPr>
          <w:color w:val="FF0000"/>
        </w:rPr>
        <w:t xml:space="preserve"> </w:t>
      </w:r>
      <w:r>
        <w:rPr>
          <w:color w:val="FF0000"/>
        </w:rPr>
        <w:t xml:space="preserve">"</w:t>
      </w:r>
      <w:r>
        <w:rPr>
          <w:color w:val="FF0000"/>
        </w:rPr>
        <w:t xml:space="preserve">China Stranglehold</w:t>
      </w:r>
      <w:r>
        <w:rPr>
          <w:color w:val="FF0000"/>
        </w:rPr>
        <w:t xml:space="preserve">"</w:t>
      </w:r>
      <w:bookmarkEnd w:id="153"/>
    </w:p>
    <w:p>
      <w:pPr>
        <w:pStyle w:val="Normal"/>
      </w:pPr>
      <w:r>
        <w:t xml:space="preserve">China's dominance over the EV supply chain is near-total, particularly in the midstream refining and processing sectors.</w:t>
      </w:r>
      <w:r>
        <w:t xml:space="preserve"> </w:t>
      </w:r>
      <w:r>
        <w:t xml:space="preserve">*</w:t>
      </w:r>
      <w:r>
        <w:t xml:space="preserve"> </w:t>
      </w:r>
      <w:r>
        <w:rPr>
          <w:b/>
        </w:rPr>
        <w:t xml:space="preserve">Market Share:</w:t>
      </w:r>
      <w:r>
        <w:t xml:space="preserve"> </w:t>
      </w:r>
      <w:r>
        <w:t xml:space="preserve">As of 2024/2025, China processes 70% to 95% of the world's lithium, cobalt, and graphite. It produces 98% of Lithium Iron Phosphate (LFP) cathodes and controls 85% of global battery cell manufacturing capacity [cite: 3, 4].</w:t>
      </w:r>
      <w:r>
        <w:t xml:space="preserve"> </w:t>
      </w:r>
      <w:r>
        <w:t xml:space="preserve">*</w:t>
      </w:r>
      <w:r>
        <w:t xml:space="preserve"> </w:t>
      </w:r>
      <w:r>
        <w:rPr>
          <w:b/>
        </w:rPr>
        <w:t xml:space="preserve">Dependency Risks:</w:t>
      </w:r>
      <w:r>
        <w:t xml:space="preserve"> </w:t>
      </w:r>
      <w:r>
        <w:t xml:space="preserve">The US and Europe remain heavily dependent on Chinese processing. For instance, despite having lithium reserves, the US lacks refining capacity. This centralization creates a single point of failure for the global energy transition, vulnerable to trade wars or export restrictions [cite: 21, 22].</w:t>
      </w:r>
    </w:p>
    <w:p>
      <w:pPr>
        <w:pStyle w:val="Heading3"/>
      </w:pPr>
      <w:bookmarkStart w:id="154" w:name="deep-sea-mining-dsm-the-new-frontier"/>
      <w:r>
        <w:rPr>
          <w:color w:val="FF0000"/>
        </w:rPr>
        <w:t xml:space="preserve">3.2 Deep Sea Mining (DSM): The New Frontier</w:t>
      </w:r>
      <w:bookmarkEnd w:id="154"/>
    </w:p>
    <w:p>
      <w:pPr>
        <w:pStyle w:val="Normal"/>
      </w:pPr>
      <w:r>
        <w:t xml:space="preserve">As terrestrial ore grades decline, the industry is eyeing the Clarion-Clipperton Zone (CCZ) in the Pacific Ocean for polymetallic nodules rich in nickel, cobalt, and manganese.</w:t>
      </w:r>
      <w:r>
        <w:t xml:space="preserve"> </w:t>
      </w:r>
      <w:r>
        <w:t xml:space="preserve">*</w:t>
      </w:r>
      <w:r>
        <w:t xml:space="preserve"> </w:t>
      </w:r>
      <w:r>
        <w:rPr>
          <w:b/>
        </w:rPr>
        <w:t xml:space="preserve">Environmental Risks:</w:t>
      </w:r>
      <w:r>
        <w:t xml:space="preserve"> </w:t>
      </w:r>
      <w:r>
        <w:t xml:space="preserve">DSM poses severe, likely irreversible risks to deep-sea ecosystems. Mining activities generate sediment plumes that can suffocate benthic organisms and disrupt the ocean's carbon sequestration capabilities. Noise pollution and habitat destruction could lead to the extinction of species before they are even cataloged [cite: 5, 6, 23].</w:t>
      </w:r>
      <w:r>
        <w:t xml:space="preserve"> </w:t>
      </w:r>
      <w:r>
        <w:t xml:space="preserve">*</w:t>
      </w:r>
      <w:r>
        <w:t xml:space="preserve"> </w:t>
      </w:r>
      <w:r>
        <w:rPr>
          <w:b/>
        </w:rPr>
        <w:t xml:space="preserve">Controversy:</w:t>
      </w:r>
      <w:r>
        <w:t xml:space="preserve"> </w:t>
      </w:r>
      <w:r>
        <w:t xml:space="preserve">Proponents argue DSM is necessary to meet battery demand without the human rights abuses associated with terrestrial mining (e.g., DRC cobalt). Opponents, including conservation groups, argue that next-gen batteries (like LFP and Sodium-ion) reduce the need for nickel and cobalt, rendering DSM unnecessary and ecologically reckless [cite: 24].</w:t>
      </w:r>
    </w:p>
    <w:p>
      <w:r>
        <w:pict>
          <v:rect style="width:0;height:1.5pt" o:hralign="center" o:hrstd="t" o:hr="t"/>
        </w:pict>
      </w:r>
    </w:p>
    <w:p>
      <w:pPr>
        <w:pStyle w:val="Heading2"/>
      </w:pPr>
      <w:bookmarkStart w:id="155" w:name="X033252ac4750dd2e78f85eebac39cfdedd35b91"/>
      <w:r>
        <w:rPr>
          <w:color w:val="FF0000"/>
        </w:rPr>
        <w:t xml:space="preserve">4. Grid Architecture: Challenges and V2G Integration</w:t>
      </w:r>
      <w:bookmarkEnd w:id="155"/>
    </w:p>
    <w:p>
      <w:pPr>
        <w:pStyle w:val="Normal"/>
      </w:pPr>
      <w:r>
        <w:t xml:space="preserve">The influx of EVs presents a substantial load challenge to electrical grids, necessitating architectural upgrades to distribution transformers and the implementation of smart charging protocols.</w:t>
      </w:r>
    </w:p>
    <w:p>
      <w:pPr>
        <w:pStyle w:val="Heading3"/>
      </w:pPr>
      <w:bookmarkStart w:id="156" w:name="Xfb4f42ab574210c7ecb42215c5bf27264368d51"/>
      <w:r>
        <w:rPr>
          <w:color w:val="FF0000"/>
        </w:rPr>
        <w:t xml:space="preserve">4.1 Transformer Aging and Harmonic Distortion</w:t>
      </w:r>
      <w:bookmarkEnd w:id="156"/>
    </w:p>
    <w:p>
      <w:pPr>
        <w:pStyle w:val="Normal"/>
      </w:pPr>
      <w:r>
        <w:t xml:space="preserve">Widespread EV charging impacts distribution transformers not just through thermal overloading, but through power quality degradation.</w:t>
      </w:r>
      <w:r>
        <w:t xml:space="preserve"> </w:t>
      </w:r>
      <w:r>
        <w:t xml:space="preserve">*</w:t>
      </w:r>
      <w:r>
        <w:t xml:space="preserve"> </w:t>
      </w:r>
      <w:r>
        <w:rPr>
          <w:b/>
        </w:rPr>
        <w:t xml:space="preserve">Harmonic Emissions:</w:t>
      </w:r>
      <w:r>
        <w:t xml:space="preserve"> </w:t>
      </w:r>
      <w:r>
        <w:t xml:space="preserve">EV chargers, being non-linear loads, inject harmonic currents into the grid. Research shows that these harmonics cause additional heating in transformer windings (eddy current losses), accelerating insulation degradation. A 2025 study indicates that lower charging currents, while seemingly safer, can actually lead to</w:t>
      </w:r>
      <w:r>
        <w:t xml:space="preserve"> </w:t>
      </w:r>
      <w:r>
        <w:rPr>
          <w:i/>
        </w:rPr>
        <w:t xml:space="preserve">higher</w:t>
      </w:r>
      <w:r>
        <w:t xml:space="preserve"> </w:t>
      </w:r>
      <w:r>
        <w:t xml:space="preserve">harmonic losses and elevated hot-spot temperatures compared to optimized higher-current charging [cite: 25].</w:t>
      </w:r>
      <w:r>
        <w:t xml:space="preserve"> </w:t>
      </w:r>
      <w:r>
        <w:t xml:space="preserve">*</w:t>
      </w:r>
      <w:r>
        <w:t xml:space="preserve"> </w:t>
      </w:r>
      <w:r>
        <w:rPr>
          <w:b/>
        </w:rPr>
        <w:t xml:space="preserve">Aging Acceleration:</w:t>
      </w:r>
      <w:r>
        <w:t xml:space="preserve"> </w:t>
      </w:r>
      <w:r>
        <w:t xml:space="preserve">Uncontrolled Level 2 charging can increase transformer aging rates by a factor of 4.2 to 5.6. Temperature-based smart charging algorithms are essential to mitigate this, potentially reducing aging by a factor of 4.8 [cite: 26].</w:t>
      </w:r>
    </w:p>
    <w:p>
      <w:pPr>
        <w:pStyle w:val="Heading3"/>
      </w:pPr>
      <w:bookmarkStart w:id="157" w:name="vehicle-to-grid-v2g-maturation"/>
      <w:r>
        <w:rPr>
          <w:color w:val="FF0000"/>
        </w:rPr>
        <w:t xml:space="preserve">4.2 Vehicle-to-Grid (V2G) Maturation</w:t>
      </w:r>
      <w:bookmarkEnd w:id="157"/>
    </w:p>
    <w:p>
      <w:pPr>
        <w:pStyle w:val="Normal"/>
      </w:pPr>
      <w:r>
        <w:t xml:space="preserve">V2G technology allows EVs to act as distributed energy storage resources, stabilizing the grid during peak demand.</w:t>
      </w:r>
      <w:r>
        <w:t xml:space="preserve"> </w:t>
      </w:r>
      <w:r>
        <w:t xml:space="preserve">*</w:t>
      </w:r>
      <w:r>
        <w:t xml:space="preserve"> </w:t>
      </w:r>
      <w:r>
        <w:rPr>
          <w:b/>
        </w:rPr>
        <w:t xml:space="preserve">Market Status (2025):</w:t>
      </w:r>
      <w:r>
        <w:t xml:space="preserve"> </w:t>
      </w:r>
      <w:r>
        <w:t xml:space="preserve">The V2G market is moving from pilot to commercialization. In 2025, China initiated trial projects in nine cities utilizing EV fleets for grid support. The global V2G market is projected to grow at a CAGR of ~33% through 2033 [cite: 27].</w:t>
      </w:r>
      <w:r>
        <w:t xml:space="preserve"> </w:t>
      </w:r>
      <w:r>
        <w:t xml:space="preserve">*</w:t>
      </w:r>
      <w:r>
        <w:t xml:space="preserve"> </w:t>
      </w:r>
      <w:r>
        <w:rPr>
          <w:b/>
        </w:rPr>
        <w:t xml:space="preserve">Barriers:</w:t>
      </w:r>
      <w:r>
        <w:t xml:space="preserve"> </w:t>
      </w:r>
      <w:r>
        <w:t xml:space="preserve">Key hurdles include the lack of standardized bidirectional chargers, potential degradation of EV batteries (though smart algorithms can minimize this), and the complexity of regulatory frameworks to compensate vehicle owners [cite: 28]. However, nascent standards like ISO 15118-20 are beginning to resolve interoperability issues [cite: 29].</w:t>
      </w:r>
    </w:p>
    <w:p>
      <w:r>
        <w:pict>
          <v:rect style="width:0;height:1.5pt" o:hralign="center" o:hrstd="t" o:hr="t"/>
        </w:pict>
      </w:r>
    </w:p>
    <w:p>
      <w:pPr>
        <w:pStyle w:val="Heading2"/>
      </w:pPr>
      <w:bookmarkStart w:id="158" w:name="economic-consumer-landscape"/>
      <w:r>
        <w:rPr>
          <w:color w:val="FF0000"/>
        </w:rPr>
        <w:t xml:space="preserve">5. Economic &amp; Consumer Landscape</w:t>
      </w:r>
      <w:bookmarkEnd w:id="158"/>
    </w:p>
    <w:p>
      <w:pPr>
        <w:pStyle w:val="Normal"/>
      </w:pPr>
      <w:r>
        <w:t xml:space="preserve">The economic architecture of EV ownership is undergoing a painful correction phase characterized by depreciation shocks and rising insurance costs.</w:t>
      </w:r>
    </w:p>
    <w:p>
      <w:pPr>
        <w:pStyle w:val="Heading3"/>
      </w:pPr>
      <w:bookmarkStart w:id="159" w:name="the-insurance-and-repair-crisis"/>
      <w:r>
        <w:rPr>
          <w:color w:val="FF0000"/>
        </w:rPr>
        <w:t xml:space="preserve">5.1 The Insurance and Repair Crisis</w:t>
      </w:r>
      <w:bookmarkEnd w:id="159"/>
    </w:p>
    <w:p>
      <w:pPr>
        <w:numPr>
          <w:ilvl w:val="0"/>
          <w:numId w:val="1083"/>
        </w:numPr>
        <w:pStyle w:val="Normal"/>
      </w:pPr>
      <w:r>
        <w:rPr>
          <w:b/>
        </w:rPr>
        <w:t xml:space="preserve">Rising Costs:</w:t>
      </w:r>
      <w:r>
        <w:t xml:space="preserve"> </w:t>
      </w:r>
      <w:r>
        <w:t xml:space="preserve">In 2024/2025, EV insurance premiums were approximately 20-23% higher than for ICE vehicles. The frequency of claims for EVs rose by 38% in 2024 [cite: 7, 30].</w:t>
      </w:r>
    </w:p>
    <w:p>
      <w:pPr>
        <w:numPr>
          <w:ilvl w:val="0"/>
          <w:numId w:val="1083"/>
        </w:numPr>
        <w:pStyle w:val="Normal"/>
      </w:pPr>
      <w:r>
        <w:rPr>
          <w:b/>
        </w:rPr>
        <w:t xml:space="preserve">Structural Packs &amp; Gigacastings:</w:t>
      </w:r>
      <w:r>
        <w:t xml:space="preserve"> </w:t>
      </w:r>
      <w:r>
        <w:t xml:space="preserve">The shift toward structural battery packs (where cells are glued into the chassis) has made vehicles lighter and cheaper to build but nearly impossible to repair. A minor collision that damages the battery casing often results in a</w:t>
      </w:r>
      <w:r>
        <w:t xml:space="preserve"> </w:t>
      </w:r>
      <w:r>
        <w:t xml:space="preserve">"</w:t>
      </w:r>
      <w:r>
        <w:t xml:space="preserve">total loss</w:t>
      </w:r>
      <w:r>
        <w:t xml:space="preserve">"</w:t>
      </w:r>
      <w:r>
        <w:t xml:space="preserve"> </w:t>
      </w:r>
      <w:r>
        <w:t xml:space="preserve">write-off because the battery cannot be modularly repaired. This lack of repairability is a major driver of soaring insurance costs [cite: 7, 31, 32].</w:t>
      </w:r>
    </w:p>
    <w:p>
      <w:pPr>
        <w:numPr>
          <w:ilvl w:val="0"/>
          <w:numId w:val="1083"/>
        </w:numPr>
        <w:pStyle w:val="Normal"/>
      </w:pPr>
      <w:r>
        <w:rPr>
          <w:b/>
        </w:rPr>
        <w:t xml:space="preserve">CATL's Response:</w:t>
      </w:r>
      <w:r>
        <w:t xml:space="preserve"> </w:t>
      </w:r>
      <w:r>
        <w:t xml:space="preserve">In response to this, CATL introduced a repair service in late 2025 to fix structural packs for drastically lower costs ($1,375-$2,750) compared to full replacement, potentially alleviating this bottleneck [cite: 8].</w:t>
      </w:r>
    </w:p>
    <w:p>
      <w:pPr>
        <w:pStyle w:val="Heading3"/>
      </w:pPr>
      <w:bookmarkStart w:id="160" w:name="depreciation-and-resale-value"/>
      <w:r>
        <w:rPr>
          <w:color w:val="FF0000"/>
        </w:rPr>
        <w:t xml:space="preserve">5.2 Depreciation and Resale Value</w:t>
      </w:r>
      <w:bookmarkEnd w:id="160"/>
    </w:p>
    <w:p>
      <w:pPr>
        <w:numPr>
          <w:ilvl w:val="0"/>
          <w:numId w:val="1084"/>
        </w:numPr>
        <w:pStyle w:val="Normal"/>
      </w:pPr>
      <w:r>
        <w:rPr>
          <w:b/>
        </w:rPr>
        <w:t xml:space="preserve">Value Erosion:</w:t>
      </w:r>
      <w:r>
        <w:t xml:space="preserve"> </w:t>
      </w:r>
      <w:r>
        <w:t xml:space="preserve">2024 and 2025 saw steep depreciation in used EV values, with some models losing 50% of their value within three years. This was driven by aggressive price cuts on new models (led by Tesla), the influx of off-lease vehicles, and consumer anxiety regarding battery health [cite: 33, 34].</w:t>
      </w:r>
    </w:p>
    <w:p>
      <w:pPr>
        <w:numPr>
          <w:ilvl w:val="0"/>
          <w:numId w:val="1084"/>
        </w:numPr>
        <w:pStyle w:val="Normal"/>
      </w:pPr>
      <w:r>
        <w:rPr>
          <w:b/>
        </w:rPr>
        <w:t xml:space="preserve">Market Opportunity:</w:t>
      </w:r>
      <w:r>
        <w:t xml:space="preserve"> </w:t>
      </w:r>
      <w:r>
        <w:t xml:space="preserve">This depreciation has made used EVs highly affordable, often reaching price parity with used gas cars faster than anticipated. For second-hand buyers, this represents a significant economic opportunity, provided battery health can be verified [cite: 33, 35].</w:t>
      </w:r>
    </w:p>
    <w:p>
      <w:pPr>
        <w:pStyle w:val="Heading3"/>
      </w:pPr>
      <w:bookmarkStart w:id="161" w:name="fiscal-policy-the-fuel-tax-gap"/>
      <w:r>
        <w:rPr>
          <w:color w:val="FF0000"/>
        </w:rPr>
        <w:t xml:space="preserve">5.3 Fiscal Policy: The Fuel Tax Gap</w:t>
      </w:r>
      <w:bookmarkEnd w:id="161"/>
    </w:p>
    <w:p>
      <w:pPr>
        <w:pStyle w:val="Normal"/>
      </w:pPr>
      <w:r>
        <w:t xml:space="preserve">As EV adoption rises, governments face a looming fiscal crisis due to lost fuel tax revenues.</w:t>
      </w:r>
      <w:r>
        <w:t xml:space="preserve"> </w:t>
      </w:r>
      <w:r>
        <w:t xml:space="preserve">*</w:t>
      </w:r>
      <w:r>
        <w:t xml:space="preserve"> </w:t>
      </w:r>
      <w:r>
        <w:rPr>
          <w:b/>
        </w:rPr>
        <w:t xml:space="preserve">Revenue Loss:</w:t>
      </w:r>
      <w:r>
        <w:t xml:space="preserve"> </w:t>
      </w:r>
      <w:r>
        <w:t xml:space="preserve">In the UK, the transition could create a 40 billion pound fiscal hole. In the US, states like California and nations like Norway are already seeing revenue declines of 30-40% from car-related taxes.</w:t>
      </w:r>
      <w:r>
        <w:t xml:space="preserve"> </w:t>
      </w:r>
      <w:r>
        <w:t xml:space="preserve">*</w:t>
      </w:r>
      <w:r>
        <w:t xml:space="preserve"> </w:t>
      </w:r>
      <w:r>
        <w:rPr>
          <w:b/>
        </w:rPr>
        <w:t xml:space="preserve">Solutions:</w:t>
      </w:r>
      <w:r>
        <w:t xml:space="preserve"> </w:t>
      </w:r>
      <w:r>
        <w:t xml:space="preserve">Jurisdictions are increasingly implementing road user charges (RUC) or mileage-based taxes to replace fuel excise taxes, ensuring EVs contribute to infrastructure maintenance [cite: 36, 37].</w:t>
      </w:r>
    </w:p>
    <w:p>
      <w:r>
        <w:pict>
          <v:rect style="width:0;height:1.5pt" o:hralign="center" o:hrstd="t" o:hr="t"/>
        </w:pict>
      </w:r>
    </w:p>
    <w:p>
      <w:pPr>
        <w:pStyle w:val="Heading2"/>
      </w:pPr>
      <w:bookmarkStart w:id="162" w:name="Xc678700b7f0d3a8591ceaf1955511f37cb2a6dc"/>
      <w:r>
        <w:rPr>
          <w:color w:val="FF0000"/>
        </w:rPr>
        <w:t xml:space="preserve">6. Heavy-Duty Transport: Hydrogen vs. Electric</w:t>
      </w:r>
      <w:bookmarkEnd w:id="162"/>
    </w:p>
    <w:p>
      <w:pPr>
        <w:pStyle w:val="Normal"/>
      </w:pPr>
      <w:r>
        <w:t xml:space="preserve">The decarbonization of heavy-duty trucks (HDT) is bifurcating into two distinct technological pathways.</w:t>
      </w:r>
    </w:p>
    <w:p>
      <w:pPr>
        <w:pStyle w:val="Heading3"/>
      </w:pPr>
      <w:bookmarkStart w:id="163" w:name="battery-electric-trucks-bets"/>
      <w:r>
        <w:rPr>
          <w:color w:val="FF0000"/>
        </w:rPr>
        <w:t xml:space="preserve">6.1 Battery Electric Trucks (BETs)</w:t>
      </w:r>
      <w:bookmarkEnd w:id="163"/>
    </w:p>
    <w:p>
      <w:pPr>
        <w:numPr>
          <w:ilvl w:val="0"/>
          <w:numId w:val="1085"/>
        </w:numPr>
        <w:pStyle w:val="Normal"/>
      </w:pPr>
      <w:r>
        <w:rPr>
          <w:b/>
        </w:rPr>
        <w:t xml:space="preserve">Urban &amp; Regional Dominance:</w:t>
      </w:r>
      <w:r>
        <w:t xml:space="preserve"> </w:t>
      </w:r>
      <w:r>
        <w:t xml:space="preserve">BETs are winning the market for short-haul and urban logistics. In China, electric heavy trucks surged to account for 22% of the market in the first half of 2025, driven by battery swapping technology which mitigates charging downtime [cite: 38, 39].</w:t>
      </w:r>
    </w:p>
    <w:p>
      <w:pPr>
        <w:numPr>
          <w:ilvl w:val="0"/>
          <w:numId w:val="1085"/>
        </w:numPr>
        <w:pStyle w:val="Normal"/>
      </w:pPr>
      <w:r>
        <w:rPr>
          <w:b/>
        </w:rPr>
        <w:t xml:space="preserve">Cost:</w:t>
      </w:r>
      <w:r>
        <w:t xml:space="preserve"> </w:t>
      </w:r>
      <w:r>
        <w:t xml:space="preserve">Energy costs for BETs are over 50% lower per kilometer compared to diesel [cite: 40].</w:t>
      </w:r>
    </w:p>
    <w:p>
      <w:pPr>
        <w:pStyle w:val="Heading3"/>
      </w:pPr>
      <w:bookmarkStart w:id="164" w:name="hydrogen-fuel-cell-vehicles-fcev"/>
      <w:r>
        <w:rPr>
          <w:color w:val="FF0000"/>
        </w:rPr>
        <w:t xml:space="preserve">6.2 Hydrogen Fuel Cell Vehicles (FCEV)</w:t>
      </w:r>
      <w:bookmarkEnd w:id="164"/>
    </w:p>
    <w:p>
      <w:pPr>
        <w:numPr>
          <w:ilvl w:val="0"/>
          <w:numId w:val="1086"/>
        </w:numPr>
        <w:pStyle w:val="Normal"/>
      </w:pPr>
      <w:r>
        <w:rPr>
          <w:b/>
        </w:rPr>
        <w:t xml:space="preserve">Long-Haul Viability:</w:t>
      </w:r>
      <w:r>
        <w:t xml:space="preserve"> </w:t>
      </w:r>
      <w:r>
        <w:t xml:space="preserve">For long-haul trucking, hydrogen retains a theoretical advantage due to energy density and refueling speed. However, FCEVs remain significantly more expensive (35% higher purchase price than diesel in China) and suffer from a lack of infrastructure [cite: 40].</w:t>
      </w:r>
    </w:p>
    <w:p>
      <w:pPr>
        <w:numPr>
          <w:ilvl w:val="0"/>
          <w:numId w:val="1086"/>
        </w:numPr>
        <w:pStyle w:val="Normal"/>
      </w:pPr>
      <w:r>
        <w:rPr>
          <w:b/>
        </w:rPr>
        <w:t xml:space="preserve">Market Outlook:</w:t>
      </w:r>
      <w:r>
        <w:t xml:space="preserve"> </w:t>
      </w:r>
      <w:r>
        <w:t xml:space="preserve">While BETs currently lead, hydrogen FCEV trucks are expected to capture significant market share in the heavy segment (&gt;16 tons) by 2030 as infrastructure matures and costs fall [cite: 41].</w:t>
      </w:r>
    </w:p>
    <w:p>
      <w:r>
        <w:pict>
          <v:rect style="width:0;height:1.5pt" o:hralign="center" o:hrstd="t" o:hr="t"/>
        </w:pict>
      </w:r>
    </w:p>
    <w:p>
      <w:pPr>
        <w:pStyle w:val="Heading2"/>
      </w:pPr>
      <w:bookmarkStart w:id="165" w:name="Xa908a9c54ea7c36b945790b86c9e1c3d4682a0a"/>
      <w:r>
        <w:rPr>
          <w:color w:val="FF0000"/>
        </w:rPr>
        <w:t xml:space="preserve">7. Unknowns, Risks, and Alternative Approaches</w:t>
      </w:r>
      <w:bookmarkEnd w:id="165"/>
    </w:p>
    <w:p>
      <w:pPr>
        <w:pStyle w:val="Heading3"/>
      </w:pPr>
      <w:bookmarkStart w:id="166" w:name="identified-risks-and-unknowns"/>
      <w:r>
        <w:rPr>
          <w:color w:val="FF0000"/>
        </w:rPr>
        <w:t xml:space="preserve">7.1 Identified Risks and Unknowns</w:t>
      </w:r>
      <w:bookmarkEnd w:id="166"/>
    </w:p>
    <w:p>
      <w:pPr>
        <w:numPr>
          <w:ilvl w:val="0"/>
          <w:numId w:val="1087"/>
        </w:numPr>
        <w:pStyle w:val="Normal"/>
      </w:pPr>
      <w:r>
        <w:rPr>
          <w:b/>
        </w:rPr>
        <w:t xml:space="preserve">Geopolitical Supply Shock:</w:t>
      </w:r>
      <w:r>
        <w:t xml:space="preserve"> </w:t>
      </w:r>
      <w:r>
        <w:t xml:space="preserve">The extreme concentration of refining capacity in China presents a high risk. A trade embargo or conflict could paralyze the global non-Chinese EV industry almost instantly [cite: 4].</w:t>
      </w:r>
    </w:p>
    <w:p>
      <w:pPr>
        <w:numPr>
          <w:ilvl w:val="0"/>
          <w:numId w:val="1087"/>
        </w:numPr>
        <w:pStyle w:val="Normal"/>
      </w:pPr>
      <w:r>
        <w:rPr>
          <w:b/>
        </w:rPr>
        <w:t xml:space="preserve">Infrastructure Pace:</w:t>
      </w:r>
      <w:r>
        <w:t xml:space="preserve"> </w:t>
      </w:r>
      <w:r>
        <w:t xml:space="preserve">It is unknown if grid upgrades (transformers, distribution lines) can keep pace with the projected EV load, particularly in clustering scenarios where multiple neighbors charge simultaneously [cite: 25, 42].</w:t>
      </w:r>
    </w:p>
    <w:p>
      <w:pPr>
        <w:numPr>
          <w:ilvl w:val="0"/>
          <w:numId w:val="1087"/>
        </w:numPr>
        <w:pStyle w:val="Normal"/>
      </w:pPr>
      <w:r>
        <w:rPr>
          <w:b/>
        </w:rPr>
        <w:t xml:space="preserve">Long-Term Battery Degradation in V2G:</w:t>
      </w:r>
      <w:r>
        <w:t xml:space="preserve"> </w:t>
      </w:r>
      <w:r>
        <w:t xml:space="preserve">While models suggest smart charging minimizes degradation, real-world data on the long-term effects of aggressive V2G cycling on battery life (over 10+ years) is still being gathered [cite: 28].</w:t>
      </w:r>
    </w:p>
    <w:p>
      <w:pPr>
        <w:pStyle w:val="Heading3"/>
      </w:pPr>
      <w:bookmarkStart w:id="167" w:name="alternative-approaches"/>
      <w:r>
        <w:rPr>
          <w:color w:val="FF0000"/>
        </w:rPr>
        <w:t xml:space="preserve">7.2 Alternative Approaches</w:t>
      </w:r>
      <w:bookmarkEnd w:id="167"/>
    </w:p>
    <w:p>
      <w:pPr>
        <w:numPr>
          <w:ilvl w:val="0"/>
          <w:numId w:val="1088"/>
        </w:numPr>
        <w:pStyle w:val="Normal"/>
      </w:pPr>
      <w:r>
        <w:rPr>
          <w:b/>
        </w:rPr>
        <w:t xml:space="preserve">E-Fuels (Synthetic Fuels):</w:t>
      </w:r>
      <w:r>
        <w:t xml:space="preserve"> </w:t>
      </w:r>
      <w:r>
        <w:t xml:space="preserve">Produced from captured CO2 and green hydrogen, e-fuels can power existing ICE vehicles. However, they are currently energy-inefficient (15% efficiency well-to-wheel vs. 75% for BEVs) and expensive. They are likely to remain a niche solution for aviation and maritime, rather than mass road transport [cite: 43, 44].</w:t>
      </w:r>
    </w:p>
    <w:p>
      <w:pPr>
        <w:numPr>
          <w:ilvl w:val="0"/>
          <w:numId w:val="1088"/>
        </w:numPr>
        <w:pStyle w:val="Normal"/>
      </w:pPr>
      <w:r>
        <w:rPr>
          <w:b/>
        </w:rPr>
        <w:t xml:space="preserve">Circular Economy (Urban Mining):</w:t>
      </w:r>
      <w:r>
        <w:t xml:space="preserve"> </w:t>
      </w:r>
      <w:r>
        <w:t xml:space="preserve">To mitigate mining risks, the industry must pivot to recycling. By 2030, recycled materials could meet 25-35% of lithium and cobalt demand. The</w:t>
      </w:r>
      <w:r>
        <w:t xml:space="preserve"> </w:t>
      </w:r>
      <w:r>
        <w:t xml:space="preserve">"</w:t>
      </w:r>
      <w:r>
        <w:t xml:space="preserve">urban mine</w:t>
      </w:r>
      <w:r>
        <w:t xml:space="preserve">"</w:t>
      </w:r>
      <w:r>
        <w:t xml:space="preserve"> </w:t>
      </w:r>
      <w:r>
        <w:t xml:space="preserve">of spent batteries will become a strategic national asset [cite: 45].</w:t>
      </w:r>
    </w:p>
    <w:p>
      <w:r>
        <w:pict>
          <v:rect style="width:0;height:1.5pt" o:hralign="center" o:hrstd="t" o:hr="t"/>
        </w:pict>
      </w:r>
    </w:p>
    <w:p>
      <w:pPr>
        <w:pStyle w:val="Heading3"/>
      </w:pPr>
      <w:bookmarkStart w:id="168" w:name="conclusion-1"/>
      <w:r>
        <w:rPr>
          <w:color w:val="FF0000"/>
        </w:rPr>
        <w:t xml:space="preserve">Conclusion</w:t>
      </w:r>
      <w:bookmarkEnd w:id="168"/>
    </w:p>
    <w:p>
      <w:pPr>
        <w:pStyle w:val="Normal"/>
      </w:pPr>
      <w:r>
        <w:t xml:space="preserve">The</w:t>
      </w:r>
      <w:r>
        <w:t xml:space="preserve"> </w:t>
      </w:r>
      <w:r>
        <w:t xml:space="preserve">"</w:t>
      </w:r>
      <w:r>
        <w:t xml:space="preserve">EV future</w:t>
      </w:r>
      <w:r>
        <w:t xml:space="preserve">"</w:t>
      </w:r>
      <w:r>
        <w:t xml:space="preserve"> </w:t>
      </w:r>
      <w:r>
        <w:t xml:space="preserve">is not a singular trajectory but a branching path of technological and economic evolution. The environmental benefits are clear but conditional-dependent on grid decarbonization and responsible supply chain management. The immediate years (2025-2027) will be defined by the</w:t>
      </w:r>
      <w:r>
        <w:t xml:space="preserve"> </w:t>
      </w:r>
      <w:r>
        <w:t xml:space="preserve">"</w:t>
      </w:r>
      <w:r>
        <w:t xml:space="preserve">growing pains</w:t>
      </w:r>
      <w:r>
        <w:t xml:space="preserve">"</w:t>
      </w:r>
      <w:r>
        <w:t xml:space="preserve"> </w:t>
      </w:r>
      <w:r>
        <w:t xml:space="preserve">of insurance costs, infrastructure bottlenecks, and the geopolitical race for critical minerals. Success requires a holistic architectural approach that integrates vehicle technology with grid management, circular recycling economies, and diversified raw material sourcing.</w:t>
      </w:r>
    </w:p>
    <w:p>
      <w:pPr>
        <w:pStyle w:val="BodyText"/>
      </w:pPr>
      <w:r>
        <w:rPr>
          <w:b/>
        </w:rPr>
        <w:t xml:space="preserve">Sources:</w:t>
      </w:r>
      <w:r>
        <w:t xml:space="preserve"> </w:t>
      </w:r>
      <w:r>
        <w:t xml:space="preserve">1.</w:t>
      </w:r>
      <w:r>
        <w:t xml:space="preserve"> </w:t>
      </w:r>
      <w:hyperlink r:id="rId169">
        <w:r>
          <w:rPr>
            <w:rStyle w:val="Hyperlink"/>
          </w:rPr>
          <w:t xml:space="preserve">carsales.com.au</w:t>
        </w:r>
      </w:hyperlink>
      <w:r>
        <w:t xml:space="preserve"> </w:t>
      </w:r>
      <w:r>
        <w:t xml:space="preserve">2.</w:t>
      </w:r>
      <w:r>
        <w:t xml:space="preserve"> </w:t>
      </w:r>
      <w:hyperlink r:id="rId170">
        <w:r>
          <w:rPr>
            <w:rStyle w:val="Hyperlink"/>
          </w:rPr>
          <w:t xml:space="preserve">iea.org</w:t>
        </w:r>
      </w:hyperlink>
      <w:r>
        <w:t xml:space="preserve"> </w:t>
      </w:r>
      <w:r>
        <w:t xml:space="preserve">3.</w:t>
      </w:r>
      <w:r>
        <w:t xml:space="preserve"> </w:t>
      </w:r>
      <w:hyperlink r:id="rId171">
        <w:r>
          <w:rPr>
            <w:rStyle w:val="Hyperlink"/>
          </w:rPr>
          <w:t xml:space="preserve">mercomindia.com</w:t>
        </w:r>
      </w:hyperlink>
      <w:r>
        <w:t xml:space="preserve"> </w:t>
      </w:r>
      <w:r>
        <w:t xml:space="preserve">4.</w:t>
      </w:r>
      <w:r>
        <w:t xml:space="preserve"> </w:t>
      </w:r>
      <w:hyperlink r:id="rId172">
        <w:r>
          <w:rPr>
            <w:rStyle w:val="Hyperlink"/>
          </w:rPr>
          <w:t xml:space="preserve">fraunhofer.de</w:t>
        </w:r>
      </w:hyperlink>
      <w:r>
        <w:t xml:space="preserve"> </w:t>
      </w:r>
      <w:r>
        <w:t xml:space="preserve">5.</w:t>
      </w:r>
      <w:r>
        <w:t xml:space="preserve"> </w:t>
      </w:r>
      <w:hyperlink r:id="rId173">
        <w:r>
          <w:rPr>
            <w:rStyle w:val="Hyperlink"/>
          </w:rPr>
          <w:t xml:space="preserve">oceans-research.com</w:t>
        </w:r>
      </w:hyperlink>
      <w:r>
        <w:t xml:space="preserve"> </w:t>
      </w:r>
      <w:r>
        <w:t xml:space="preserve">6.</w:t>
      </w:r>
      <w:r>
        <w:t xml:space="preserve"> </w:t>
      </w:r>
      <w:hyperlink r:id="rId174">
        <w:r>
          <w:rPr>
            <w:rStyle w:val="Hyperlink"/>
          </w:rPr>
          <w:t xml:space="preserve">wri.org</w:t>
        </w:r>
      </w:hyperlink>
      <w:r>
        <w:t xml:space="preserve"> </w:t>
      </w:r>
      <w:r>
        <w:t xml:space="preserve">7.</w:t>
      </w:r>
      <w:r>
        <w:t xml:space="preserve"> </w:t>
      </w:r>
      <w:hyperlink r:id="rId175">
        <w:r>
          <w:rPr>
            <w:rStyle w:val="Hyperlink"/>
          </w:rPr>
          <w:t xml:space="preserve">carscoops.com</w:t>
        </w:r>
      </w:hyperlink>
      <w:r>
        <w:t xml:space="preserve"> </w:t>
      </w:r>
      <w:r>
        <w:t xml:space="preserve">8.</w:t>
      </w:r>
      <w:r>
        <w:t xml:space="preserve"> </w:t>
      </w:r>
      <w:hyperlink r:id="rId176">
        <w:r>
          <w:rPr>
            <w:rStyle w:val="Hyperlink"/>
          </w:rPr>
          <w:t xml:space="preserve">notebookcheck.net</w:t>
        </w:r>
      </w:hyperlink>
      <w:r>
        <w:t xml:space="preserve"> </w:t>
      </w:r>
      <w:r>
        <w:t xml:space="preserve">9.</w:t>
      </w:r>
      <w:r>
        <w:t xml:space="preserve"> </w:t>
      </w:r>
      <w:hyperlink r:id="rId177">
        <w:r>
          <w:rPr>
            <w:rStyle w:val="Hyperlink"/>
          </w:rPr>
          <w:t xml:space="preserve">greencars.com</w:t>
        </w:r>
      </w:hyperlink>
      <w:r>
        <w:t xml:space="preserve"> </w:t>
      </w:r>
      <w:r>
        <w:t xml:space="preserve">10.</w:t>
      </w:r>
      <w:r>
        <w:t xml:space="preserve"> </w:t>
      </w:r>
      <w:hyperlink r:id="rId178">
        <w:r>
          <w:rPr>
            <w:rStyle w:val="Hyperlink"/>
          </w:rPr>
          <w:t xml:space="preserve">mit.edu</w:t>
        </w:r>
      </w:hyperlink>
      <w:r>
        <w:t xml:space="preserve"> </w:t>
      </w:r>
      <w:r>
        <w:t xml:space="preserve">11.</w:t>
      </w:r>
      <w:r>
        <w:t xml:space="preserve"> </w:t>
      </w:r>
      <w:hyperlink r:id="rId179">
        <w:r>
          <w:rPr>
            <w:rStyle w:val="Hyperlink"/>
          </w:rPr>
          <w:t xml:space="preserve">reddit.com</w:t>
        </w:r>
      </w:hyperlink>
      <w:r>
        <w:t xml:space="preserve"> </w:t>
      </w:r>
      <w:r>
        <w:t xml:space="preserve">12.</w:t>
      </w:r>
      <w:r>
        <w:t xml:space="preserve"> </w:t>
      </w:r>
      <w:hyperlink r:id="rId180">
        <w:r>
          <w:rPr>
            <w:rStyle w:val="Hyperlink"/>
          </w:rPr>
          <w:t xml:space="preserve">epa.gov</w:t>
        </w:r>
      </w:hyperlink>
      <w:r>
        <w:t xml:space="preserve"> </w:t>
      </w:r>
      <w:r>
        <w:t xml:space="preserve">13.</w:t>
      </w:r>
      <w:r>
        <w:t xml:space="preserve"> </w:t>
      </w:r>
      <w:hyperlink r:id="rId181">
        <w:r>
          <w:rPr>
            <w:rStyle w:val="Hyperlink"/>
          </w:rPr>
          <w:t xml:space="preserve">digitaloceanspaces.com</w:t>
        </w:r>
      </w:hyperlink>
      <w:r>
        <w:t xml:space="preserve"> </w:t>
      </w:r>
      <w:r>
        <w:t xml:space="preserve">14.</w:t>
      </w:r>
      <w:r>
        <w:t xml:space="preserve"> </w:t>
      </w:r>
      <w:hyperlink r:id="rId182">
        <w:r>
          <w:rPr>
            <w:rStyle w:val="Hyperlink"/>
          </w:rPr>
          <w:t xml:space="preserve">quantumscape.com</w:t>
        </w:r>
      </w:hyperlink>
      <w:r>
        <w:t xml:space="preserve"> </w:t>
      </w:r>
      <w:r>
        <w:t xml:space="preserve">15.</w:t>
      </w:r>
      <w:r>
        <w:t xml:space="preserve"> </w:t>
      </w:r>
      <w:hyperlink r:id="rId183">
        <w:r>
          <w:rPr>
            <w:rStyle w:val="Hyperlink"/>
          </w:rPr>
          <w:t xml:space="preserve">electrek.co</w:t>
        </w:r>
      </w:hyperlink>
      <w:r>
        <w:t xml:space="preserve"> </w:t>
      </w:r>
      <w:r>
        <w:t xml:space="preserve">16.</w:t>
      </w:r>
      <w:r>
        <w:t xml:space="preserve"> </w:t>
      </w:r>
      <w:hyperlink r:id="rId184">
        <w:r>
          <w:rPr>
            <w:rStyle w:val="Hyperlink"/>
          </w:rPr>
          <w:t xml:space="preserve">eeworld.com.cn</w:t>
        </w:r>
      </w:hyperlink>
      <w:r>
        <w:t xml:space="preserve"> </w:t>
      </w:r>
      <w:r>
        <w:t xml:space="preserve">17.</w:t>
      </w:r>
      <w:r>
        <w:t xml:space="preserve"> </w:t>
      </w:r>
      <w:hyperlink r:id="rId185">
        <w:r>
          <w:rPr>
            <w:rStyle w:val="Hyperlink"/>
          </w:rPr>
          <w:t xml:space="preserve">discoveryalert.com.au</w:t>
        </w:r>
      </w:hyperlink>
      <w:r>
        <w:t xml:space="preserve"> </w:t>
      </w:r>
      <w:r>
        <w:t xml:space="preserve">18.</w:t>
      </w:r>
      <w:r>
        <w:t xml:space="preserve"> </w:t>
      </w:r>
      <w:hyperlink r:id="rId186">
        <w:r>
          <w:rPr>
            <w:rStyle w:val="Hyperlink"/>
          </w:rPr>
          <w:t xml:space="preserve">carnewschina.com</w:t>
        </w:r>
      </w:hyperlink>
      <w:r>
        <w:t xml:space="preserve"> </w:t>
      </w:r>
      <w:r>
        <w:t xml:space="preserve">19.</w:t>
      </w:r>
      <w:r>
        <w:t xml:space="preserve"> </w:t>
      </w:r>
      <w:hyperlink r:id="rId187">
        <w:r>
          <w:rPr>
            <w:rStyle w:val="Hyperlink"/>
          </w:rPr>
          <w:t xml:space="preserve">cnevpost.com</w:t>
        </w:r>
      </w:hyperlink>
      <w:r>
        <w:t xml:space="preserve"> </w:t>
      </w:r>
      <w:r>
        <w:t xml:space="preserve">20.</w:t>
      </w:r>
      <w:r>
        <w:t xml:space="preserve"> </w:t>
      </w:r>
      <w:hyperlink r:id="rId188">
        <w:r>
          <w:rPr>
            <w:rStyle w:val="Hyperlink"/>
          </w:rPr>
          <w:t xml:space="preserve">carnewschina.com</w:t>
        </w:r>
      </w:hyperlink>
      <w:r>
        <w:t xml:space="preserve"> </w:t>
      </w:r>
      <w:r>
        <w:t xml:space="preserve">21.</w:t>
      </w:r>
      <w:r>
        <w:t xml:space="preserve"> </w:t>
      </w:r>
      <w:hyperlink r:id="rId189">
        <w:r>
          <w:rPr>
            <w:rStyle w:val="Hyperlink"/>
          </w:rPr>
          <w:t xml:space="preserve">eia.gov</w:t>
        </w:r>
      </w:hyperlink>
      <w:r>
        <w:t xml:space="preserve"> </w:t>
      </w:r>
      <w:r>
        <w:t xml:space="preserve">22.</w:t>
      </w:r>
      <w:r>
        <w:t xml:space="preserve"> </w:t>
      </w:r>
      <w:hyperlink r:id="rId190">
        <w:r>
          <w:rPr>
            <w:rStyle w:val="Hyperlink"/>
          </w:rPr>
          <w:t xml:space="preserve">researchgate.net</w:t>
        </w:r>
      </w:hyperlink>
      <w:r>
        <w:t xml:space="preserve"> </w:t>
      </w:r>
      <w:r>
        <w:t xml:space="preserve">23.</w:t>
      </w:r>
      <w:r>
        <w:t xml:space="preserve"> </w:t>
      </w:r>
      <w:hyperlink r:id="rId191">
        <w:r>
          <w:rPr>
            <w:rStyle w:val="Hyperlink"/>
          </w:rPr>
          <w:t xml:space="preserve">iucn.nl</w:t>
        </w:r>
      </w:hyperlink>
      <w:r>
        <w:t xml:space="preserve"> </w:t>
      </w:r>
      <w:r>
        <w:t xml:space="preserve">24.</w:t>
      </w:r>
      <w:r>
        <w:t xml:space="preserve"> </w:t>
      </w:r>
      <w:hyperlink r:id="rId192">
        <w:r>
          <w:rPr>
            <w:rStyle w:val="Hyperlink"/>
          </w:rPr>
          <w:t xml:space="preserve">blueclimateinitiative.org</w:t>
        </w:r>
      </w:hyperlink>
      <w:r>
        <w:t xml:space="preserve"> </w:t>
      </w:r>
      <w:r>
        <w:t xml:space="preserve">25.</w:t>
      </w:r>
      <w:r>
        <w:t xml:space="preserve"> </w:t>
      </w:r>
      <w:hyperlink r:id="rId193">
        <w:r>
          <w:rPr>
            <w:rStyle w:val="Hyperlink"/>
          </w:rPr>
          <w:t xml:space="preserve">researchgate.net</w:t>
        </w:r>
      </w:hyperlink>
      <w:r>
        <w:t xml:space="preserve"> </w:t>
      </w:r>
      <w:r>
        <w:t xml:space="preserve">26.</w:t>
      </w:r>
      <w:r>
        <w:t xml:space="preserve"> </w:t>
      </w:r>
      <w:hyperlink r:id="rId194">
        <w:r>
          <w:rPr>
            <w:rStyle w:val="Hyperlink"/>
          </w:rPr>
          <w:t xml:space="preserve">uvm.edu</w:t>
        </w:r>
      </w:hyperlink>
      <w:r>
        <w:t xml:space="preserve"> </w:t>
      </w:r>
      <w:r>
        <w:t xml:space="preserve">27.</w:t>
      </w:r>
      <w:r>
        <w:t xml:space="preserve"> </w:t>
      </w:r>
      <w:hyperlink r:id="rId195">
        <w:r>
          <w:rPr>
            <w:rStyle w:val="Hyperlink"/>
          </w:rPr>
          <w:t xml:space="preserve">imarcgroup.com</w:t>
        </w:r>
      </w:hyperlink>
      <w:r>
        <w:t xml:space="preserve"> </w:t>
      </w:r>
      <w:r>
        <w:t xml:space="preserve">28.</w:t>
      </w:r>
      <w:r>
        <w:t xml:space="preserve"> </w:t>
      </w:r>
      <w:hyperlink r:id="rId196">
        <w:r>
          <w:rPr>
            <w:rStyle w:val="Hyperlink"/>
          </w:rPr>
          <w:t xml:space="preserve">mdpi.com</w:t>
        </w:r>
      </w:hyperlink>
      <w:r>
        <w:t xml:space="preserve"> </w:t>
      </w:r>
      <w:r>
        <w:t xml:space="preserve">29.</w:t>
      </w:r>
      <w:r>
        <w:t xml:space="preserve"> </w:t>
      </w:r>
      <w:hyperlink r:id="rId197">
        <w:r>
          <w:rPr>
            <w:rStyle w:val="Hyperlink"/>
          </w:rPr>
          <w:t xml:space="preserve">go-e.com</w:t>
        </w:r>
      </w:hyperlink>
      <w:r>
        <w:t xml:space="preserve"> </w:t>
      </w:r>
      <w:r>
        <w:t xml:space="preserve">30.</w:t>
      </w:r>
      <w:r>
        <w:t xml:space="preserve"> </w:t>
      </w:r>
      <w:hyperlink r:id="rId198">
        <w:r>
          <w:rPr>
            <w:rStyle w:val="Hyperlink"/>
          </w:rPr>
          <w:t xml:space="preserve">carriermanagement.com</w:t>
        </w:r>
      </w:hyperlink>
      <w:r>
        <w:t xml:space="preserve"> </w:t>
      </w:r>
      <w:r>
        <w:t xml:space="preserve">31.</w:t>
      </w:r>
      <w:r>
        <w:t xml:space="preserve"> </w:t>
      </w:r>
      <w:hyperlink r:id="rId199">
        <w:r>
          <w:rPr>
            <w:rStyle w:val="Hyperlink"/>
          </w:rPr>
          <w:t xml:space="preserve">denvergazette.com</w:t>
        </w:r>
      </w:hyperlink>
      <w:r>
        <w:t xml:space="preserve"> </w:t>
      </w:r>
      <w:r>
        <w:t xml:space="preserve">32.</w:t>
      </w:r>
      <w:r>
        <w:t xml:space="preserve"> </w:t>
      </w:r>
      <w:hyperlink r:id="rId200">
        <w:r>
          <w:rPr>
            <w:rStyle w:val="Hyperlink"/>
          </w:rPr>
          <w:t xml:space="preserve">claimsjournal.com</w:t>
        </w:r>
      </w:hyperlink>
      <w:r>
        <w:t xml:space="preserve"> </w:t>
      </w:r>
      <w:r>
        <w:t xml:space="preserve">33.</w:t>
      </w:r>
      <w:r>
        <w:t xml:space="preserve"> </w:t>
      </w:r>
      <w:hyperlink r:id="rId201">
        <w:r>
          <w:rPr>
            <w:rStyle w:val="Hyperlink"/>
          </w:rPr>
          <w:t xml:space="preserve">recharged.com</w:t>
        </w:r>
      </w:hyperlink>
      <w:r>
        <w:t xml:space="preserve"> </w:t>
      </w:r>
      <w:r>
        <w:t xml:space="preserve">34.</w:t>
      </w:r>
      <w:r>
        <w:t xml:space="preserve"> </w:t>
      </w:r>
      <w:hyperlink r:id="rId202">
        <w:r>
          <w:rPr>
            <w:rStyle w:val="Hyperlink"/>
          </w:rPr>
          <w:t xml:space="preserve">autovalueprofessionals.com</w:t>
        </w:r>
      </w:hyperlink>
      <w:r>
        <w:t xml:space="preserve"> </w:t>
      </w:r>
      <w:r>
        <w:t xml:space="preserve">35.</w:t>
      </w:r>
      <w:r>
        <w:t xml:space="preserve"> </w:t>
      </w:r>
      <w:hyperlink r:id="rId203">
        <w:r>
          <w:rPr>
            <w:rStyle w:val="Hyperlink"/>
          </w:rPr>
          <w:t xml:space="preserve">evrimagaci.org</w:t>
        </w:r>
      </w:hyperlink>
      <w:r>
        <w:t xml:space="preserve"> </w:t>
      </w:r>
      <w:r>
        <w:t xml:space="preserve">36.</w:t>
      </w:r>
      <w:r>
        <w:t xml:space="preserve"> </w:t>
      </w:r>
      <w:hyperlink r:id="rId204">
        <w:r>
          <w:rPr>
            <w:rStyle w:val="Hyperlink"/>
          </w:rPr>
          <w:t xml:space="preserve">luc.edu</w:t>
        </w:r>
      </w:hyperlink>
      <w:r>
        <w:t xml:space="preserve"> </w:t>
      </w:r>
      <w:r>
        <w:t xml:space="preserve">37.</w:t>
      </w:r>
      <w:r>
        <w:t xml:space="preserve"> </w:t>
      </w:r>
      <w:hyperlink r:id="rId205">
        <w:r>
          <w:rPr>
            <w:rStyle w:val="Hyperlink"/>
          </w:rPr>
          <w:t xml:space="preserve">pew.org</w:t>
        </w:r>
      </w:hyperlink>
      <w:r>
        <w:t xml:space="preserve"> </w:t>
      </w:r>
      <w:r>
        <w:t xml:space="preserve">38.</w:t>
      </w:r>
      <w:r>
        <w:t xml:space="preserve"> </w:t>
      </w:r>
      <w:hyperlink r:id="rId206">
        <w:r>
          <w:rPr>
            <w:rStyle w:val="Hyperlink"/>
          </w:rPr>
          <w:t xml:space="preserve">thedriven.io</w:t>
        </w:r>
      </w:hyperlink>
      <w:r>
        <w:t xml:space="preserve"> </w:t>
      </w:r>
      <w:r>
        <w:t xml:space="preserve">39.</w:t>
      </w:r>
      <w:r>
        <w:t xml:space="preserve"> </w:t>
      </w:r>
      <w:hyperlink r:id="rId207">
        <w:r>
          <w:rPr>
            <w:rStyle w:val="Hyperlink"/>
          </w:rPr>
          <w:t xml:space="preserve">mckinsey.com</w:t>
        </w:r>
      </w:hyperlink>
      <w:r>
        <w:t xml:space="preserve"> </w:t>
      </w:r>
      <w:r>
        <w:t xml:space="preserve">40.</w:t>
      </w:r>
      <w:r>
        <w:t xml:space="preserve"> </w:t>
      </w:r>
      <w:hyperlink r:id="rId208">
        <w:r>
          <w:rPr>
            <w:rStyle w:val="Hyperlink"/>
          </w:rPr>
          <w:t xml:space="preserve">iea.org</w:t>
        </w:r>
      </w:hyperlink>
      <w:r>
        <w:t xml:space="preserve"> </w:t>
      </w:r>
      <w:r>
        <w:t xml:space="preserve">41.</w:t>
      </w:r>
      <w:r>
        <w:t xml:space="preserve"> </w:t>
      </w:r>
      <w:hyperlink r:id="rId209">
        <w:r>
          <w:rPr>
            <w:rStyle w:val="Hyperlink"/>
          </w:rPr>
          <w:t xml:space="preserve">coherentmarketinsights.com</w:t>
        </w:r>
      </w:hyperlink>
      <w:r>
        <w:t xml:space="preserve"> </w:t>
      </w:r>
      <w:r>
        <w:t xml:space="preserve">42.</w:t>
      </w:r>
      <w:r>
        <w:t xml:space="preserve"> </w:t>
      </w:r>
      <w:hyperlink r:id="rId210">
        <w:r>
          <w:rPr>
            <w:rStyle w:val="Hyperlink"/>
          </w:rPr>
          <w:t xml:space="preserve">youtube.com</w:t>
        </w:r>
      </w:hyperlink>
      <w:r>
        <w:t xml:space="preserve"> </w:t>
      </w:r>
      <w:r>
        <w:t xml:space="preserve">43.</w:t>
      </w:r>
      <w:r>
        <w:t xml:space="preserve"> </w:t>
      </w:r>
      <w:hyperlink r:id="rId211">
        <w:r>
          <w:rPr>
            <w:rStyle w:val="Hyperlink"/>
          </w:rPr>
          <w:t xml:space="preserve">efuel-alliance.eu</w:t>
        </w:r>
      </w:hyperlink>
      <w:r>
        <w:t xml:space="preserve"> </w:t>
      </w:r>
      <w:r>
        <w:t xml:space="preserve">44.</w:t>
      </w:r>
      <w:r>
        <w:t xml:space="preserve"> </w:t>
      </w:r>
      <w:hyperlink r:id="rId212">
        <w:r>
          <w:rPr>
            <w:rStyle w:val="Hyperlink"/>
          </w:rPr>
          <w:t xml:space="preserve">idtechex.com</w:t>
        </w:r>
      </w:hyperlink>
      <w:r>
        <w:t xml:space="preserve"> </w:t>
      </w:r>
      <w:r>
        <w:t xml:space="preserve">45.</w:t>
      </w:r>
      <w:r>
        <w:t xml:space="preserve"> </w:t>
      </w:r>
      <w:hyperlink r:id="rId213">
        <w:r>
          <w:rPr>
            <w:rStyle w:val="Hyperlink"/>
          </w:rPr>
          <w:t xml:space="preserve">coherentmarketinsights.com</w:t>
        </w:r>
      </w:hyperlink>
    </w:p>
    <w:p>
      <w:r>
        <w:pict>
          <v:rect style="width:0;height:1.5pt" o:hralign="center" o:hrstd="t" o:hr="t"/>
        </w:pict>
      </w:r>
    </w:p>
    <w:p>
      <w:pPr>
        <w:pStyle w:val="Normal"/>
      </w:pPr>
      <w:r>
        <w:rPr>
          <w:i/>
        </w:rPr>
        <w:t xml:space="preserve">This document provides a comprehensive, data-driven overview of the future of electric vehicles and their environmental effects, serving as a resource for policymakers, industry professionals, educators, and informed citizens.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FB84" w14:textId="77777777" w:rsidR="00AA7661" w:rsidRDefault="00AA7661" w:rsidP="00153F07">
      <w:pPr>
        <w:spacing w:after="0" w:line="240" w:lineRule="auto"/>
      </w:pPr>
      <w:r>
        <w:separator/>
      </w:r>
    </w:p>
  </w:endnote>
  <w:endnote w:type="continuationSeparator" w:id="0">
    <w:p w14:paraId="2A2D0864" w14:textId="77777777" w:rsidR="00AA7661" w:rsidRDefault="00AA7661" w:rsidP="001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Epilogue">
    <w:altName w:val="Calibri"/>
    <w:panose1 w:val="00000000000000000000"/>
    <w:charset w:val="00"/>
    <w:family w:val="auto"/>
    <w:pitch w:val="variable"/>
    <w:sig w:usb0="A000007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inter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4B83" w14:textId="4C444783" w:rsidR="00153F07" w:rsidRDefault="00153F07">
    <w:pPr>
      <w:pStyle w:val="Footer"/>
    </w:pPr>
  </w:p>
  <w:p w14:paraId="3AC5C405" w14:textId="66DDBF4F" w:rsidR="00153F07" w:rsidRPr="005B0898" w:rsidRDefault="00153F07" w:rsidP="00153F07">
    <w:pPr>
      <w:spacing w:after="16"/>
      <w:rPr>
        <w:rFonts w:ascii="Epilogue" w:hAnsi="Epilogue"/>
      </w:rPr>
    </w:pPr>
  </w:p>
  <w:p w14:paraId="4FFDCF14" w14:textId="43780BF3" w:rsidR="00153F07" w:rsidRPr="00615EE6" w:rsidRDefault="00F323FE" w:rsidP="000E0010">
    <w:pPr>
      <w:tabs>
        <w:tab w:val="center" w:pos="1202"/>
      </w:tabs>
      <w:spacing w:after="83"/>
      <w:ind w:right="-7394"/>
      <w:rPr>
        <w:rFonts w:ascii="Epilogue" w:eastAsia="Epilogue" w:hAnsi="Epilogue" w:cs="Epilogue"/>
        <w:color w:val="04CCA5"/>
        <w:sz w:val="18"/>
      </w:rPr>
    </w:pPr>
    <w:r>
      <w:rPr>
        <w:noProof/>
      </w:rPr>
      <w:drawing>
        <wp:anchor distT="0" distB="0" distL="114300" distR="114300" simplePos="0" relativeHeight="251667456" behindDoc="1" locked="0" layoutInCell="1" allowOverlap="1" wp14:anchorId="13110AC3" wp14:editId="16D34E85">
          <wp:simplePos x="0" y="0"/>
          <wp:positionH relativeFrom="column">
            <wp:posOffset>5704840</wp:posOffset>
          </wp:positionH>
          <wp:positionV relativeFrom="paragraph">
            <wp:posOffset>101600</wp:posOffset>
          </wp:positionV>
          <wp:extent cx="485775" cy="545465"/>
          <wp:effectExtent l="0" t="0" r="9525" b="6985"/>
          <wp:wrapThrough wrapText="bothSides">
            <wp:wrapPolygon edited="0">
              <wp:start x="0" y="0"/>
              <wp:lineTo x="0" y="9807"/>
              <wp:lineTo x="5082" y="12070"/>
              <wp:lineTo x="7624" y="21122"/>
              <wp:lineTo x="13553" y="21122"/>
              <wp:lineTo x="16094" y="12070"/>
              <wp:lineTo x="21176" y="9807"/>
              <wp:lineTo x="21176" y="0"/>
              <wp:lineTo x="0" y="0"/>
            </wp:wrapPolygon>
          </wp:wrapThrough>
          <wp:docPr id="785946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545465"/>
                  </a:xfrm>
                  <a:prstGeom prst="rect">
                    <a:avLst/>
                  </a:prstGeom>
                  <a:noFill/>
                </pic:spPr>
              </pic:pic>
            </a:graphicData>
          </a:graphic>
          <wp14:sizeRelH relativeFrom="page">
            <wp14:pctWidth>0</wp14:pctWidth>
          </wp14:sizeRelH>
          <wp14:sizeRelV relativeFrom="page">
            <wp14:pctHeight>0</wp14:pctHeight>
          </wp14:sizeRelV>
        </wp:anchor>
      </w:drawing>
    </w:r>
    <w:r w:rsidR="00153F07" w:rsidRPr="005B0898">
      <w:rPr>
        <w:rFonts w:ascii="Epilogue" w:eastAsia="Epilogue" w:hAnsi="Epilogue" w:cs="Epilogue"/>
        <w:color w:val="04CCA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420" w14:textId="6DA97EAB" w:rsidR="00E97CAF" w:rsidRPr="00E97CAF" w:rsidRDefault="00E97CAF" w:rsidP="00E97CAF">
    <w:pPr>
      <w:pStyle w:val="Footer"/>
      <w:rPr>
        <w:sz w:val="18"/>
        <w:szCs w:val="18"/>
      </w:rPr>
    </w:pPr>
    <w:r w:rsidRPr="00E97CAF">
      <w:rPr>
        <w:rFonts w:eastAsia="Epilogue" w:cs="Epilogue"/>
        <w:b/>
        <w:noProof/>
        <w:color w:val="04CCA5"/>
        <w:sz w:val="18"/>
        <w:szCs w:val="18"/>
      </w:rPr>
      <w:drawing>
        <wp:anchor distT="0" distB="0" distL="114300" distR="114300" simplePos="0" relativeHeight="251668480" behindDoc="0" locked="0" layoutInCell="1" allowOverlap="1" wp14:anchorId="63279BCE" wp14:editId="2C4BB955">
          <wp:simplePos x="0" y="0"/>
          <wp:positionH relativeFrom="leftMargin">
            <wp:align>right</wp:align>
          </wp:positionH>
          <wp:positionV relativeFrom="paragraph">
            <wp:posOffset>17145</wp:posOffset>
          </wp:positionV>
          <wp:extent cx="196850" cy="196850"/>
          <wp:effectExtent l="0" t="0" r="0" b="0"/>
          <wp:wrapNone/>
          <wp:docPr id="501730037"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2288" name="Graphic 19" descr="Mailbox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850" cy="196850"/>
                  </a:xfrm>
                  <a:prstGeom prst="rect">
                    <a:avLst/>
                  </a:prstGeom>
                </pic:spPr>
              </pic:pic>
            </a:graphicData>
          </a:graphic>
        </wp:anchor>
      </w:drawing>
    </w:r>
    <w:r w:rsidR="00F323FE">
      <w:rPr>
        <w:noProof/>
        <w:sz w:val="18"/>
        <w:szCs w:val="18"/>
      </w:rPr>
      <w:drawing>
        <wp:anchor distT="0" distB="0" distL="114300" distR="114300" simplePos="0" relativeHeight="251665408" behindDoc="1" locked="0" layoutInCell="1" allowOverlap="1" wp14:anchorId="7DAB354C" wp14:editId="2FEB36FE">
          <wp:simplePos x="0" y="0"/>
          <wp:positionH relativeFrom="column">
            <wp:posOffset>5647690</wp:posOffset>
          </wp:positionH>
          <wp:positionV relativeFrom="paragraph">
            <wp:posOffset>-129540</wp:posOffset>
          </wp:positionV>
          <wp:extent cx="811530" cy="811530"/>
          <wp:effectExtent l="0" t="0" r="7620" b="7620"/>
          <wp:wrapThrough wrapText="bothSides">
            <wp:wrapPolygon edited="0">
              <wp:start x="0" y="0"/>
              <wp:lineTo x="0" y="21296"/>
              <wp:lineTo x="21296" y="21296"/>
              <wp:lineTo x="21296" y="0"/>
              <wp:lineTo x="0" y="0"/>
            </wp:wrapPolygon>
          </wp:wrapThrough>
          <wp:docPr id="1895897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pic:spPr>
              </pic:pic>
            </a:graphicData>
          </a:graphic>
          <wp14:sizeRelH relativeFrom="page">
            <wp14:pctWidth>0</wp14:pctWidth>
          </wp14:sizeRelH>
          <wp14:sizeRelV relativeFrom="page">
            <wp14:pctHeight>0</wp14:pctHeight>
          </wp14:sizeRelV>
        </wp:anchor>
      </w:drawing>
    </w:r>
    <w:r>
      <w:rPr>
        <w:rFonts w:eastAsia="Epilogue" w:cs="Epilogue"/>
        <w:bCs/>
        <w:color w:val="04CCA5"/>
        <w:sz w:val="18"/>
        <w:szCs w:val="18"/>
      </w:rPr>
      <w:t xml:space="preserve">     </w:t>
    </w:r>
    <w:r w:rsidR="00484F96">
      <w:rPr>
        <w:rFonts w:eastAsia="Epilogue" w:cs="Epilogue"/>
        <w:bCs/>
        <w:color w:val="04CCA5"/>
        <w:sz w:val="18"/>
        <w:szCs w:val="18"/>
      </w:rPr>
      <w:t>1965</w:t>
    </w:r>
    <w:r w:rsidRPr="00E97CAF">
      <w:rPr>
        <w:rFonts w:eastAsia="Epilogue" w:cs="Epilogue"/>
        <w:bCs/>
        <w:color w:val="04CCA5"/>
        <w:sz w:val="18"/>
        <w:szCs w:val="18"/>
      </w:rPr>
      <w:t xml:space="preserve"> </w:t>
    </w:r>
    <w:r w:rsidR="00484F96">
      <w:rPr>
        <w:rFonts w:eastAsia="Epilogue" w:cs="Epilogue"/>
        <w:bCs/>
        <w:color w:val="04CCA5"/>
        <w:sz w:val="18"/>
        <w:szCs w:val="18"/>
      </w:rPr>
      <w:t>Broad</w:t>
    </w:r>
    <w:r w:rsidRPr="00E97CAF">
      <w:rPr>
        <w:rFonts w:eastAsia="Epilogue" w:cs="Epilogue"/>
        <w:bCs/>
        <w:color w:val="04CCA5"/>
        <w:sz w:val="18"/>
        <w:szCs w:val="18"/>
      </w:rPr>
      <w:t xml:space="preserve"> Street, </w:t>
    </w:r>
    <w:r w:rsidR="00484F96">
      <w:rPr>
        <w:rFonts w:eastAsia="Epilogue" w:cs="Epilogue"/>
        <w:bCs/>
        <w:color w:val="04CCA5"/>
        <w:sz w:val="18"/>
        <w:szCs w:val="18"/>
      </w:rPr>
      <w:t>Regina</w:t>
    </w:r>
    <w:r w:rsidRPr="00E97CAF">
      <w:rPr>
        <w:rFonts w:eastAsia="Epilogue" w:cs="Epilogue"/>
        <w:bCs/>
        <w:color w:val="04CCA5"/>
        <w:sz w:val="18"/>
        <w:szCs w:val="18"/>
      </w:rPr>
      <w:t xml:space="preserve">, </w:t>
    </w:r>
    <w:r w:rsidR="00484F96">
      <w:rPr>
        <w:rFonts w:eastAsia="Epilogue" w:cs="Epilogue"/>
        <w:bCs/>
        <w:color w:val="04CCA5"/>
        <w:sz w:val="18"/>
        <w:szCs w:val="18"/>
      </w:rPr>
      <w:t>SK</w:t>
    </w:r>
    <w:r w:rsidRPr="00E97CAF">
      <w:rPr>
        <w:rFonts w:eastAsia="Epilogue" w:cs="Epilogue"/>
        <w:bCs/>
        <w:color w:val="04CCA5"/>
        <w:sz w:val="18"/>
        <w:szCs w:val="18"/>
      </w:rPr>
      <w:t xml:space="preserve">, </w:t>
    </w:r>
    <w:r w:rsidR="00484F96">
      <w:rPr>
        <w:rFonts w:eastAsia="Epilogue" w:cs="Epilogue"/>
        <w:bCs/>
        <w:color w:val="04CCA5"/>
        <w:sz w:val="18"/>
        <w:szCs w:val="18"/>
      </w:rPr>
      <w:t>S4P 1Y1</w:t>
    </w:r>
  </w:p>
  <w:p w14:paraId="3FF2273B" w14:textId="3273AEB2" w:rsidR="00E97CAF" w:rsidRPr="00E97CAF" w:rsidRDefault="00F323FE" w:rsidP="00E50F47">
    <w:pPr>
      <w:pStyle w:val="Footer"/>
      <w:rPr>
        <w:rFonts w:eastAsia="Epilogue" w:cs="Epilogue"/>
        <w:color w:val="04CCA5"/>
        <w:sz w:val="18"/>
        <w:szCs w:val="18"/>
      </w:rPr>
    </w:pPr>
    <w:r>
      <w:rPr>
        <w:noProof/>
        <w:sz w:val="18"/>
        <w:szCs w:val="18"/>
      </w:rPr>
      <w:drawing>
        <wp:anchor distT="0" distB="0" distL="114300" distR="114300" simplePos="0" relativeHeight="251670528" behindDoc="0" locked="0" layoutInCell="1" allowOverlap="1" wp14:anchorId="62889296" wp14:editId="6062557C">
          <wp:simplePos x="0" y="0"/>
          <wp:positionH relativeFrom="leftMargin">
            <wp:align>right</wp:align>
          </wp:positionH>
          <wp:positionV relativeFrom="paragraph">
            <wp:posOffset>71120</wp:posOffset>
          </wp:positionV>
          <wp:extent cx="165735" cy="165735"/>
          <wp:effectExtent l="0" t="0" r="5715" b="5715"/>
          <wp:wrapNone/>
          <wp:docPr id="1305220161"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descr="Receiver with solid fill"/>
                  <pic:cNvPicPr>
                    <a:picLocks noChangeAspect="1" noChangeArrowheads="1"/>
                  </pic:cNvPicPr>
                </pic:nvPicPr>
                <pic:blipFill>
                  <a:blip r:embed="rId4">
                    <a:extLst>
                      <a:ext uri="{28A0092B-C50C-407E-A947-70E740481C1C}">
                        <a14:useLocalDpi xmlns:a14="http://schemas.microsoft.com/office/drawing/2010/main" val="0"/>
                      </a:ext>
                    </a:extLst>
                  </a:blip>
                  <a:srcRect l="-4167" r="-4167" b="-386"/>
                  <a:stretch>
                    <a:fillRect/>
                  </a:stretch>
                </pic:blipFill>
                <pic:spPr bwMode="auto">
                  <a:xfrm>
                    <a:off x="0" y="0"/>
                    <a:ext cx="165735" cy="165735"/>
                  </a:xfrm>
                  <a:prstGeom prst="rect">
                    <a:avLst/>
                  </a:prstGeom>
                  <a:noFill/>
                </pic:spPr>
              </pic:pic>
            </a:graphicData>
          </a:graphic>
          <wp14:sizeRelH relativeFrom="page">
            <wp14:pctWidth>0</wp14:pctWidth>
          </wp14:sizeRelH>
          <wp14:sizeRelV relativeFrom="page">
            <wp14:pctHeight>0</wp14:pctHeight>
          </wp14:sizeRelV>
        </wp:anchor>
      </w:drawing>
    </w:r>
    <w:r w:rsidR="00E97CAF">
      <w:rPr>
        <w:rFonts w:eastAsia="Epilogue" w:cs="Epilogue"/>
        <w:color w:val="04CCA5"/>
        <w:sz w:val="18"/>
        <w:szCs w:val="18"/>
      </w:rPr>
      <w:t xml:space="preserve">     </w:t>
    </w:r>
    <w:r w:rsidR="00484F96">
      <w:rPr>
        <w:rFonts w:eastAsia="Epilogue" w:cs="Epilogue"/>
        <w:color w:val="04CCA5"/>
        <w:sz w:val="18"/>
        <w:szCs w:val="18"/>
      </w:rPr>
      <w:t>306</w:t>
    </w:r>
    <w:r w:rsidR="00E97CAF" w:rsidRPr="00E97CAF">
      <w:rPr>
        <w:rFonts w:eastAsia="Epilogue" w:cs="Epilogue"/>
        <w:color w:val="04CCA5"/>
        <w:sz w:val="18"/>
        <w:szCs w:val="18"/>
      </w:rPr>
      <w:t>.</w:t>
    </w:r>
    <w:r w:rsidR="00484F96">
      <w:rPr>
        <w:rFonts w:eastAsia="Epilogue" w:cs="Epilogue"/>
        <w:color w:val="04CCA5"/>
        <w:sz w:val="18"/>
        <w:szCs w:val="18"/>
      </w:rPr>
      <w:t>581</w:t>
    </w:r>
    <w:r w:rsidR="00E97CAF" w:rsidRPr="00E97CAF">
      <w:rPr>
        <w:rFonts w:eastAsia="Epilogue" w:cs="Epilogue"/>
        <w:color w:val="04CCA5"/>
        <w:sz w:val="18"/>
        <w:szCs w:val="18"/>
      </w:rPr>
      <w:t>.</w:t>
    </w:r>
    <w:r w:rsidR="00484F96">
      <w:rPr>
        <w:rFonts w:eastAsia="Epilogue" w:cs="Epilogue"/>
        <w:color w:val="04CCA5"/>
        <w:sz w:val="18"/>
        <w:szCs w:val="18"/>
      </w:rPr>
      <w:t>6888</w:t>
    </w:r>
  </w:p>
  <w:p w14:paraId="5D15EFA5" w14:textId="19988567" w:rsidR="00615EE6" w:rsidRPr="00E97CAF" w:rsidRDefault="00E97CAF" w:rsidP="00E50F47">
    <w:pPr>
      <w:pStyle w:val="PAIStyleParagraph"/>
      <w:spacing w:line="240" w:lineRule="auto"/>
      <w:rPr>
        <w:color w:val="04CCA5"/>
        <w:sz w:val="18"/>
        <w:szCs w:val="18"/>
      </w:rPr>
    </w:pPr>
    <w:r w:rsidRPr="00E97CAF">
      <w:rPr>
        <w:b/>
        <w:noProof/>
        <w:color w:val="04CCA5"/>
        <w:sz w:val="18"/>
        <w:szCs w:val="18"/>
      </w:rPr>
      <w:drawing>
        <wp:anchor distT="0" distB="0" distL="114300" distR="114300" simplePos="0" relativeHeight="251671552" behindDoc="0" locked="0" layoutInCell="1" allowOverlap="1" wp14:anchorId="3C7CD7F9" wp14:editId="5331CFA6">
          <wp:simplePos x="0" y="0"/>
          <wp:positionH relativeFrom="leftMargin">
            <wp:align>right</wp:align>
          </wp:positionH>
          <wp:positionV relativeFrom="paragraph">
            <wp:posOffset>68580</wp:posOffset>
          </wp:positionV>
          <wp:extent cx="177800" cy="177800"/>
          <wp:effectExtent l="0" t="0" r="0" b="0"/>
          <wp:wrapNone/>
          <wp:docPr id="132874257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720" name="Graphic 1301087720" descr="Envelope with solid fill"/>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800" cy="177800"/>
                  </a:xfrm>
                  <a:prstGeom prst="rect">
                    <a:avLst/>
                  </a:prstGeom>
                </pic:spPr>
              </pic:pic>
            </a:graphicData>
          </a:graphic>
        </wp:anchor>
      </w:drawing>
    </w:r>
    <w:r>
      <w:rPr>
        <w:color w:val="04CCA5"/>
        <w:sz w:val="18"/>
        <w:szCs w:val="18"/>
      </w:rPr>
      <w:t xml:space="preserve">     </w:t>
    </w:r>
    <w:r w:rsidR="009F1111" w:rsidRPr="00E97CAF">
      <w:rPr>
        <w:color w:val="04CCA5"/>
        <w:sz w:val="18"/>
        <w:szCs w:val="18"/>
      </w:rPr>
      <w:t xml:space="preserve">info@precision.ai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F387" w14:textId="77777777" w:rsidR="00AA7661" w:rsidRDefault="00AA7661" w:rsidP="00153F07">
      <w:pPr>
        <w:spacing w:after="0" w:line="240" w:lineRule="auto"/>
      </w:pPr>
      <w:r>
        <w:separator/>
      </w:r>
    </w:p>
  </w:footnote>
  <w:footnote w:type="continuationSeparator" w:id="0">
    <w:p w14:paraId="4D26277F" w14:textId="77777777" w:rsidR="00AA7661" w:rsidRDefault="00AA7661" w:rsidP="001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4504"/>
      <w:docPartObj>
        <w:docPartGallery w:val="Page Numbers (Top of Page)"/>
        <w:docPartUnique/>
      </w:docPartObj>
    </w:sdtPr>
    <w:sdtEndPr>
      <w:rPr>
        <w:b/>
        <w:noProof/>
        <w:color w:val="04CCA5" w:themeColor="background2"/>
      </w:rPr>
    </w:sdtEndPr>
    <w:sdtContent>
      <w:p w14:paraId="7B09C81B" w14:textId="77777777" w:rsidR="008317B7" w:rsidRPr="008317B7" w:rsidRDefault="008317B7">
        <w:pPr>
          <w:pStyle w:val="Header"/>
          <w:jc w:val="right"/>
          <w:rPr>
            <w:b/>
            <w:color w:val="04CCA5" w:themeColor="background2"/>
          </w:rPr>
        </w:pPr>
        <w:r w:rsidRPr="008317B7">
          <w:rPr>
            <w:b/>
            <w:color w:val="04CCA5" w:themeColor="background2"/>
          </w:rPr>
          <w:fldChar w:fldCharType="begin"/>
        </w:r>
        <w:r w:rsidRPr="008317B7">
          <w:rPr>
            <w:b/>
            <w:color w:val="04CCA5" w:themeColor="background2"/>
          </w:rPr>
          <w:instrText xml:space="preserve"> PAGE   \* MERGEFORMAT </w:instrText>
        </w:r>
        <w:r w:rsidRPr="008317B7">
          <w:rPr>
            <w:b/>
            <w:color w:val="04CCA5" w:themeColor="background2"/>
          </w:rPr>
          <w:fldChar w:fldCharType="separate"/>
        </w:r>
        <w:r w:rsidR="002C1E2D">
          <w:rPr>
            <w:b/>
            <w:noProof/>
            <w:color w:val="04CCA5" w:themeColor="background2"/>
          </w:rPr>
          <w:t>3</w:t>
        </w:r>
        <w:r w:rsidRPr="008317B7">
          <w:rPr>
            <w:b/>
            <w:noProof/>
            <w:color w:val="04CCA5" w:themeColor="background2"/>
          </w:rPr>
          <w:fldChar w:fldCharType="end"/>
        </w:r>
      </w:p>
    </w:sdtContent>
  </w:sdt>
  <w:p w14:paraId="414EC0C0" w14:textId="77777777" w:rsidR="00153F07" w:rsidRPr="00CD2D82" w:rsidRDefault="00153F07" w:rsidP="00CD2D82">
    <w:pPr>
      <w:tabs>
        <w:tab w:val="center" w:pos="1202"/>
      </w:tabs>
      <w:spacing w:after="83"/>
      <w:ind w:left="-8" w:right="-7394"/>
      <w:rPr>
        <w:rFonts w:ascii="Epilogue" w:hAnsi="Epilogu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9B3" w14:textId="77777777" w:rsidR="00CD2D82" w:rsidRDefault="00CD2D82">
    <w:pPr>
      <w:pStyle w:val="Header"/>
    </w:pPr>
  </w:p>
  <w:p w14:paraId="4EEF73BC" w14:textId="77777777" w:rsidR="00CD2D82" w:rsidRDefault="00CD2D82">
    <w:pPr>
      <w:pStyle w:val="Header"/>
    </w:pPr>
  </w:p>
  <w:p w14:paraId="5337C8F0" w14:textId="77777777" w:rsidR="00CD2D82" w:rsidRDefault="00CD2D82">
    <w:pPr>
      <w:pStyle w:val="Header"/>
    </w:pPr>
    <w:r>
      <w:rPr>
        <w:noProof/>
      </w:rPr>
      <mc:AlternateContent>
        <mc:Choice Requires="wpg">
          <w:drawing>
            <wp:anchor distT="0" distB="0" distL="114300" distR="114300" simplePos="0" relativeHeight="251663360" behindDoc="0" locked="0" layoutInCell="1" allowOverlap="1" wp14:anchorId="34CB2ED9" wp14:editId="32022454">
              <wp:simplePos x="0" y="0"/>
              <wp:positionH relativeFrom="column">
                <wp:posOffset>-201295</wp:posOffset>
              </wp:positionH>
              <wp:positionV relativeFrom="paragraph">
                <wp:posOffset>-226212</wp:posOffset>
              </wp:positionV>
              <wp:extent cx="2242820" cy="364490"/>
              <wp:effectExtent l="0" t="19050" r="24130" b="35560"/>
              <wp:wrapNone/>
              <wp:docPr id="1" name="Group 1"/>
              <wp:cNvGraphicFramePr/>
              <a:graphic xmlns:a="http://schemas.openxmlformats.org/drawingml/2006/main">
                <a:graphicData uri="http://schemas.microsoft.com/office/word/2010/wordprocessingGroup">
                  <wpg:wgp>
                    <wpg:cNvGrpSpPr/>
                    <wpg:grpSpPr>
                      <a:xfrm>
                        <a:off x="0" y="0"/>
                        <a:ext cx="2242820" cy="364490"/>
                        <a:chOff x="0" y="0"/>
                        <a:chExt cx="2243016" cy="364858"/>
                      </a:xfrm>
                      <a:solidFill>
                        <a:schemeClr val="bg2"/>
                      </a:solidFill>
                    </wpg:grpSpPr>
                    <wps:wsp>
                      <wps:cNvPr id="2" name="Shape 1325"/>
                      <wps:cNvSpPr/>
                      <wps:spPr>
                        <a:xfrm>
                          <a:off x="2208722" y="125726"/>
                          <a:ext cx="34294" cy="149601"/>
                        </a:xfrm>
                        <a:custGeom>
                          <a:avLst/>
                          <a:gdLst/>
                          <a:ahLst/>
                          <a:cxnLst/>
                          <a:rect l="0" t="0" r="0" b="0"/>
                          <a:pathLst>
                            <a:path w="34294" h="149601">
                              <a:moveTo>
                                <a:pt x="0" y="0"/>
                              </a:moveTo>
                              <a:lnTo>
                                <a:pt x="34294" y="0"/>
                              </a:lnTo>
                              <a:lnTo>
                                <a:pt x="34294" y="149601"/>
                              </a:lnTo>
                              <a:lnTo>
                                <a:pt x="0" y="149601"/>
                              </a:lnTo>
                              <a:lnTo>
                                <a:pt x="0" y="0"/>
                              </a:lnTo>
                            </a:path>
                          </a:pathLst>
                        </a:custGeom>
                        <a:grpFill/>
                        <a:ln w="0" cap="flat">
                          <a:solidFill>
                            <a:schemeClr val="bg2"/>
                          </a:solidFill>
                          <a:miter lim="127000"/>
                        </a:ln>
                        <a:effectLst/>
                      </wps:spPr>
                      <wps:bodyPr/>
                    </wps:wsp>
                    <wps:wsp>
                      <wps:cNvPr id="3" name="Shape 11"/>
                      <wps:cNvSpPr/>
                      <wps:spPr>
                        <a:xfrm>
                          <a:off x="528823" y="125726"/>
                          <a:ext cx="57677" cy="148585"/>
                        </a:xfrm>
                        <a:custGeom>
                          <a:avLst/>
                          <a:gdLst/>
                          <a:ahLst/>
                          <a:cxnLst/>
                          <a:rect l="0" t="0" r="0" b="0"/>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grpFill/>
                        <a:ln w="0" cap="flat">
                          <a:solidFill>
                            <a:schemeClr val="bg2"/>
                          </a:solidFill>
                          <a:miter lim="127000"/>
                        </a:ln>
                        <a:effectLst/>
                      </wps:spPr>
                      <wps:bodyPr/>
                    </wps:wsp>
                    <wps:wsp>
                      <wps:cNvPr id="4" name="Shape 12"/>
                      <wps:cNvSpPr/>
                      <wps:spPr>
                        <a:xfrm>
                          <a:off x="586500" y="125726"/>
                          <a:ext cx="57664" cy="101907"/>
                        </a:xfrm>
                        <a:custGeom>
                          <a:avLst/>
                          <a:gdLst/>
                          <a:ahLst/>
                          <a:cxnLst/>
                          <a:rect l="0" t="0" r="0" b="0"/>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grpFill/>
                        <a:ln w="0" cap="flat">
                          <a:solidFill>
                            <a:schemeClr val="bg2"/>
                          </a:solidFill>
                          <a:miter lim="127000"/>
                        </a:ln>
                        <a:effectLst/>
                      </wps:spPr>
                      <wps:bodyPr/>
                    </wps:wsp>
                    <wps:wsp>
                      <wps:cNvPr id="5" name="Shape 14"/>
                      <wps:cNvSpPr/>
                      <wps:spPr>
                        <a:xfrm>
                          <a:off x="699415" y="125726"/>
                          <a:ext cx="58077" cy="148585"/>
                        </a:xfrm>
                        <a:custGeom>
                          <a:avLst/>
                          <a:gdLst/>
                          <a:ahLst/>
                          <a:cxnLst/>
                          <a:rect l="0" t="0" r="0" b="0"/>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grpFill/>
                        <a:ln w="0" cap="flat">
                          <a:solidFill>
                            <a:schemeClr val="bg2"/>
                          </a:solidFill>
                          <a:miter lim="127000"/>
                        </a:ln>
                        <a:effectLst/>
                      </wps:spPr>
                      <wps:bodyPr/>
                    </wps:wsp>
                    <wps:wsp>
                      <wps:cNvPr id="6" name="Shape 15"/>
                      <wps:cNvSpPr/>
                      <wps:spPr>
                        <a:xfrm>
                          <a:off x="757492" y="125726"/>
                          <a:ext cx="63856" cy="148585"/>
                        </a:xfrm>
                        <a:custGeom>
                          <a:avLst/>
                          <a:gdLst/>
                          <a:ahLst/>
                          <a:cxnLst/>
                          <a:rect l="0" t="0" r="0" b="0"/>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grpFill/>
                        <a:ln w="0" cap="flat">
                          <a:solidFill>
                            <a:schemeClr val="bg2"/>
                          </a:solidFill>
                          <a:miter lim="127000"/>
                        </a:ln>
                        <a:effectLst/>
                      </wps:spPr>
                      <wps:bodyPr/>
                    </wps:wsp>
                    <wps:wsp>
                      <wps:cNvPr id="8" name="Shape 17"/>
                      <wps:cNvSpPr/>
                      <wps:spPr>
                        <a:xfrm>
                          <a:off x="877616" y="125726"/>
                          <a:ext cx="107581" cy="148585"/>
                        </a:xfrm>
                        <a:custGeom>
                          <a:avLst/>
                          <a:gdLst/>
                          <a:ahLst/>
                          <a:cxnLst/>
                          <a:rect l="0" t="0" r="0" b="0"/>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grpFill/>
                        <a:ln w="0" cap="flat">
                          <a:solidFill>
                            <a:schemeClr val="bg2"/>
                          </a:solidFill>
                          <a:miter lim="127000"/>
                        </a:ln>
                        <a:effectLst/>
                      </wps:spPr>
                      <wps:bodyPr/>
                    </wps:wsp>
                    <wps:wsp>
                      <wps:cNvPr id="9" name="Shape 19"/>
                      <wps:cNvSpPr/>
                      <wps:spPr>
                        <a:xfrm>
                          <a:off x="1037654" y="122932"/>
                          <a:ext cx="142001" cy="153284"/>
                        </a:xfrm>
                        <a:custGeom>
                          <a:avLst/>
                          <a:gdLst/>
                          <a:ahLst/>
                          <a:cxnLst/>
                          <a:rect l="0" t="0" r="0" b="0"/>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grpFill/>
                        <a:ln w="0" cap="flat">
                          <a:solidFill>
                            <a:schemeClr val="bg2"/>
                          </a:solidFill>
                          <a:miter lim="127000"/>
                        </a:ln>
                        <a:effectLst/>
                      </wps:spPr>
                      <wps:bodyPr/>
                    </wps:wsp>
                    <wps:wsp>
                      <wps:cNvPr id="10" name="Shape 1326"/>
                      <wps:cNvSpPr/>
                      <wps:spPr>
                        <a:xfrm>
                          <a:off x="1226269" y="125726"/>
                          <a:ext cx="38104" cy="148585"/>
                        </a:xfrm>
                        <a:custGeom>
                          <a:avLst/>
                          <a:gdLst/>
                          <a:ahLst/>
                          <a:cxnLst/>
                          <a:rect l="0" t="0" r="0" b="0"/>
                          <a:pathLst>
                            <a:path w="38104" h="148585">
                              <a:moveTo>
                                <a:pt x="0" y="0"/>
                              </a:moveTo>
                              <a:lnTo>
                                <a:pt x="38104" y="0"/>
                              </a:lnTo>
                              <a:lnTo>
                                <a:pt x="38104" y="148585"/>
                              </a:lnTo>
                              <a:lnTo>
                                <a:pt x="0" y="148585"/>
                              </a:lnTo>
                              <a:lnTo>
                                <a:pt x="0" y="0"/>
                              </a:lnTo>
                            </a:path>
                          </a:pathLst>
                        </a:custGeom>
                        <a:grpFill/>
                        <a:ln w="0" cap="flat">
                          <a:solidFill>
                            <a:schemeClr val="bg2"/>
                          </a:solidFill>
                          <a:miter lim="127000"/>
                        </a:ln>
                        <a:effectLst/>
                      </wps:spPr>
                      <wps:bodyPr/>
                    </wps:wsp>
                    <wps:wsp>
                      <wps:cNvPr id="13" name="Shape 23"/>
                      <wps:cNvSpPr/>
                      <wps:spPr>
                        <a:xfrm>
                          <a:off x="1318735" y="123821"/>
                          <a:ext cx="119139" cy="153410"/>
                        </a:xfrm>
                        <a:custGeom>
                          <a:avLst/>
                          <a:gdLst/>
                          <a:ahLst/>
                          <a:cxnLst/>
                          <a:rect l="0" t="0" r="0" b="0"/>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grpFill/>
                        <a:ln w="0" cap="flat">
                          <a:solidFill>
                            <a:schemeClr val="bg2"/>
                          </a:solidFill>
                          <a:miter lim="127000"/>
                        </a:ln>
                        <a:effectLst/>
                      </wps:spPr>
                      <wps:bodyPr/>
                    </wps:wsp>
                    <wps:wsp>
                      <wps:cNvPr id="16" name="Shape 1327"/>
                      <wps:cNvSpPr/>
                      <wps:spPr>
                        <a:xfrm>
                          <a:off x="1489315" y="125726"/>
                          <a:ext cx="37088" cy="148585"/>
                        </a:xfrm>
                        <a:custGeom>
                          <a:avLst/>
                          <a:gdLst/>
                          <a:ahLst/>
                          <a:cxnLst/>
                          <a:rect l="0" t="0" r="0" b="0"/>
                          <a:pathLst>
                            <a:path w="37088" h="148585">
                              <a:moveTo>
                                <a:pt x="0" y="0"/>
                              </a:moveTo>
                              <a:lnTo>
                                <a:pt x="37088" y="0"/>
                              </a:lnTo>
                              <a:lnTo>
                                <a:pt x="37088" y="148585"/>
                              </a:lnTo>
                              <a:lnTo>
                                <a:pt x="0" y="148585"/>
                              </a:lnTo>
                              <a:lnTo>
                                <a:pt x="0" y="0"/>
                              </a:lnTo>
                            </a:path>
                          </a:pathLst>
                        </a:custGeom>
                        <a:grpFill/>
                        <a:ln w="0" cap="flat">
                          <a:solidFill>
                            <a:schemeClr val="bg2"/>
                          </a:solidFill>
                          <a:miter lim="127000"/>
                        </a:ln>
                        <a:effectLst/>
                      </wps:spPr>
                      <wps:bodyPr/>
                    </wps:wsp>
                    <wps:wsp>
                      <wps:cNvPr id="18" name="Shape 27"/>
                      <wps:cNvSpPr/>
                      <wps:spPr>
                        <a:xfrm>
                          <a:off x="1585465" y="122932"/>
                          <a:ext cx="77732" cy="153284"/>
                        </a:xfrm>
                        <a:custGeom>
                          <a:avLst/>
                          <a:gdLst/>
                          <a:ahLst/>
                          <a:cxnLst/>
                          <a:rect l="0" t="0" r="0" b="0"/>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grpFill/>
                        <a:ln w="0" cap="flat">
                          <a:solidFill>
                            <a:schemeClr val="bg2"/>
                          </a:solidFill>
                          <a:miter lim="127000"/>
                        </a:ln>
                        <a:effectLst/>
                      </wps:spPr>
                      <wps:bodyPr/>
                    </wps:wsp>
                    <wps:wsp>
                      <wps:cNvPr id="20" name="Shape 28"/>
                      <wps:cNvSpPr/>
                      <wps:spPr>
                        <a:xfrm>
                          <a:off x="1663197" y="123027"/>
                          <a:ext cx="77606" cy="153104"/>
                        </a:xfrm>
                        <a:custGeom>
                          <a:avLst/>
                          <a:gdLst/>
                          <a:ahLst/>
                          <a:cxnLst/>
                          <a:rect l="0" t="0" r="0" b="0"/>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grpFill/>
                        <a:ln w="0" cap="flat">
                          <a:solidFill>
                            <a:schemeClr val="bg2"/>
                          </a:solidFill>
                          <a:miter lim="127000"/>
                        </a:ln>
                        <a:effectLst/>
                      </wps:spPr>
                      <wps:bodyPr/>
                    </wps:wsp>
                    <wps:wsp>
                      <wps:cNvPr id="21" name="Shape 30"/>
                      <wps:cNvSpPr/>
                      <wps:spPr>
                        <a:xfrm>
                          <a:off x="1784623" y="125726"/>
                          <a:ext cx="132475" cy="148585"/>
                        </a:xfrm>
                        <a:custGeom>
                          <a:avLst/>
                          <a:gdLst/>
                          <a:ahLst/>
                          <a:cxnLst/>
                          <a:rect l="0" t="0" r="0" b="0"/>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grpFill/>
                        <a:ln w="0" cap="flat">
                          <a:solidFill>
                            <a:schemeClr val="bg2"/>
                          </a:solidFill>
                          <a:miter lim="127000"/>
                        </a:ln>
                        <a:effectLst/>
                      </wps:spPr>
                      <wps:bodyPr/>
                    </wps:wsp>
                    <wps:wsp>
                      <wps:cNvPr id="22" name="Shape 32"/>
                      <wps:cNvSpPr/>
                      <wps:spPr>
                        <a:xfrm>
                          <a:off x="2029506" y="125726"/>
                          <a:ext cx="71445" cy="148585"/>
                        </a:xfrm>
                        <a:custGeom>
                          <a:avLst/>
                          <a:gdLst/>
                          <a:ahLst/>
                          <a:cxnLst/>
                          <a:rect l="0" t="0" r="0" b="0"/>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grpFill/>
                        <a:ln w="0" cap="flat">
                          <a:solidFill>
                            <a:schemeClr val="bg2"/>
                          </a:solidFill>
                          <a:miter lim="127000"/>
                        </a:ln>
                        <a:effectLst/>
                      </wps:spPr>
                      <wps:bodyPr/>
                    </wps:wsp>
                    <wps:wsp>
                      <wps:cNvPr id="24" name="Shape 33"/>
                      <wps:cNvSpPr/>
                      <wps:spPr>
                        <a:xfrm>
                          <a:off x="2100951" y="125726"/>
                          <a:ext cx="70556" cy="148585"/>
                        </a:xfrm>
                        <a:custGeom>
                          <a:avLst/>
                          <a:gdLst/>
                          <a:ahLst/>
                          <a:cxnLst/>
                          <a:rect l="0" t="0" r="0" b="0"/>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grpFill/>
                        <a:ln w="0" cap="flat">
                          <a:solidFill>
                            <a:schemeClr val="bg2"/>
                          </a:solidFill>
                          <a:miter lim="127000"/>
                        </a:ln>
                        <a:effectLst/>
                      </wps:spPr>
                      <wps:bodyPr/>
                    </wps:wsp>
                    <wps:wsp>
                      <wps:cNvPr id="25" name="Shape 35"/>
                      <wps:cNvSpPr/>
                      <wps:spPr>
                        <a:xfrm>
                          <a:off x="0" y="0"/>
                          <a:ext cx="396373" cy="364858"/>
                        </a:xfrm>
                        <a:custGeom>
                          <a:avLst/>
                          <a:gdLst/>
                          <a:ahLst/>
                          <a:cxnLst/>
                          <a:rect l="0" t="0" r="0" b="0"/>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grpFill/>
                        <a:ln w="0" cap="flat">
                          <a:solidFill>
                            <a:schemeClr val="bg2"/>
                          </a:solidFill>
                          <a:miter lim="127000"/>
                        </a:ln>
                        <a:effectLst/>
                      </wps:spPr>
                      <wps:bodyPr/>
                    </wps:wsp>
                  </wpg:wgp>
                </a:graphicData>
              </a:graphic>
            </wp:anchor>
          </w:drawing>
        </mc:Choice>
        <mc:Fallback>
          <w:pict>
            <v:group w14:anchorId="493B87E7" id="Group 1" o:spid="_x0000_s1026" style="position:absolute;margin-left:-15.85pt;margin-top:-17.8pt;width:176.6pt;height:28.7pt;z-index:251663360" coordsize="22430,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">
              <v:shape id="Shape 1325" o:spid="_x0000_s1027" style="position:absolute;left:22087;top:1257;width:343;height:1496;visibility:visible;mso-wrap-style:square;v-text-anchor:top" coordsize="34294,1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" path="m,l34294,r,149601l,149601,,e" filled="f" strokecolor="#04cca5 [3214]" strokeweight="0">
                <v:stroke miterlimit="83231f" joinstyle="miter"/>
                <v:path arrowok="t" textboxrect="0,0,34294,149601"/>
              </v:shape>
              <v:shape id="Shape 11" o:spid="_x0000_s1028" style="position:absolute;left:5288;top:1257;width:577;height:1486;visibility:visible;mso-wrap-style:square;v-text-anchor:top" coordsize="576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" path="m,l57677,r,34289l38117,34289r,33400l57677,67689r,34218l57169,101978r-19052,l38117,148585,,148585,,xe" filled="f" strokecolor="#04cca5 [3214]" strokeweight="0">
                <v:stroke miterlimit="83231f" joinstyle="miter"/>
                <v:path arrowok="t" textboxrect="0,0,57677,148585"/>
              </v:shape>
              <v:shape id="Shape 12" o:spid="_x0000_s1029" style="position:absolute;left:5865;top:1257;width:576;height:1019;visibility:visible;mso-wrap-style:square;v-text-anchor:top" coordsize="57664,10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" path="m,l1397,c20449,,34802,4825,43312,15239v9526,9525,14352,21970,14352,36194c57664,66673,52838,78102,43312,87627,38549,92389,32611,95977,25355,98374l,101907,,67689r1397,c12828,67689,19560,60958,19560,51433v,-9525,-7621,-17144,-18163,-17144l,34289,,xe" filled="f" strokecolor="#04cca5 [3214]" strokeweight="0">
                <v:stroke miterlimit="83231f" joinstyle="miter"/>
                <v:path arrowok="t" textboxrect="0,0,57664,101907"/>
              </v:shape>
              <v:shape id="Shape 14" o:spid="_x0000_s1030" style="position:absolute;left:6994;top:1257;width:580;height:1486;visibility:visible;mso-wrap-style:square;v-text-anchor:top" coordsize="580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" path="m,l58077,r,34289l38104,34289r,32384l58077,66673r,43055l52330,99056r-14226,l38104,148585,,148585,,xe" filled="f" strokecolor="#04cca5 [3214]" strokeweight="0">
                <v:stroke miterlimit="83231f" joinstyle="miter"/>
                <v:path arrowok="t" textboxrect="0,0,58077,148585"/>
              </v:shape>
              <v:shape id="Shape 15" o:spid="_x0000_s1031" style="position:absolute;left:7574;top:1257;width:639;height:1486;visibility:visible;mso-wrap-style:square;v-text-anchor:top" coordsize="638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" path="m,l3779,c21942,,35278,4825,44804,14350v9526,8509,13337,20955,13337,35178c58141,67689,49504,84833,31468,93342r32388,55243l20926,148585,,109728,,66673r1873,c26641,67689,24736,32383,3779,34289l,34289,,xe" filled="f" strokecolor="#04cca5 [3214]" strokeweight="0">
                <v:stroke miterlimit="83231f" joinstyle="miter"/>
                <v:path arrowok="t" textboxrect="0,0,63856,148585"/>
              </v:shape>
              <v:shape id="Shape 17" o:spid="_x0000_s1032" style="position:absolute;left:8776;top:1257;width:1075;height:1486;visibility:visible;mso-wrap-style:square;v-text-anchor:top" coordsize="107581,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" path="m,l107581,r,34289l38104,34289r,21970l101865,56259r,35178l38104,91437r,21970l106692,113407r,35178l,148585,,xe" filled="f" strokecolor="#04cca5 [3214]" strokeweight="0">
                <v:stroke miterlimit="83231f" joinstyle="miter"/>
                <v:path arrowok="t" textboxrect="0,0,107581,148585"/>
              </v:shape>
              <v:shape id="Shape 19" o:spid="_x0000_s1033" style="position:absolute;left:10376;top:1229;width:1420;height:1533;visibility:visible;mso-wrap-style:square;v-text-anchor:top" coordsize="142001,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" path="m76208,v26673,,50552,11429,63888,29463l116218,54226c104786,41908,92466,36193,79130,36193v-11432,,-21085,3810,-28706,11430c42804,55242,38993,65656,38993,77086v,11430,3811,20954,11431,29590c58045,114296,67698,118106,79130,118106v14225,,26673,-6731,38104,-19050l142001,122804v-6731,8636,-16257,16257,-27688,21970c102881,150489,90561,153284,76208,153284v-21973,,-40009,-6605,-54362,-20955c6604,118106,,99945,,77086,,55242,7621,36193,21846,21843,37088,7619,55251,,76208,xe" filled="f" strokecolor="#04cca5 [3214]" strokeweight="0">
                <v:stroke miterlimit="83231f" joinstyle="miter"/>
                <v:path arrowok="t" textboxrect="0,0,142001,153284"/>
              </v:shape>
              <v:shape id="Shape 1326" o:spid="_x0000_s1034" style="position:absolute;left:12262;top:1257;width:381;height:1486;visibility:visible;mso-wrap-style:square;v-text-anchor:top" coordsize="38104,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" path="m,l38104,r,148585l,148585,,e" filled="f" strokecolor="#04cca5 [3214]" strokeweight="0">
                <v:stroke miterlimit="83231f" joinstyle="miter"/>
                <v:path arrowok="t" textboxrect="0,0,38104,148585"/>
              </v:shape>
              <v:shape id="Shape 23" o:spid="_x0000_s1035" style="position:absolute;left:13187;top:1238;width:1191;height:1534;visibility:visible;mso-wrap-style:square;v-text-anchor:top" coordsize="11913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" path="m63888,v20957,,38104,5714,53346,18160l99071,46734c90561,40003,76209,34288,64777,34288v-10415,,-16131,4826,-16131,9525c48646,48639,53346,52449,60967,55242r12447,4826c81035,62862,86751,64767,90561,66673v19052,7619,28578,20953,28578,39114c119139,119121,113424,130551,102882,140076v-10416,8508,-24768,13334,-42804,13334c35183,153410,15242,144774,,127630l19052,100072v12321,12319,26673,18033,41915,18033c69604,118105,77225,114296,77225,107692v,-4826,-3811,-8636,-11432,-11430l52457,91436c43820,88643,37088,86737,33278,83817,17147,75308,8510,62862,8510,45718v,-13335,5716,-24764,16258,-33273c34294,3810,47630,,63888,xe" filled="f" strokecolor="#04cca5 [3214]" strokeweight="0">
                <v:stroke miterlimit="83231f" joinstyle="miter"/>
                <v:path arrowok="t" textboxrect="0,0,119139,153410"/>
              </v:shape>
              <v:shape id="Shape 1327" o:spid="_x0000_s1036" style="position:absolute;left:14893;top:1257;width:371;height:1486;visibility:visible;mso-wrap-style:square;v-text-anchor:top" coordsize="37088,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" path="m,l37088,r,148585l,148585,,e" filled="f" strokecolor="#04cca5 [3214]" strokeweight="0">
                <v:stroke miterlimit="83231f" joinstyle="miter"/>
                <v:path arrowok="t" textboxrect="0,0,37088,148585"/>
              </v:shape>
              <v:shape id="Shape 27" o:spid="_x0000_s1037" style="position:absolute;left:15854;top:1229;width:777;height:1533;visibility:visible;mso-wrap-style:square;v-text-anchor:top" coordsize="77732,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" path="m77225,r507,95l77732,37179r-507,-97c66809,37082,57283,40892,49662,48513,42931,56131,39120,65656,39120,77086v,11430,3811,20954,10542,28574c57283,112391,66809,116201,77225,116201r507,-90l77732,153198r-507,86c55378,153284,37215,146679,21973,131440,7621,117090,,99056,,77086,,55242,7621,37082,21973,22859,37215,7619,55378,,77225,xe" filled="f" strokecolor="#04cca5 [3214]" strokeweight="0">
                <v:stroke miterlimit="83231f" joinstyle="miter"/>
                <v:path arrowok="t" textboxrect="0,0,77732,153284"/>
              </v:shape>
              <v:shape id="Shape 28" o:spid="_x0000_s1038" style="position:absolute;left:16631;top:1230;width:777;height:1531;visibility:visible;mso-wrap-style:square;v-text-anchor:top" coordsize="77606,15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" path="m,l30150,5620v9415,3810,17989,9524,25609,17144c69985,36988,77606,55148,77606,76991v,21970,-7621,40004,-21847,54354c48139,138965,39787,144426,30483,147982l,153104,,116017r15099,-2657c19751,111566,23815,108931,27181,105566,34802,97945,38612,88421,38612,76991v,-11429,-3810,-20954,-11431,-28573c23371,44608,19084,41750,14432,39845l,37085,,xe" filled="f" strokecolor="#04cca5 [3214]" strokeweight="0">
                <v:stroke miterlimit="83231f" joinstyle="miter"/>
                <v:path arrowok="t" textboxrect="0,0,77606,153104"/>
              </v:shape>
              <v:shape id="Shape 30" o:spid="_x0000_s1039" style="position:absolute;left:17846;top:1257;width:1324;height:1486;visibility:visible;mso-wrap-style:square;v-text-anchor:top" coordsize="13247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" path="m,l26673,,95260,81023,95260,r37215,l132475,148585r-27562,l37215,68578r,80007l,148585,,xe" filled="f" strokecolor="#04cca5 [3214]" strokeweight="0">
                <v:stroke miterlimit="83231f" joinstyle="miter"/>
                <v:path arrowok="t" textboxrect="0,0,132475,148585"/>
              </v:shape>
              <v:shape id="Shape 32" o:spid="_x0000_s1040" style="position:absolute;left:20295;top:1257;width:714;height:1486;visibility:visible;mso-wrap-style:square;v-text-anchor:top" coordsize="7144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" path="m54362,l71445,r,45024l57156,88643r14289,l71445,121027r-23815,l38104,148585,,148585,54362,xe" filled="f" strokecolor="#04cca5 [3214]" strokeweight="0">
                <v:stroke miterlimit="83231f" joinstyle="miter"/>
                <v:path arrowok="t" textboxrect="0,0,71445,148585"/>
              </v:shape>
              <v:shape id="Shape 33" o:spid="_x0000_s1041" style="position:absolute;left:21009;top:1257;width:706;height:1486;visibility:visible;mso-wrap-style:square;v-text-anchor:top" coordsize="705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" path="m,l17210,,70556,148585r-39120,l22926,121027,,121027,,88643r14289,l64,44830,,45024,,xe" filled="f" strokecolor="#04cca5 [3214]" strokeweight="0">
                <v:stroke miterlimit="83231f" joinstyle="miter"/>
                <v:path arrowok="t" textboxrect="0,0,70556,148585"/>
              </v:shape>
              <v:shape id="Shape 35" o:spid="_x0000_s1042" style="position:absolute;width:3963;height:3648;visibility:visible;mso-wrap-style:square;v-text-anchor:top" coordsize="396373,36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" path="m182938,r33354,14350l216292,89532,379226,13335v7620,-3810,17147,1904,17147,11429l396373,101978v,52321,-30484,99055,-78127,120010l316341,222877r-63837,29591l252504,216274r52406,-24765c340156,175254,363031,140965,363031,101978r,-44830l244870,112391v-18099,8636,-28578,25780,-28578,45718l217245,347714r-34307,17144l182938,267706,78126,221988c31436,201033,,154299,,101978l,22859c,15239,8573,9525,16194,12446l144834,71499r,36193l33341,56259r,45719c33341,140965,56216,176270,91463,191509r91475,40004l182938,xe" filled="f" strokecolor="#04cca5 [3214]" strokeweight="0">
                <v:stroke miterlimit="83231f" joinstyle="miter"/>
                <v:path arrowok="t" textboxrect="0,0,396373,36485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78E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0F2"/>
    <w:multiLevelType w:val="multilevel"/>
    <w:tmpl w:val="753E4E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A3BDB"/>
    <w:multiLevelType w:val="multilevel"/>
    <w:tmpl w:val="05D28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4A339B"/>
    <w:multiLevelType w:val="multilevel"/>
    <w:tmpl w:val="F0B86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E971B4"/>
    <w:multiLevelType w:val="multilevel"/>
    <w:tmpl w:val="CC58F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91D7E"/>
    <w:multiLevelType w:val="multilevel"/>
    <w:tmpl w:val="3F88B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46C96"/>
    <w:multiLevelType w:val="multilevel"/>
    <w:tmpl w:val="F8C2A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E12716"/>
    <w:multiLevelType w:val="multilevel"/>
    <w:tmpl w:val="4DB2F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9700FD"/>
    <w:multiLevelType w:val="multilevel"/>
    <w:tmpl w:val="18EC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DC1088"/>
    <w:multiLevelType w:val="multilevel"/>
    <w:tmpl w:val="DEB09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227574"/>
    <w:multiLevelType w:val="multilevel"/>
    <w:tmpl w:val="7E88B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700EE2"/>
    <w:multiLevelType w:val="multilevel"/>
    <w:tmpl w:val="32A2B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AD60C5"/>
    <w:multiLevelType w:val="multilevel"/>
    <w:tmpl w:val="6316A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D9E6BFF"/>
    <w:multiLevelType w:val="multilevel"/>
    <w:tmpl w:val="AA365B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BE3F43"/>
    <w:multiLevelType w:val="multilevel"/>
    <w:tmpl w:val="456CC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648CA"/>
    <w:multiLevelType w:val="multilevel"/>
    <w:tmpl w:val="78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225F"/>
    <w:multiLevelType w:val="multilevel"/>
    <w:tmpl w:val="BA306C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27391D"/>
    <w:multiLevelType w:val="multilevel"/>
    <w:tmpl w:val="B010C3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765ACE"/>
    <w:multiLevelType w:val="multilevel"/>
    <w:tmpl w:val="BAEA5C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1F73526"/>
    <w:multiLevelType w:val="multilevel"/>
    <w:tmpl w:val="570E4D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451B19"/>
    <w:multiLevelType w:val="multilevel"/>
    <w:tmpl w:val="754677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553308"/>
    <w:multiLevelType w:val="multilevel"/>
    <w:tmpl w:val="0FB02C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80F72CE"/>
    <w:multiLevelType w:val="multilevel"/>
    <w:tmpl w:val="3BEACE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A16C9"/>
    <w:multiLevelType w:val="multilevel"/>
    <w:tmpl w:val="9438A4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A20374B"/>
    <w:multiLevelType w:val="multilevel"/>
    <w:tmpl w:val="E1562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D3336B1"/>
    <w:multiLevelType w:val="multilevel"/>
    <w:tmpl w:val="DCA43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DC17022"/>
    <w:multiLevelType w:val="multilevel"/>
    <w:tmpl w:val="13400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DCB73D1"/>
    <w:multiLevelType w:val="multilevel"/>
    <w:tmpl w:val="DB5298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E802EBE"/>
    <w:multiLevelType w:val="multilevel"/>
    <w:tmpl w:val="DCDA2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D425B0"/>
    <w:multiLevelType w:val="multilevel"/>
    <w:tmpl w:val="370667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0130BC9"/>
    <w:multiLevelType w:val="multilevel"/>
    <w:tmpl w:val="88AEE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85779D"/>
    <w:multiLevelType w:val="multilevel"/>
    <w:tmpl w:val="49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C05F4"/>
    <w:multiLevelType w:val="multilevel"/>
    <w:tmpl w:val="0C0EEE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9F1468"/>
    <w:multiLevelType w:val="multilevel"/>
    <w:tmpl w:val="07DE4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E6A2B0B"/>
    <w:multiLevelType w:val="multilevel"/>
    <w:tmpl w:val="DB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3191E"/>
    <w:multiLevelType w:val="multilevel"/>
    <w:tmpl w:val="961069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3DC0EC0"/>
    <w:multiLevelType w:val="multilevel"/>
    <w:tmpl w:val="276E2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B5E24A2"/>
    <w:multiLevelType w:val="multilevel"/>
    <w:tmpl w:val="04F0AB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341EF3"/>
    <w:multiLevelType w:val="multilevel"/>
    <w:tmpl w:val="217E2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8A91F6B"/>
    <w:multiLevelType w:val="multilevel"/>
    <w:tmpl w:val="EF1A7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ABD3E67"/>
    <w:multiLevelType w:val="multilevel"/>
    <w:tmpl w:val="73BED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45429DB"/>
    <w:multiLevelType w:val="multilevel"/>
    <w:tmpl w:val="D2BC2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4D6238F"/>
    <w:multiLevelType w:val="multilevel"/>
    <w:tmpl w:val="B79C5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5AE1E99"/>
    <w:multiLevelType w:val="multilevel"/>
    <w:tmpl w:val="1D42B7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70D191C"/>
    <w:multiLevelType w:val="multilevel"/>
    <w:tmpl w:val="FEC2D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BAB5BC0"/>
    <w:multiLevelType w:val="multilevel"/>
    <w:tmpl w:val="431ABE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6EC2529C"/>
    <w:multiLevelType w:val="multilevel"/>
    <w:tmpl w:val="BDC22F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13E1DD0"/>
    <w:multiLevelType w:val="multilevel"/>
    <w:tmpl w:val="C80E4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4D85586"/>
    <w:multiLevelType w:val="multilevel"/>
    <w:tmpl w:val="852C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A21D7"/>
    <w:multiLevelType w:val="multilevel"/>
    <w:tmpl w:val="BB0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C4EB6"/>
    <w:multiLevelType w:val="multilevel"/>
    <w:tmpl w:val="BE30B8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691590">
    <w:abstractNumId w:val="0"/>
  </w:num>
  <w:num w:numId="2" w16cid:durableId="510342360">
    <w:abstractNumId w:val="31"/>
  </w:num>
  <w:num w:numId="3" w16cid:durableId="2145655219">
    <w:abstractNumId w:val="34"/>
  </w:num>
  <w:num w:numId="4" w16cid:durableId="1566984980">
    <w:abstractNumId w:val="15"/>
  </w:num>
  <w:num w:numId="5" w16cid:durableId="1477641869">
    <w:abstractNumId w:val="49"/>
  </w:num>
  <w:num w:numId="6" w16cid:durableId="441456689">
    <w:abstractNumId w:val="48"/>
  </w:num>
  <w:num w:numId="7" w16cid:durableId="703291319">
    <w:abstractNumId w:val="42"/>
  </w:num>
  <w:num w:numId="8" w16cid:durableId="1027294712">
    <w:abstractNumId w:val="26"/>
  </w:num>
  <w:num w:numId="9" w16cid:durableId="1017929735">
    <w:abstractNumId w:val="43"/>
  </w:num>
  <w:num w:numId="10" w16cid:durableId="866795446">
    <w:abstractNumId w:val="30"/>
  </w:num>
  <w:num w:numId="11" w16cid:durableId="647589522">
    <w:abstractNumId w:val="46"/>
  </w:num>
  <w:num w:numId="12" w16cid:durableId="384910576">
    <w:abstractNumId w:val="20"/>
  </w:num>
  <w:num w:numId="13" w16cid:durableId="2024362162">
    <w:abstractNumId w:val="24"/>
  </w:num>
  <w:num w:numId="14" w16cid:durableId="994727165">
    <w:abstractNumId w:val="28"/>
  </w:num>
  <w:num w:numId="15" w16cid:durableId="1146164879">
    <w:abstractNumId w:val="7"/>
  </w:num>
  <w:num w:numId="16" w16cid:durableId="636643306">
    <w:abstractNumId w:val="29"/>
  </w:num>
  <w:num w:numId="17" w16cid:durableId="1314455685">
    <w:abstractNumId w:val="2"/>
  </w:num>
  <w:num w:numId="18" w16cid:durableId="2053769435">
    <w:abstractNumId w:val="32"/>
  </w:num>
  <w:num w:numId="19" w16cid:durableId="441263517">
    <w:abstractNumId w:val="9"/>
  </w:num>
  <w:num w:numId="20" w16cid:durableId="1028946901">
    <w:abstractNumId w:val="14"/>
  </w:num>
  <w:num w:numId="21" w16cid:durableId="1790512838">
    <w:abstractNumId w:val="40"/>
  </w:num>
  <w:num w:numId="22" w16cid:durableId="639190928">
    <w:abstractNumId w:val="11"/>
  </w:num>
  <w:num w:numId="23" w16cid:durableId="1076825944">
    <w:abstractNumId w:val="18"/>
  </w:num>
  <w:num w:numId="24" w16cid:durableId="1607687372">
    <w:abstractNumId w:val="45"/>
  </w:num>
  <w:num w:numId="25" w16cid:durableId="536628309">
    <w:abstractNumId w:val="22"/>
  </w:num>
  <w:num w:numId="26" w16cid:durableId="1228566861">
    <w:abstractNumId w:val="4"/>
  </w:num>
  <w:num w:numId="27" w16cid:durableId="2039233244">
    <w:abstractNumId w:val="21"/>
  </w:num>
  <w:num w:numId="28" w16cid:durableId="1447700783">
    <w:abstractNumId w:val="36"/>
  </w:num>
  <w:num w:numId="29" w16cid:durableId="2117283295">
    <w:abstractNumId w:val="5"/>
  </w:num>
  <w:num w:numId="30" w16cid:durableId="1966499409">
    <w:abstractNumId w:val="47"/>
  </w:num>
  <w:num w:numId="31" w16cid:durableId="593707087">
    <w:abstractNumId w:val="19"/>
  </w:num>
  <w:num w:numId="32" w16cid:durableId="2136365209">
    <w:abstractNumId w:val="41"/>
  </w:num>
  <w:num w:numId="33" w16cid:durableId="1214274959">
    <w:abstractNumId w:val="25"/>
  </w:num>
  <w:num w:numId="34" w16cid:durableId="688413535">
    <w:abstractNumId w:val="12"/>
  </w:num>
  <w:num w:numId="35" w16cid:durableId="59331411">
    <w:abstractNumId w:val="23"/>
  </w:num>
  <w:num w:numId="36" w16cid:durableId="140510543">
    <w:abstractNumId w:val="17"/>
  </w:num>
  <w:num w:numId="37" w16cid:durableId="2141414810">
    <w:abstractNumId w:val="35"/>
  </w:num>
  <w:num w:numId="38" w16cid:durableId="484317090">
    <w:abstractNumId w:val="39"/>
  </w:num>
  <w:num w:numId="39" w16cid:durableId="677314602">
    <w:abstractNumId w:val="13"/>
  </w:num>
  <w:num w:numId="40" w16cid:durableId="1345010287">
    <w:abstractNumId w:val="6"/>
  </w:num>
  <w:num w:numId="41" w16cid:durableId="1368721917">
    <w:abstractNumId w:val="37"/>
  </w:num>
  <w:num w:numId="42" w16cid:durableId="811679034">
    <w:abstractNumId w:val="50"/>
  </w:num>
  <w:num w:numId="43" w16cid:durableId="1978292083">
    <w:abstractNumId w:val="8"/>
  </w:num>
  <w:num w:numId="44" w16cid:durableId="1932738072">
    <w:abstractNumId w:val="33"/>
  </w:num>
  <w:num w:numId="45" w16cid:durableId="895973414">
    <w:abstractNumId w:val="38"/>
  </w:num>
  <w:num w:numId="46" w16cid:durableId="1031153318">
    <w:abstractNumId w:val="16"/>
  </w:num>
  <w:num w:numId="47" w16cid:durableId="5716427">
    <w:abstractNumId w:val="1"/>
  </w:num>
  <w:num w:numId="48" w16cid:durableId="1715344762">
    <w:abstractNumId w:val="44"/>
  </w:num>
  <w:num w:numId="49" w16cid:durableId="1540779978">
    <w:abstractNumId w:val="3"/>
  </w:num>
  <w:num w:numId="50" w16cid:durableId="1440877339">
    <w:abstractNumId w:val="10"/>
  </w:num>
  <w:num w:numId="51" w16cid:durableId="2018533159">
    <w:abstractNumId w:val="2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D0E"/>
    <w:rsid w:val="00000580"/>
    <w:rsid w:val="00037C5C"/>
    <w:rsid w:val="00047F4B"/>
    <w:rsid w:val="00064896"/>
    <w:rsid w:val="000667B7"/>
    <w:rsid w:val="000836BB"/>
    <w:rsid w:val="00090E54"/>
    <w:rsid w:val="000A6FCE"/>
    <w:rsid w:val="000B36DF"/>
    <w:rsid w:val="000C11D8"/>
    <w:rsid w:val="000C19EC"/>
    <w:rsid w:val="000D0C4C"/>
    <w:rsid w:val="000D0D2B"/>
    <w:rsid w:val="000D2336"/>
    <w:rsid w:val="000E0010"/>
    <w:rsid w:val="000E47AD"/>
    <w:rsid w:val="000F028D"/>
    <w:rsid w:val="000F34A0"/>
    <w:rsid w:val="000F498A"/>
    <w:rsid w:val="000F50ED"/>
    <w:rsid w:val="0010152B"/>
    <w:rsid w:val="00102957"/>
    <w:rsid w:val="0010470B"/>
    <w:rsid w:val="00107263"/>
    <w:rsid w:val="00110AB8"/>
    <w:rsid w:val="00125028"/>
    <w:rsid w:val="00133F68"/>
    <w:rsid w:val="0013584D"/>
    <w:rsid w:val="00136BFA"/>
    <w:rsid w:val="00151943"/>
    <w:rsid w:val="00153F07"/>
    <w:rsid w:val="00161461"/>
    <w:rsid w:val="0016398D"/>
    <w:rsid w:val="00173D2D"/>
    <w:rsid w:val="00182952"/>
    <w:rsid w:val="00185713"/>
    <w:rsid w:val="001A3466"/>
    <w:rsid w:val="001A6CF8"/>
    <w:rsid w:val="001B433B"/>
    <w:rsid w:val="001C2B6D"/>
    <w:rsid w:val="001C39DC"/>
    <w:rsid w:val="001C5447"/>
    <w:rsid w:val="001D1815"/>
    <w:rsid w:val="001D52E5"/>
    <w:rsid w:val="001E5F0D"/>
    <w:rsid w:val="002209F6"/>
    <w:rsid w:val="00221673"/>
    <w:rsid w:val="002401DA"/>
    <w:rsid w:val="00246DA6"/>
    <w:rsid w:val="00251B72"/>
    <w:rsid w:val="00256CC7"/>
    <w:rsid w:val="00257391"/>
    <w:rsid w:val="002603A3"/>
    <w:rsid w:val="002757A0"/>
    <w:rsid w:val="0028561F"/>
    <w:rsid w:val="002867A8"/>
    <w:rsid w:val="00286EAB"/>
    <w:rsid w:val="00290AC6"/>
    <w:rsid w:val="00297B21"/>
    <w:rsid w:val="002B21D8"/>
    <w:rsid w:val="002B4049"/>
    <w:rsid w:val="002C1E2D"/>
    <w:rsid w:val="002D59D0"/>
    <w:rsid w:val="002E0A7F"/>
    <w:rsid w:val="002E58FB"/>
    <w:rsid w:val="00304B57"/>
    <w:rsid w:val="00312490"/>
    <w:rsid w:val="00312C06"/>
    <w:rsid w:val="0031746F"/>
    <w:rsid w:val="00330E89"/>
    <w:rsid w:val="0034481B"/>
    <w:rsid w:val="00347AE4"/>
    <w:rsid w:val="00352E30"/>
    <w:rsid w:val="003540B9"/>
    <w:rsid w:val="00355404"/>
    <w:rsid w:val="00355EDD"/>
    <w:rsid w:val="00376605"/>
    <w:rsid w:val="00393663"/>
    <w:rsid w:val="003A2C36"/>
    <w:rsid w:val="003A3421"/>
    <w:rsid w:val="003C084D"/>
    <w:rsid w:val="003E5B99"/>
    <w:rsid w:val="003E6152"/>
    <w:rsid w:val="003E7618"/>
    <w:rsid w:val="00400546"/>
    <w:rsid w:val="00406678"/>
    <w:rsid w:val="00407CFD"/>
    <w:rsid w:val="0041325B"/>
    <w:rsid w:val="004223D7"/>
    <w:rsid w:val="00454D3E"/>
    <w:rsid w:val="00484F96"/>
    <w:rsid w:val="00486D20"/>
    <w:rsid w:val="00487950"/>
    <w:rsid w:val="004B04CD"/>
    <w:rsid w:val="004C05C9"/>
    <w:rsid w:val="004C1F9F"/>
    <w:rsid w:val="004F7D42"/>
    <w:rsid w:val="00501620"/>
    <w:rsid w:val="00501D94"/>
    <w:rsid w:val="00507BEF"/>
    <w:rsid w:val="00511C66"/>
    <w:rsid w:val="00525664"/>
    <w:rsid w:val="00531C3B"/>
    <w:rsid w:val="005322F5"/>
    <w:rsid w:val="0053434B"/>
    <w:rsid w:val="005657FD"/>
    <w:rsid w:val="0057254B"/>
    <w:rsid w:val="00575372"/>
    <w:rsid w:val="00576FBA"/>
    <w:rsid w:val="00577FAF"/>
    <w:rsid w:val="00594B1D"/>
    <w:rsid w:val="005A1A19"/>
    <w:rsid w:val="005B0898"/>
    <w:rsid w:val="005C33B1"/>
    <w:rsid w:val="005D3568"/>
    <w:rsid w:val="005E14F0"/>
    <w:rsid w:val="005F161E"/>
    <w:rsid w:val="005F53E4"/>
    <w:rsid w:val="00600C82"/>
    <w:rsid w:val="00610C02"/>
    <w:rsid w:val="00615EE6"/>
    <w:rsid w:val="00616620"/>
    <w:rsid w:val="006234A3"/>
    <w:rsid w:val="0062585A"/>
    <w:rsid w:val="006275A8"/>
    <w:rsid w:val="00657FA6"/>
    <w:rsid w:val="006715CE"/>
    <w:rsid w:val="0067695A"/>
    <w:rsid w:val="0068102B"/>
    <w:rsid w:val="00681703"/>
    <w:rsid w:val="006A5424"/>
    <w:rsid w:val="006C1FE8"/>
    <w:rsid w:val="006C3ED7"/>
    <w:rsid w:val="006C5EBA"/>
    <w:rsid w:val="006D3F79"/>
    <w:rsid w:val="006D5D57"/>
    <w:rsid w:val="006E440D"/>
    <w:rsid w:val="006E6624"/>
    <w:rsid w:val="006F7535"/>
    <w:rsid w:val="00702E61"/>
    <w:rsid w:val="00720634"/>
    <w:rsid w:val="0072273E"/>
    <w:rsid w:val="00730F09"/>
    <w:rsid w:val="007460CF"/>
    <w:rsid w:val="0075038E"/>
    <w:rsid w:val="00753C5A"/>
    <w:rsid w:val="00756B73"/>
    <w:rsid w:val="0075709A"/>
    <w:rsid w:val="0076430B"/>
    <w:rsid w:val="00775386"/>
    <w:rsid w:val="00777527"/>
    <w:rsid w:val="0078487A"/>
    <w:rsid w:val="00792BEA"/>
    <w:rsid w:val="007C3C7A"/>
    <w:rsid w:val="007C68DF"/>
    <w:rsid w:val="007E5AE5"/>
    <w:rsid w:val="0082762B"/>
    <w:rsid w:val="008317B7"/>
    <w:rsid w:val="008330D8"/>
    <w:rsid w:val="008525A1"/>
    <w:rsid w:val="008538B3"/>
    <w:rsid w:val="008627E6"/>
    <w:rsid w:val="008722DD"/>
    <w:rsid w:val="00882B17"/>
    <w:rsid w:val="0089527B"/>
    <w:rsid w:val="008A0F3E"/>
    <w:rsid w:val="008A1EAC"/>
    <w:rsid w:val="008D0CD5"/>
    <w:rsid w:val="008E0709"/>
    <w:rsid w:val="008E3528"/>
    <w:rsid w:val="008F717E"/>
    <w:rsid w:val="009202C1"/>
    <w:rsid w:val="009251A6"/>
    <w:rsid w:val="00935898"/>
    <w:rsid w:val="0095180E"/>
    <w:rsid w:val="00951A33"/>
    <w:rsid w:val="009561D8"/>
    <w:rsid w:val="009734D2"/>
    <w:rsid w:val="00974185"/>
    <w:rsid w:val="009836BF"/>
    <w:rsid w:val="00987BEE"/>
    <w:rsid w:val="009C0BCA"/>
    <w:rsid w:val="009D5BAE"/>
    <w:rsid w:val="009E2DB0"/>
    <w:rsid w:val="009F1111"/>
    <w:rsid w:val="00A12364"/>
    <w:rsid w:val="00A21C42"/>
    <w:rsid w:val="00A53E25"/>
    <w:rsid w:val="00A541F4"/>
    <w:rsid w:val="00A5742B"/>
    <w:rsid w:val="00A653ED"/>
    <w:rsid w:val="00A74FE2"/>
    <w:rsid w:val="00A87208"/>
    <w:rsid w:val="00AA5B29"/>
    <w:rsid w:val="00AA7661"/>
    <w:rsid w:val="00AB1119"/>
    <w:rsid w:val="00AC0F16"/>
    <w:rsid w:val="00AC6282"/>
    <w:rsid w:val="00AD40DB"/>
    <w:rsid w:val="00B001FA"/>
    <w:rsid w:val="00B00E59"/>
    <w:rsid w:val="00B572D8"/>
    <w:rsid w:val="00B70577"/>
    <w:rsid w:val="00B845F4"/>
    <w:rsid w:val="00B964B4"/>
    <w:rsid w:val="00B96E35"/>
    <w:rsid w:val="00BA2317"/>
    <w:rsid w:val="00BA6DDA"/>
    <w:rsid w:val="00BB301F"/>
    <w:rsid w:val="00BB5381"/>
    <w:rsid w:val="00BC366E"/>
    <w:rsid w:val="00BC49D5"/>
    <w:rsid w:val="00BC657E"/>
    <w:rsid w:val="00BD41A1"/>
    <w:rsid w:val="00BE798A"/>
    <w:rsid w:val="00BE7FA5"/>
    <w:rsid w:val="00C01522"/>
    <w:rsid w:val="00C24062"/>
    <w:rsid w:val="00C245F3"/>
    <w:rsid w:val="00C4100A"/>
    <w:rsid w:val="00C47184"/>
    <w:rsid w:val="00C52B9A"/>
    <w:rsid w:val="00C65A2C"/>
    <w:rsid w:val="00C70548"/>
    <w:rsid w:val="00C81997"/>
    <w:rsid w:val="00C87876"/>
    <w:rsid w:val="00CA2DAE"/>
    <w:rsid w:val="00CA6250"/>
    <w:rsid w:val="00CC5EDE"/>
    <w:rsid w:val="00CD2D82"/>
    <w:rsid w:val="00CF332B"/>
    <w:rsid w:val="00D00328"/>
    <w:rsid w:val="00D030C6"/>
    <w:rsid w:val="00D22F64"/>
    <w:rsid w:val="00D30663"/>
    <w:rsid w:val="00D31A84"/>
    <w:rsid w:val="00D35D0E"/>
    <w:rsid w:val="00D35F35"/>
    <w:rsid w:val="00D42AD8"/>
    <w:rsid w:val="00D87FDD"/>
    <w:rsid w:val="00D9627F"/>
    <w:rsid w:val="00DC5DB0"/>
    <w:rsid w:val="00DC7098"/>
    <w:rsid w:val="00DD6478"/>
    <w:rsid w:val="00DE73A1"/>
    <w:rsid w:val="00E110EF"/>
    <w:rsid w:val="00E25C7C"/>
    <w:rsid w:val="00E37446"/>
    <w:rsid w:val="00E46EB6"/>
    <w:rsid w:val="00E50F47"/>
    <w:rsid w:val="00E661F8"/>
    <w:rsid w:val="00E70AE4"/>
    <w:rsid w:val="00E73AD6"/>
    <w:rsid w:val="00E93729"/>
    <w:rsid w:val="00E97CAF"/>
    <w:rsid w:val="00E97F96"/>
    <w:rsid w:val="00EA691C"/>
    <w:rsid w:val="00EB26F7"/>
    <w:rsid w:val="00EB27B7"/>
    <w:rsid w:val="00F070F8"/>
    <w:rsid w:val="00F17A69"/>
    <w:rsid w:val="00F25998"/>
    <w:rsid w:val="00F323FE"/>
    <w:rsid w:val="00F33EEC"/>
    <w:rsid w:val="00F5769A"/>
    <w:rsid w:val="00F6236A"/>
    <w:rsid w:val="00F715BD"/>
    <w:rsid w:val="00F721AC"/>
    <w:rsid w:val="00F73D01"/>
    <w:rsid w:val="00F857AA"/>
    <w:rsid w:val="00F905DB"/>
    <w:rsid w:val="00FA630C"/>
    <w:rsid w:val="00FB0D48"/>
    <w:rsid w:val="00FB3B74"/>
    <w:rsid w:val="00FB7D19"/>
    <w:rsid w:val="00FE6968"/>
    <w:rsid w:val="00FF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46D4371"/>
  <w15:docId w15:val="{FDA02DF0-934A-4D36-B592-6ADFDBDC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A002857"/>
  </w:style>
  <w:style w:type="paragraph" w:styleId="Heading1">
    <w:name w:val="heading 1"/>
    <w:basedOn w:val="Normal"/>
    <w:next w:val="Normal"/>
    <w:link w:val="Heading1Char"/>
    <w:uiPriority w:val="9"/>
    <w:qFormat/>
    <w:rsid w:val="00C24062"/>
    <w:pPr>
      <w:pBdr>
        <w:top w:val="single" w:sz="24" w:space="0" w:color="FF69B4" w:themeColor="background2" w:themeShade="BF"/>
        <w:left w:val="single" w:sz="24" w:space="0" w:color="FF69B4" w:themeColor="background2" w:themeShade="BF"/>
        <w:bottom w:val="single" w:sz="24" w:space="0" w:color="FF69B4" w:themeColor="background2" w:themeShade="BF"/>
        <w:right w:val="single" w:sz="24" w:space="0" w:color="FF69B4" w:themeColor="background2" w:themeShade="BF"/>
      </w:pBdr>
      <w:shd w:val="clear" w:color="auto" w:fill="FF69B4" w:themeFill="background2" w:themeFillShade="BF"/>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hd w:val="clear" w:color="auto" w:fill="FFFFFF" w:themeFill="background1"/>
      <w:spacing w:after="0"/>
      <w:outlineLvl w:val="1"/>
    </w:pPr>
    <w:rPr>
      <w:b/>
      <w:caps/>
      <w:color w:val="FF69B4"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FF69B4" w:themeColor="accent1"/>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FF69B4" w:themeColor="accent1"/>
      </w:pBdr>
      <w:spacing w:before="200" w:after="0"/>
      <w:outlineLvl w:val="3"/>
    </w:pPr>
    <w:rPr>
      <w:caps/>
      <w:spacing w:val="10"/>
    </w:rPr>
  </w:style>
  <w:style w:type="paragraph" w:styleId="Heading5">
    <w:name w:val="heading 5"/>
    <w:basedOn w:val="Normal"/>
    <w:next w:val="Normal"/>
    <w:link w:val="Heading5Char"/>
    <w:uiPriority w:val="9"/>
    <w:unhideWhenUsed/>
    <w:qFormat/>
    <w:rsid w:val="4A002857"/>
    <w:pPr>
      <w:pBdr>
        <w:bottom w:val="single" w:sz="6" w:space="1" w:color="FF69B4" w:themeColor="accent1"/>
      </w:pBdr>
      <w:spacing w:before="200" w:after="0"/>
      <w:outlineLvl w:val="4"/>
    </w:pPr>
    <w:rPr>
      <w:caps/>
      <w:color w:val="FF1493" w:themeColor="accent1" w:themeShade="BF"/>
      <w:spacing w:val="10"/>
    </w:rPr>
  </w:style>
  <w:style w:type="paragraph" w:styleId="Heading6">
    <w:name w:val="heading 6"/>
    <w:basedOn w:val="Normal"/>
    <w:next w:val="Normal"/>
    <w:link w:val="Heading6Char"/>
    <w:uiPriority w:val="9"/>
    <w:semiHidden/>
    <w:unhideWhenUsed/>
    <w:qFormat/>
    <w:rsid w:val="4A002857"/>
    <w:pPr>
      <w:pBdr>
        <w:bottom w:val="dotted" w:sz="6" w:space="1" w:color="FF69B4" w:themeColor="accent1"/>
      </w:pBdr>
      <w:spacing w:before="200" w:after="0"/>
      <w:outlineLvl w:val="5"/>
    </w:pPr>
    <w:rPr>
      <w:caps/>
      <w:color w:val="FF1493" w:themeColor="accent1" w:themeShade="BF"/>
      <w:spacing w:val="10"/>
    </w:rPr>
  </w:style>
  <w:style w:type="paragraph" w:styleId="Heading7">
    <w:name w:val="heading 7"/>
    <w:basedOn w:val="Normal"/>
    <w:next w:val="Normal"/>
    <w:link w:val="Heading7Char"/>
    <w:uiPriority w:val="9"/>
    <w:semiHidden/>
    <w:unhideWhenUsed/>
    <w:qFormat/>
    <w:rsid w:val="4A002857"/>
    <w:pPr>
      <w:spacing w:before="200" w:after="0"/>
      <w:outlineLvl w:val="6"/>
    </w:pPr>
    <w:rPr>
      <w:caps/>
      <w:color w:val="FF1493" w:themeColor="accent1" w:themeShade="BF"/>
      <w:spacing w:val="10"/>
    </w:rPr>
  </w:style>
  <w:style w:type="paragraph" w:styleId="Heading8">
    <w:name w:val="heading 8"/>
    <w:basedOn w:val="Normal"/>
    <w:next w:val="Normal"/>
    <w:link w:val="Heading8Char"/>
    <w:uiPriority w:val="9"/>
    <w:semiHidden/>
    <w:unhideWhenUsed/>
    <w:qFormat/>
    <w:rsid w:val="4A0028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4A0028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8B0A5007"/>
    <w:pPr>
      <w:tabs>
        <w:tab w:val="center" w:pos="4680"/>
        <w:tab w:val="right" w:pos="9360"/>
      </w:tabs>
      <w:spacing w:after="0" w:line="240" w:lineRule="auto"/>
    </w:pPr>
  </w:style>
  <w:style w:type="character" w:customStyle="1" w:styleId="HeaderChar">
    <w:name w:val="Header Char"/>
    <w:basedOn w:val="DefaultParagraphFont"/>
    <w:link w:val="Header"/>
    <w:uiPriority w:val="99"/>
    <w:rsid w:val="8B0A5007"/>
    <w:rPr>
      <w:rFonts w:ascii="Calibri" w:eastAsia="Calibri" w:hAnsi="Calibri" w:cs="Calibri"/>
      <w:color w:val="000000"/>
    </w:rPr>
  </w:style>
  <w:style w:type="paragraph" w:styleId="Footer">
    <w:name w:val="footer"/>
    <w:basedOn w:val="Normal"/>
    <w:link w:val="FooterChar"/>
    <w:uiPriority w:val="99"/>
    <w:unhideWhenUsed/>
    <w:rsid w:val="8B0A5007"/>
    <w:pPr>
      <w:tabs>
        <w:tab w:val="center" w:pos="4680"/>
        <w:tab w:val="right" w:pos="9360"/>
      </w:tabs>
      <w:spacing w:after="0" w:line="240" w:lineRule="auto"/>
    </w:pPr>
  </w:style>
  <w:style w:type="character" w:customStyle="1" w:styleId="FooterChar">
    <w:name w:val="Footer Char"/>
    <w:basedOn w:val="DefaultParagraphFont"/>
    <w:link w:val="Footer"/>
    <w:uiPriority w:val="99"/>
    <w:rsid w:val="8B0A5007"/>
    <w:rPr>
      <w:rFonts w:ascii="Calibri" w:eastAsia="Calibri" w:hAnsi="Calibri" w:cs="Calibri"/>
      <w:color w:val="000000"/>
    </w:rPr>
  </w:style>
  <w:style w:type="paragraph" w:customStyle="1" w:styleId="PAIStyle">
    <w:name w:val="PAI Style"/>
    <w:basedOn w:val="Normal"/>
    <w:link w:val="PAIStyleChar"/>
    <w:rsid w:val="00C70548"/>
    <w:pPr>
      <w:spacing w:after="432"/>
      <w:ind w:left="-297"/>
    </w:pPr>
    <w:rPr>
      <w:rFonts w:eastAsia="Epilogue" w:cs="Epilogue"/>
      <w:b/>
      <w:sz w:val="28"/>
    </w:rPr>
  </w:style>
  <w:style w:type="paragraph" w:customStyle="1" w:styleId="PAIStyleParagraph">
    <w:name w:val="PAI Style Paragraph"/>
    <w:basedOn w:val="Normal"/>
    <w:link w:val="PAIStyleParagraphChar"/>
    <w:rsid w:val="008A0F3E"/>
    <w:pPr>
      <w:spacing w:after="20"/>
    </w:pPr>
    <w:rPr>
      <w:rFonts w:eastAsia="Epilogue" w:cs="Epilogue"/>
    </w:rPr>
  </w:style>
  <w:style w:type="character" w:customStyle="1" w:styleId="PAIStyleChar">
    <w:name w:val="PAI Style Char"/>
    <w:basedOn w:val="DefaultParagraphFont"/>
    <w:link w:val="PAIStyle"/>
    <w:rsid w:val="00C70548"/>
    <w:rPr>
      <w:rFonts w:ascii="Inter" w:eastAsia="Epilogue" w:hAnsi="Inter" w:cs="Epilogue"/>
      <w:b/>
      <w:color w:val="000000"/>
      <w:sz w:val="28"/>
    </w:rPr>
  </w:style>
  <w:style w:type="character" w:customStyle="1" w:styleId="PAIStyleParagraphChar">
    <w:name w:val="PAI Style Paragraph Char"/>
    <w:basedOn w:val="DefaultParagraphFont"/>
    <w:link w:val="PAIStyleParagraph"/>
    <w:rsid w:val="008A0F3E"/>
    <w:rPr>
      <w:rFonts w:ascii="Inter" w:eastAsia="Epilogue" w:hAnsi="Inter" w:cs="Epilogue"/>
      <w:color w:val="000000"/>
      <w:sz w:val="20"/>
    </w:rPr>
  </w:style>
  <w:style w:type="character" w:styleId="Hyper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rsid w:val="00E73AD6"/>
    <w:rPr>
      <w:color w:val="605E5C"/>
      <w:shd w:val="clear" w:color="auto" w:fill="E1DFDD"/>
    </w:rPr>
  </w:style>
  <w:style w:type="table" w:customStyle="1" w:styleId="NormalGrid">
    <w:name w:val="Normal Grid"/>
    <w:basedOn w:val="TableNormal"/>
    <w:uiPriority w:val="39"/>
    <w:rsid w:val="00F323FE"/>
    <w:pPr>
      <w:spacing w:after="0" w:line="240" w:lineRule="auto"/>
    </w:pPr>
    <w:rPr>
      <w:rFonts w:ascii="Georgia" w:eastAsiaTheme="minorHAnsi"/>
      <w:sz w:val="21"/>
    </w:r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24062"/>
    <w:rPr>
      <w:caps/>
      <w:color w:val="FFFFFF" w:themeColor="background1"/>
      <w:spacing w:val="15"/>
      <w:sz w:val="22"/>
      <w:szCs w:val="22"/>
      <w:shd w:val="clear" w:color="auto" w:fill="FF69B4" w:themeFill="background2" w:themeFillShade="BF"/>
    </w:rPr>
  </w:style>
  <w:style w:type="character" w:customStyle="1" w:styleId="Heading2Char">
    <w:name w:val="Heading 2 Char"/>
    <w:basedOn w:val="DefaultParagraphFont"/>
    <w:link w:val="Heading2"/>
    <w:uiPriority w:val="9"/>
    <w:rsid w:val="000836BB"/>
    <w:rPr>
      <w:b/>
      <w:caps/>
      <w:color w:val="FF69B4" w:themeColor="background2" w:themeShade="BF"/>
      <w:spacing w:val="15"/>
      <w:shd w:val="clear" w:color="auto" w:fill="FFFFFF" w:themeFill="background1"/>
    </w:rPr>
  </w:style>
  <w:style w:type="character" w:customStyle="1" w:styleId="Heading3Char">
    <w:name w:val="Heading 3 Char"/>
    <w:basedOn w:val="DefaultParagraphFont"/>
    <w:link w:val="Heading3"/>
    <w:uiPriority w:val="9"/>
    <w:rsid w:val="00577FAF"/>
    <w:rPr>
      <w:caps/>
      <w:color w:val="00697C" w:themeColor="text2"/>
      <w:spacing w:val="15"/>
    </w:rPr>
  </w:style>
  <w:style w:type="character" w:customStyle="1" w:styleId="Heading4Char">
    <w:name w:val="Heading 4 Char"/>
    <w:basedOn w:val="DefaultParagraphFont"/>
    <w:link w:val="Heading4"/>
    <w:uiPriority w:val="9"/>
    <w:rsid w:val="003A2C36"/>
    <w:rPr>
      <w:caps/>
      <w:spacing w:val="10"/>
    </w:rPr>
  </w:style>
  <w:style w:type="character" w:customStyle="1" w:styleId="Heading5Char">
    <w:name w:val="Heading 5 Char"/>
    <w:basedOn w:val="DefaultParagraphFont"/>
    <w:link w:val="Heading5"/>
    <w:uiPriority w:val="9"/>
    <w:rsid w:val="4A002857"/>
    <w:rPr>
      <w:caps/>
      <w:color w:val="FF1493" w:themeColor="accent1" w:themeShade="BF"/>
      <w:spacing w:val="10"/>
    </w:rPr>
  </w:style>
  <w:style w:type="character" w:customStyle="1" w:styleId="Heading6Char">
    <w:name w:val="Heading 6 Char"/>
    <w:basedOn w:val="DefaultParagraphFont"/>
    <w:link w:val="Heading6"/>
    <w:uiPriority w:val="9"/>
    <w:semiHidden/>
    <w:rsid w:val="4A002857"/>
    <w:rPr>
      <w:caps/>
      <w:color w:val="FF1493" w:themeColor="accent1" w:themeShade="BF"/>
      <w:spacing w:val="10"/>
    </w:rPr>
  </w:style>
  <w:style w:type="character" w:customStyle="1" w:styleId="Heading7Char">
    <w:name w:val="Heading 7 Char"/>
    <w:basedOn w:val="DefaultParagraphFont"/>
    <w:link w:val="Heading7"/>
    <w:uiPriority w:val="9"/>
    <w:semiHidden/>
    <w:rsid w:val="4A002857"/>
    <w:rPr>
      <w:caps/>
      <w:color w:val="FF1493" w:themeColor="accent1" w:themeShade="BF"/>
      <w:spacing w:val="10"/>
    </w:rPr>
  </w:style>
  <w:style w:type="character" w:customStyle="1" w:styleId="Heading8Char">
    <w:name w:val="Heading 8 Char"/>
    <w:basedOn w:val="DefaultParagraphFont"/>
    <w:link w:val="Heading8"/>
    <w:uiPriority w:val="9"/>
    <w:semiHidden/>
    <w:rsid w:val="4A002857"/>
    <w:rPr>
      <w:caps/>
      <w:spacing w:val="10"/>
      <w:sz w:val="18"/>
      <w:szCs w:val="18"/>
    </w:rPr>
  </w:style>
  <w:style w:type="character" w:customStyle="1" w:styleId="Heading9Char">
    <w:name w:val="Heading 9 Char"/>
    <w:basedOn w:val="DefaultParagraphFont"/>
    <w:link w:val="Heading9"/>
    <w:uiPriority w:val="9"/>
    <w:semiHidden/>
    <w:rsid w:val="4A002857"/>
    <w:rPr>
      <w:i/>
      <w:iCs/>
      <w:caps/>
      <w:spacing w:val="10"/>
      <w:sz w:val="18"/>
      <w:szCs w:val="18"/>
    </w:rPr>
  </w:style>
  <w:style w:type="paragraph" w:styleId="Caption">
    <w:name w:val="caption"/>
    <w:basedOn w:val="Normal"/>
    <w:next w:val="Normal"/>
    <w:uiPriority w:val="35"/>
    <w:semiHidden/>
    <w:unhideWhenUsed/>
    <w:qFormat/>
    <w:rsid w:val="4A002857"/>
    <w:rPr>
      <w:b/>
      <w:bCs/>
      <w:color w:val="FF1493"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0E47AD"/>
    <w:rPr>
      <w:rFonts w:asciiTheme="majorHAnsi" w:eastAsiaTheme="majorEastAsia" w:hAnsiTheme="majorHAnsi" w:cstheme="majorBidi"/>
      <w:caps/>
      <w:spacing w:val="10"/>
      <w:sz w:val="52"/>
      <w:szCs w:val="52"/>
    </w:rPr>
  </w:style>
  <w:style w:type="paragraph" w:styleId="Subtitle">
    <w:name w:val="Subtitle"/>
    <w:basedOn w:val="Normal"/>
    <w:next w:val="Normal"/>
    <w:link w:val="SubtitleChar"/>
    <w:uiPriority w:val="11"/>
    <w:qFormat/>
    <w:rsid w:val="4A00285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4A002857"/>
    <w:rPr>
      <w:caps/>
      <w:color w:val="595959" w:themeColor="text1" w:themeTint="A6"/>
      <w:spacing w:val="10"/>
      <w:sz w:val="21"/>
      <w:szCs w:val="21"/>
    </w:rPr>
  </w:style>
  <w:style w:type="character" w:styleId="Strong">
    <w:name w:val="Strong"/>
    <w:uiPriority w:val="22"/>
    <w:qFormat/>
    <w:rsid w:val="4A002857"/>
    <w:rPr>
      <w:b/>
      <w:bCs/>
    </w:rPr>
  </w:style>
  <w:style w:type="character" w:styleId="Emphasis">
    <w:name w:val="Emphasis"/>
    <w:uiPriority w:val="20"/>
    <w:qFormat/>
    <w:rsid w:val="4A002857"/>
    <w:rPr>
      <w:caps/>
      <w:color w:val="DB7093" w:themeColor="accent1" w:themeShade="7F"/>
      <w:spacing w:val="5"/>
    </w:rPr>
  </w:style>
  <w:style w:type="paragraph" w:styleId="NoSpacing">
    <w:name w:val="No Spacing"/>
    <w:uiPriority w:val="1"/>
    <w:qFormat/>
    <w:rsid w:val="4A002857"/>
    <w:pPr>
      <w:spacing w:after="0" w:line="240" w:lineRule="auto"/>
    </w:pPr>
  </w:style>
  <w:style w:type="paragraph" w:styleId="Quote">
    <w:name w:val="Quote"/>
    <w:basedOn w:val="Normal"/>
    <w:next w:val="Normal"/>
    <w:link w:val="QuoteChar"/>
    <w:uiPriority w:val="29"/>
    <w:qFormat/>
    <w:rsid w:val="4A002857"/>
    <w:rPr>
      <w:i/>
      <w:iCs/>
      <w:sz w:val="24"/>
      <w:szCs w:val="24"/>
    </w:rPr>
  </w:style>
  <w:style w:type="character" w:customStyle="1" w:styleId="QuoteChar">
    <w:name w:val="Quote Char"/>
    <w:basedOn w:val="DefaultParagraphFont"/>
    <w:link w:val="Quote"/>
    <w:uiPriority w:val="29"/>
    <w:rsid w:val="4A002857"/>
    <w:rPr>
      <w:i/>
      <w:iCs/>
      <w:sz w:val="24"/>
      <w:szCs w:val="24"/>
    </w:rPr>
  </w:style>
  <w:style w:type="paragraph" w:styleId="IntenseQuote">
    <w:name w:val="Intense Quote"/>
    <w:basedOn w:val="Normal"/>
    <w:next w:val="Normal"/>
    <w:link w:val="IntenseQuoteChar"/>
    <w:uiPriority w:val="30"/>
    <w:qFormat/>
    <w:rsid w:val="4A002857"/>
    <w:pPr>
      <w:spacing w:before="240" w:after="240" w:line="240" w:lineRule="auto"/>
      <w:ind w:left="1080" w:right="1080"/>
      <w:jc w:val="center"/>
    </w:pPr>
    <w:rPr>
      <w:color w:val="FF69B4" w:themeColor="accent1"/>
      <w:sz w:val="24"/>
      <w:szCs w:val="24"/>
    </w:rPr>
  </w:style>
  <w:style w:type="character" w:customStyle="1" w:styleId="IntenseQuoteChar">
    <w:name w:val="Intense Quote Char"/>
    <w:basedOn w:val="DefaultParagraphFont"/>
    <w:link w:val="IntenseQuote"/>
    <w:uiPriority w:val="30"/>
    <w:rsid w:val="4A002857"/>
    <w:rPr>
      <w:color w:val="FF69B4" w:themeColor="accent1"/>
      <w:sz w:val="24"/>
      <w:szCs w:val="24"/>
    </w:rPr>
  </w:style>
  <w:style w:type="character" w:styleId="SubtleEmphasis">
    <w:name w:val="Subtle Emphasis"/>
    <w:uiPriority w:val="19"/>
    <w:qFormat/>
    <w:rsid w:val="4A002857"/>
    <w:rPr>
      <w:i/>
      <w:iCs/>
      <w:color w:val="DB7093" w:themeColor="accent1" w:themeShade="7F"/>
    </w:rPr>
  </w:style>
  <w:style w:type="character" w:styleId="IntenseEmphasis">
    <w:name w:val="Intense Emphasis"/>
    <w:uiPriority w:val="21"/>
    <w:qFormat/>
    <w:rsid w:val="4A002857"/>
    <w:rPr>
      <w:b/>
      <w:bCs/>
      <w:caps/>
      <w:color w:val="DB7093" w:themeColor="accent1" w:themeShade="7F"/>
      <w:spacing w:val="10"/>
    </w:rPr>
  </w:style>
  <w:style w:type="character" w:styleId="SubtleReference">
    <w:name w:val="Subtle Reference"/>
    <w:uiPriority w:val="31"/>
    <w:qFormat/>
    <w:rsid w:val="4A002857"/>
    <w:rPr>
      <w:b/>
      <w:bCs/>
      <w:color w:val="FF69B4" w:themeColor="accent1"/>
    </w:rPr>
  </w:style>
  <w:style w:type="character" w:styleId="IntenseReference">
    <w:name w:val="Intense Reference"/>
    <w:uiPriority w:val="32"/>
    <w:qFormat/>
    <w:rsid w:val="4A002857"/>
    <w:rPr>
      <w:b/>
      <w:bCs/>
      <w:i/>
      <w:iCs/>
      <w:caps/>
      <w:color w:val="FF69B4" w:themeColor="accent1"/>
    </w:rPr>
  </w:style>
  <w:style w:type="character" w:styleId="BookTitle">
    <w:name w:val="Book Title"/>
    <w:uiPriority w:val="33"/>
    <w:qFormat/>
    <w:rsid w:val="4A002857"/>
    <w:rPr>
      <w:b/>
      <w:bCs/>
      <w:i/>
      <w:iCs/>
      <w:spacing w:val="0"/>
    </w:rPr>
  </w:style>
  <w:style w:type="paragraph" w:styleId="TOCHeading">
    <w:name w:val="TOC Heading"/>
    <w:basedOn w:val="Heading1"/>
    <w:next w:val="Normal"/>
    <w:uiPriority w:val="39"/>
    <w:semiHidden/>
    <w:unhideWhenUsed/>
    <w:qFormat/>
    <w:rsid w:val="4A002857"/>
    <w:pPr>
      <w:outlineLvl w:val="9"/>
    </w:p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FFB6C1B7"/>
    <w:pPr>
      <w:numPr>
        <w:numId w:val="1"/>
      </w:numPr>
      <w:tabs>
        <w:tab w:val="clear" w:pos="360"/>
      </w:tabs>
      <w:spacing w:before="0"/>
      <w:ind w:left="0" w:firstLine="0"/>
      <w:contextualSpacing/>
    </w:pPr>
    <w:rPr>
      <w:sz w:val="22"/>
      <w:szCs w:val="22"/>
    </w:rPr>
  </w:style>
  <w:style w:type="paragraph" w:styleId="TOC1">
    <w:name w:val="toc 1"/>
    <w:basedOn w:val="Normal"/>
    <w:next w:val="Normal"/>
    <w:autoRedefine/>
    <w:uiPriority w:val="39"/>
    <w:unhideWhenUsed/>
    <w:rsid w:val="FFB6C1B7"/>
    <w:pPr>
      <w:spacing w:after="100"/>
    </w:pPr>
  </w:style>
  <w:style w:type="paragraph" w:styleId="TOC2">
    <w:name w:val="toc 2"/>
    <w:basedOn w:val="Normal"/>
    <w:next w:val="Normal"/>
    <w:autoRedefine/>
    <w:uiPriority w:val="39"/>
    <w:unhideWhenUsed/>
    <w:rsid w:val="FFB6C1B7"/>
    <w:pPr>
      <w:spacing w:after="100"/>
      <w:ind w:left="200"/>
    </w:pPr>
  </w:style>
  <w:style w:type="table" w:customStyle="1" w:styleId="DefaultStyle">
    <w:name w:val="Default Style"/>
    <w:basedOn w:val="TableNormal"/>
    <w:uiPriority w:val="99"/>
    <w:rsid w:val="00681703"/>
    <w:pPr>
      <w:spacing w:before="0" w:after="0" w:line="240" w:lineRule="auto"/>
    </w:pPr>
    <w:tbl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46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46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46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462A" w:themeColor="accent4"/>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sz="2" w:space="0" w:color="C08D63" w:themeColor="accent4" w:themeTint="99"/>
        <w:bottom w:val="single" w:sz="2" w:space="0" w:color="C08D63" w:themeColor="accent4" w:themeTint="99"/>
        <w:insideH w:val="single" w:sz="2" w:space="0" w:color="C08D63" w:themeColor="accent4" w:themeTint="99"/>
        <w:insideV w:val="single" w:sz="2" w:space="0" w:color="C08D63" w:themeColor="accent4" w:themeTint="99"/>
      </w:tblBorders>
    </w:tblPr>
    <w:tblStylePr w:type="firstRow">
      <w:rPr>
        <w:b/>
        <w:bCs/>
      </w:rPr>
      <w:tblPr/>
      <w:tcPr>
        <w:tcBorders>
          <w:top w:val="nil"/>
          <w:bottom w:val="single" w:sz="12" w:space="0" w:color="C08D63" w:themeColor="accent4" w:themeTint="99"/>
          <w:insideH w:val="nil"/>
          <w:insideV w:val="nil"/>
        </w:tcBorders>
        <w:shd w:val="clear" w:color="auto" w:fill="FFFFFF" w:themeFill="background1"/>
      </w:tcPr>
    </w:tblStylePr>
    <w:tblStylePr w:type="lastRow">
      <w:rPr>
        <w:b/>
        <w:bCs/>
      </w:rPr>
      <w:tblPr/>
      <w:tcPr>
        <w:tcBorders>
          <w:top w:val="double" w:sz="2" w:space="0" w:color="C08D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sz="4" w:space="0" w:color="C08D63" w:themeColor="accent4" w:themeTint="99"/>
        <w:left w:val="single" w:sz="4" w:space="0" w:color="C08D63" w:themeColor="accent4" w:themeTint="99"/>
        <w:bottom w:val="single" w:sz="4" w:space="0" w:color="C08D63" w:themeColor="accent4" w:themeTint="99"/>
        <w:right w:val="single" w:sz="4" w:space="0" w:color="C08D63" w:themeColor="accent4" w:themeTint="99"/>
        <w:insideH w:val="single" w:sz="4" w:space="0" w:color="C08D63" w:themeColor="accent4" w:themeTint="99"/>
        <w:insideV w:val="single" w:sz="4" w:space="0" w:color="C08D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sz="4" w:space="0" w:color="C08D63" w:themeColor="accent4" w:themeTint="99"/>
        </w:tcBorders>
      </w:tcPr>
    </w:tblStylePr>
    <w:tblStylePr w:type="nwCell">
      <w:tblPr/>
      <w:tcPr>
        <w:tcBorders>
          <w:bottom w:val="single" w:sz="4" w:space="0" w:color="C08D63" w:themeColor="accent4" w:themeTint="99"/>
        </w:tcBorders>
      </w:tcPr>
    </w:tblStylePr>
    <w:tblStylePr w:type="seCell">
      <w:tblPr/>
      <w:tcPr>
        <w:tcBorders>
          <w:top w:val="single" w:sz="4" w:space="0" w:color="C08D63" w:themeColor="accent4" w:themeTint="99"/>
        </w:tcBorders>
      </w:tcPr>
    </w:tblStylePr>
    <w:tblStylePr w:type="swCell">
      <w:tblPr/>
      <w:tcPr>
        <w:tcBorders>
          <w:top w:val="single" w:sz="4" w:space="0" w:color="C08D63" w:themeColor="accent4" w:themeTint="99"/>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sz="8" w:space="0" w:color="FF69B4" w:themeColor="accent1"/>
        <w:left w:val="single" w:sz="8" w:space="0" w:color="FF69B4" w:themeColor="accent1"/>
        <w:bottom w:val="single" w:sz="8" w:space="0" w:color="FF69B4" w:themeColor="accent1"/>
        <w:right w:val="single" w:sz="8" w:space="0" w:color="FF69B4" w:themeColor="accent1"/>
      </w:tblBorders>
    </w:tblPr>
    <w:tblStylePr w:type="firstRow">
      <w:pPr>
        <w:spacing w:before="0" w:after="0" w:line="240" w:lineRule="auto"/>
      </w:pPr>
      <w:rPr>
        <w:b/>
        <w:bCs/>
        <w:color w:val="FFFFFF" w:themeColor="background1"/>
      </w:rPr>
      <w:tblPr/>
      <w:tcPr>
        <w:shd w:val="clear" w:color="auto" w:fill="FF69B4" w:themeFill="accent1"/>
      </w:tcPr>
    </w:tblStylePr>
    <w:tblStylePr w:type="lastRow">
      <w:pPr>
        <w:spacing w:before="0" w:after="0" w:line="240" w:lineRule="auto"/>
      </w:pPr>
      <w:rPr>
        <w:b/>
        <w:bCs/>
      </w:rPr>
      <w:tblPr/>
      <w:tcPr>
        <w:tcBorders>
          <w:top w:val="double" w:sz="6" w:space="0" w:color="FF69B4" w:themeColor="accent1"/>
          <w:left w:val="single" w:sz="8" w:space="0" w:color="FF69B4" w:themeColor="accent1"/>
          <w:bottom w:val="single" w:sz="8" w:space="0" w:color="FF69B4" w:themeColor="accent1"/>
          <w:right w:val="single" w:sz="8" w:space="0" w:color="FF69B4" w:themeColor="accent1"/>
        </w:tcBorders>
      </w:tcPr>
    </w:tblStylePr>
    <w:tblStylePr w:type="firstCol">
      <w:rPr>
        <w:b/>
        <w:bCs/>
      </w:rPr>
    </w:tblStylePr>
    <w:tblStylePr w:type="lastCol">
      <w:rPr>
        <w:b/>
        <w:bCs/>
      </w:rPr>
    </w:tblStylePr>
    <w:tblStylePr w:type="band1Vert">
      <w:tblPr/>
      <w:tcPr>
        <w:tcBorders>
          <w:top w:val="single" w:sz="8" w:space="0" w:color="FF69B4" w:themeColor="accent1"/>
          <w:left w:val="single" w:sz="8" w:space="0" w:color="FF69B4" w:themeColor="accent1"/>
          <w:bottom w:val="single" w:sz="8" w:space="0" w:color="FF69B4" w:themeColor="accent1"/>
          <w:right w:val="single" w:sz="8" w:space="0" w:color="FF69B4" w:themeColor="accent1"/>
        </w:tcBorders>
      </w:tcPr>
    </w:tblStylePr>
    <w:tblStylePr w:type="band1Horz">
      <w:tblPr/>
      <w:tcPr>
        <w:tcBorders>
          <w:top w:val="single" w:sz="8" w:space="0" w:color="FF69B4" w:themeColor="accent1"/>
          <w:left w:val="single" w:sz="8" w:space="0" w:color="FF69B4" w:themeColor="accent1"/>
          <w:bottom w:val="single" w:sz="8" w:space="0" w:color="FF69B4" w:themeColor="accent1"/>
          <w:right w:val="single" w:sz="8" w:space="0" w:color="FF69B4" w:themeColor="accent1"/>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sz="4" w:space="0" w:color="D5B397" w:themeColor="accent4" w:themeTint="66"/>
        <w:left w:val="single" w:sz="4" w:space="0" w:color="D5B397" w:themeColor="accent4" w:themeTint="66"/>
        <w:bottom w:val="single" w:sz="4" w:space="0" w:color="D5B397" w:themeColor="accent4" w:themeTint="66"/>
        <w:right w:val="single" w:sz="4" w:space="0" w:color="D5B397" w:themeColor="accent4" w:themeTint="66"/>
        <w:insideH w:val="single" w:sz="4" w:space="0" w:color="D5B397" w:themeColor="accent4" w:themeTint="66"/>
        <w:insideV w:val="single" w:sz="4" w:space="0" w:color="D5B397" w:themeColor="accent4" w:themeTint="66"/>
      </w:tblBorders>
    </w:tblPr>
    <w:tblStylePr w:type="firstRow">
      <w:rPr>
        <w:b/>
        <w:bCs/>
      </w:rPr>
      <w:tblPr/>
      <w:tcPr>
        <w:tcBorders>
          <w:bottom w:val="single" w:sz="12" w:space="0" w:color="C08D63" w:themeColor="accent4" w:themeTint="99"/>
        </w:tcBorders>
      </w:tcPr>
    </w:tblStylePr>
    <w:tblStylePr w:type="lastRow">
      <w:rPr>
        <w:b/>
        <w:bCs/>
      </w:rPr>
      <w:tblPr/>
      <w:tcPr>
        <w:tcBorders>
          <w:top w:val="double" w:sz="2" w:space="0" w:color="C08D6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75372"/>
    <w:pPr>
      <w:ind w:left="720"/>
      <w:contextualSpacing/>
    </w:pPr>
  </w:style>
  <w:style w:type="paragraph" w:styleId="NormalWeb">
    <w:name w:val="Normal (Web)"/>
    <w:basedOn w:val="Normal"/>
    <w:uiPriority w:val="99"/>
    <w:semiHidden/>
    <w:unhideWhenUsed/>
    <w:rsid w:val="00CC5EDE"/>
    <w:rPr>
      <w:rFonts w:ascii="Times New Roman" w:hAnsi="Times New Roman" w:cs="Times New Roman"/>
      <w:sz w:val="24"/>
      <w:szCs w:val="24"/>
    </w:rPr>
  </w:style>
  <w:style w:type="paragraph" w:styleId="TOC3">
    <w:name w:val="toc 3"/>
    <w:basedOn w:val="Normal"/>
    <w:next w:val="Normal"/>
    <w:autoRedefine/>
    <w:uiPriority w:val="39"/>
    <w:unhideWhenUsed/>
    <w:rsid w:val="C71585FD"/>
    <w:pPr>
      <w:spacing w:after="100"/>
      <w:ind w:left="400"/>
    </w:pPr>
  </w:style>
  <w:style w:type="paragraph" w:styleId="TOC4">
    <w:name w:val="toc 4"/>
    <w:basedOn w:val="Normal"/>
    <w:next w:val="Normal"/>
    <w:autoRedefine/>
    <w:uiPriority w:val="39"/>
    <w:unhideWhenUsed/>
    <w:rsid w:val="C71585FD"/>
    <w:pPr>
      <w:spacing w:before="0" w:after="100" w:line="278" w:lineRule="auto"/>
      <w:ind w:left="720"/>
    </w:pPr>
    <w:rPr>
      <w:kern w:val="2"/>
      <w:sz w:val="24"/>
      <w:szCs w:val="24"/>
      <w:lang w:val="en-CA" w:eastAsia="en-CA"/>
      <w14:ligatures w14:val="standardContextual"/>
    </w:rPr>
  </w:style>
  <w:style w:type="paragraph" w:styleId="TOC5">
    <w:name w:val="toc 5"/>
    <w:basedOn w:val="Normal"/>
    <w:next w:val="Normal"/>
    <w:autoRedefine/>
    <w:uiPriority w:val="39"/>
    <w:unhideWhenUsed/>
    <w:rsid w:val="C71585FD"/>
    <w:pPr>
      <w:spacing w:before="0"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C71585FD"/>
    <w:pPr>
      <w:spacing w:before="0"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C71585FD"/>
    <w:pPr>
      <w:spacing w:before="0"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C71585FD"/>
    <w:pPr>
      <w:spacing w:before="0"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C71585FD"/>
    <w:pPr>
      <w:spacing w:before="0" w:after="100" w:line="278" w:lineRule="auto"/>
      <w:ind w:left="1920"/>
    </w:pPr>
    <w:rPr>
      <w:kern w:val="2"/>
      <w:sz w:val="24"/>
      <w:szCs w:val="24"/>
      <w:lang w:val="en-CA" w:eastAsia="en-CA"/>
      <w14:ligatures w14:val="standardContextual"/>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FF69B4"/>
      <w:shd w:val="clear" w:fill="f8f8f8"/>
      <w:b/>
    </w:rPr>
  </w:style>
  <w:style w:type="character" w:customStyle="1" w:styleId="DataTypeTok">
    <w:name w:val="DataTypeTok"/>
    <w:basedOn w:val="VerbatimChar"/>
    <w:rPr>
      <w:color w:val="FF69B4"/>
      <w:shd w:val="clear" w:fill="f8f8f8"/>
    </w:rPr>
  </w:style>
  <w:style w:type="character" w:customStyle="1" w:styleId="DecValTok">
    <w:name w:val="DecValTok"/>
    <w:basedOn w:val="VerbatimChar"/>
    <w:rPr>
      <w:color w:val="DB7093"/>
      <w:shd w:val="clear" w:fill="f8f8f8"/>
    </w:rPr>
  </w:style>
  <w:style w:type="character" w:customStyle="1" w:styleId="BaseNTok">
    <w:name w:val="BaseNTok"/>
    <w:basedOn w:val="VerbatimChar"/>
    <w:rPr>
      <w:color w:val="DB7093"/>
      <w:shd w:val="clear" w:fill="f8f8f8"/>
    </w:rPr>
  </w:style>
  <w:style w:type="character" w:customStyle="1" w:styleId="FloatTok">
    <w:name w:val="FloatTok"/>
    <w:basedOn w:val="VerbatimChar"/>
    <w:rPr>
      <w:color w:val="DB7093"/>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FF69B4"/>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507">
      <w:bodyDiv w:val="1"/>
      <w:marLeft w:val="0"/>
      <w:marRight w:val="0"/>
      <w:marTop w:val="0"/>
      <w:marBottom w:val="0"/>
      <w:divBdr>
        <w:top w:val="none" w:sz="0" w:space="0" w:color="auto"/>
        <w:left w:val="none" w:sz="0" w:space="0" w:color="auto"/>
        <w:bottom w:val="none" w:sz="0" w:space="0" w:color="auto"/>
        <w:right w:val="none" w:sz="0" w:space="0" w:color="auto"/>
      </w:divBdr>
      <w:divsChild>
        <w:div w:id="843973800">
          <w:marLeft w:val="0"/>
          <w:marRight w:val="0"/>
          <w:marTop w:val="0"/>
          <w:marBottom w:val="0"/>
          <w:divBdr>
            <w:top w:val="none" w:sz="0" w:space="0" w:color="auto"/>
            <w:left w:val="none" w:sz="0" w:space="0" w:color="auto"/>
            <w:bottom w:val="none" w:sz="0" w:space="0" w:color="auto"/>
            <w:right w:val="none" w:sz="0" w:space="0" w:color="auto"/>
          </w:divBdr>
          <w:divsChild>
            <w:div w:id="304556290">
              <w:marLeft w:val="0"/>
              <w:marRight w:val="0"/>
              <w:marTop w:val="0"/>
              <w:marBottom w:val="0"/>
              <w:divBdr>
                <w:top w:val="none" w:sz="0" w:space="0" w:color="auto"/>
                <w:left w:val="none" w:sz="0" w:space="0" w:color="auto"/>
                <w:bottom w:val="none" w:sz="0" w:space="0" w:color="auto"/>
                <w:right w:val="none" w:sz="0" w:space="0" w:color="auto"/>
              </w:divBdr>
            </w:div>
            <w:div w:id="1489590775">
              <w:marLeft w:val="0"/>
              <w:marRight w:val="0"/>
              <w:marTop w:val="0"/>
              <w:marBottom w:val="0"/>
              <w:divBdr>
                <w:top w:val="none" w:sz="0" w:space="0" w:color="auto"/>
                <w:left w:val="none" w:sz="0" w:space="0" w:color="auto"/>
                <w:bottom w:val="none" w:sz="0" w:space="0" w:color="auto"/>
                <w:right w:val="none" w:sz="0" w:space="0" w:color="auto"/>
              </w:divBdr>
            </w:div>
            <w:div w:id="186522804">
              <w:marLeft w:val="0"/>
              <w:marRight w:val="0"/>
              <w:marTop w:val="0"/>
              <w:marBottom w:val="0"/>
              <w:divBdr>
                <w:top w:val="none" w:sz="0" w:space="0" w:color="auto"/>
                <w:left w:val="none" w:sz="0" w:space="0" w:color="auto"/>
                <w:bottom w:val="none" w:sz="0" w:space="0" w:color="auto"/>
                <w:right w:val="none" w:sz="0" w:space="0" w:color="auto"/>
              </w:divBdr>
            </w:div>
            <w:div w:id="822426382">
              <w:marLeft w:val="0"/>
              <w:marRight w:val="0"/>
              <w:marTop w:val="0"/>
              <w:marBottom w:val="0"/>
              <w:divBdr>
                <w:top w:val="none" w:sz="0" w:space="0" w:color="auto"/>
                <w:left w:val="none" w:sz="0" w:space="0" w:color="auto"/>
                <w:bottom w:val="none" w:sz="0" w:space="0" w:color="auto"/>
                <w:right w:val="none" w:sz="0" w:space="0" w:color="auto"/>
              </w:divBdr>
            </w:div>
            <w:div w:id="576020323">
              <w:marLeft w:val="0"/>
              <w:marRight w:val="0"/>
              <w:marTop w:val="0"/>
              <w:marBottom w:val="0"/>
              <w:divBdr>
                <w:top w:val="none" w:sz="0" w:space="0" w:color="auto"/>
                <w:left w:val="none" w:sz="0" w:space="0" w:color="auto"/>
                <w:bottom w:val="none" w:sz="0" w:space="0" w:color="auto"/>
                <w:right w:val="none" w:sz="0" w:space="0" w:color="auto"/>
              </w:divBdr>
            </w:div>
            <w:div w:id="1864443159">
              <w:marLeft w:val="0"/>
              <w:marRight w:val="0"/>
              <w:marTop w:val="0"/>
              <w:marBottom w:val="0"/>
              <w:divBdr>
                <w:top w:val="none" w:sz="0" w:space="0" w:color="auto"/>
                <w:left w:val="none" w:sz="0" w:space="0" w:color="auto"/>
                <w:bottom w:val="none" w:sz="0" w:space="0" w:color="auto"/>
                <w:right w:val="none" w:sz="0" w:space="0" w:color="auto"/>
              </w:divBdr>
            </w:div>
            <w:div w:id="118887851">
              <w:marLeft w:val="0"/>
              <w:marRight w:val="0"/>
              <w:marTop w:val="0"/>
              <w:marBottom w:val="0"/>
              <w:divBdr>
                <w:top w:val="none" w:sz="0" w:space="0" w:color="auto"/>
                <w:left w:val="none" w:sz="0" w:space="0" w:color="auto"/>
                <w:bottom w:val="none" w:sz="0" w:space="0" w:color="auto"/>
                <w:right w:val="none" w:sz="0" w:space="0" w:color="auto"/>
              </w:divBdr>
            </w:div>
            <w:div w:id="1448817322">
              <w:marLeft w:val="0"/>
              <w:marRight w:val="0"/>
              <w:marTop w:val="0"/>
              <w:marBottom w:val="0"/>
              <w:divBdr>
                <w:top w:val="none" w:sz="0" w:space="0" w:color="auto"/>
                <w:left w:val="none" w:sz="0" w:space="0" w:color="auto"/>
                <w:bottom w:val="none" w:sz="0" w:space="0" w:color="auto"/>
                <w:right w:val="none" w:sz="0" w:space="0" w:color="auto"/>
              </w:divBdr>
            </w:div>
            <w:div w:id="999309375">
              <w:marLeft w:val="0"/>
              <w:marRight w:val="0"/>
              <w:marTop w:val="0"/>
              <w:marBottom w:val="0"/>
              <w:divBdr>
                <w:top w:val="none" w:sz="0" w:space="0" w:color="auto"/>
                <w:left w:val="none" w:sz="0" w:space="0" w:color="auto"/>
                <w:bottom w:val="none" w:sz="0" w:space="0" w:color="auto"/>
                <w:right w:val="none" w:sz="0" w:space="0" w:color="auto"/>
              </w:divBdr>
            </w:div>
            <w:div w:id="1203589476">
              <w:marLeft w:val="0"/>
              <w:marRight w:val="0"/>
              <w:marTop w:val="0"/>
              <w:marBottom w:val="0"/>
              <w:divBdr>
                <w:top w:val="none" w:sz="0" w:space="0" w:color="auto"/>
                <w:left w:val="none" w:sz="0" w:space="0" w:color="auto"/>
                <w:bottom w:val="none" w:sz="0" w:space="0" w:color="auto"/>
                <w:right w:val="none" w:sz="0" w:space="0" w:color="auto"/>
              </w:divBdr>
            </w:div>
            <w:div w:id="200554120">
              <w:marLeft w:val="0"/>
              <w:marRight w:val="0"/>
              <w:marTop w:val="0"/>
              <w:marBottom w:val="0"/>
              <w:divBdr>
                <w:top w:val="none" w:sz="0" w:space="0" w:color="auto"/>
                <w:left w:val="none" w:sz="0" w:space="0" w:color="auto"/>
                <w:bottom w:val="none" w:sz="0" w:space="0" w:color="auto"/>
                <w:right w:val="none" w:sz="0" w:space="0" w:color="auto"/>
              </w:divBdr>
            </w:div>
            <w:div w:id="685330950">
              <w:marLeft w:val="0"/>
              <w:marRight w:val="0"/>
              <w:marTop w:val="0"/>
              <w:marBottom w:val="0"/>
              <w:divBdr>
                <w:top w:val="none" w:sz="0" w:space="0" w:color="auto"/>
                <w:left w:val="none" w:sz="0" w:space="0" w:color="auto"/>
                <w:bottom w:val="none" w:sz="0" w:space="0" w:color="auto"/>
                <w:right w:val="none" w:sz="0" w:space="0" w:color="auto"/>
              </w:divBdr>
            </w:div>
            <w:div w:id="1197890092">
              <w:marLeft w:val="0"/>
              <w:marRight w:val="0"/>
              <w:marTop w:val="0"/>
              <w:marBottom w:val="0"/>
              <w:divBdr>
                <w:top w:val="none" w:sz="0" w:space="0" w:color="auto"/>
                <w:left w:val="none" w:sz="0" w:space="0" w:color="auto"/>
                <w:bottom w:val="none" w:sz="0" w:space="0" w:color="auto"/>
                <w:right w:val="none" w:sz="0" w:space="0" w:color="auto"/>
              </w:divBdr>
            </w:div>
            <w:div w:id="1937471153">
              <w:marLeft w:val="0"/>
              <w:marRight w:val="0"/>
              <w:marTop w:val="0"/>
              <w:marBottom w:val="0"/>
              <w:divBdr>
                <w:top w:val="none" w:sz="0" w:space="0" w:color="auto"/>
                <w:left w:val="none" w:sz="0" w:space="0" w:color="auto"/>
                <w:bottom w:val="none" w:sz="0" w:space="0" w:color="auto"/>
                <w:right w:val="none" w:sz="0" w:space="0" w:color="auto"/>
              </w:divBdr>
            </w:div>
            <w:div w:id="1788575225">
              <w:marLeft w:val="0"/>
              <w:marRight w:val="0"/>
              <w:marTop w:val="0"/>
              <w:marBottom w:val="0"/>
              <w:divBdr>
                <w:top w:val="none" w:sz="0" w:space="0" w:color="auto"/>
                <w:left w:val="none" w:sz="0" w:space="0" w:color="auto"/>
                <w:bottom w:val="none" w:sz="0" w:space="0" w:color="auto"/>
                <w:right w:val="none" w:sz="0" w:space="0" w:color="auto"/>
              </w:divBdr>
            </w:div>
            <w:div w:id="2108236223">
              <w:marLeft w:val="0"/>
              <w:marRight w:val="0"/>
              <w:marTop w:val="0"/>
              <w:marBottom w:val="0"/>
              <w:divBdr>
                <w:top w:val="none" w:sz="0" w:space="0" w:color="auto"/>
                <w:left w:val="none" w:sz="0" w:space="0" w:color="auto"/>
                <w:bottom w:val="none" w:sz="0" w:space="0" w:color="auto"/>
                <w:right w:val="none" w:sz="0" w:space="0" w:color="auto"/>
              </w:divBdr>
            </w:div>
            <w:div w:id="1122921430">
              <w:marLeft w:val="0"/>
              <w:marRight w:val="0"/>
              <w:marTop w:val="0"/>
              <w:marBottom w:val="0"/>
              <w:divBdr>
                <w:top w:val="none" w:sz="0" w:space="0" w:color="auto"/>
                <w:left w:val="none" w:sz="0" w:space="0" w:color="auto"/>
                <w:bottom w:val="none" w:sz="0" w:space="0" w:color="auto"/>
                <w:right w:val="none" w:sz="0" w:space="0" w:color="auto"/>
              </w:divBdr>
            </w:div>
            <w:div w:id="164561443">
              <w:marLeft w:val="0"/>
              <w:marRight w:val="0"/>
              <w:marTop w:val="0"/>
              <w:marBottom w:val="0"/>
              <w:divBdr>
                <w:top w:val="none" w:sz="0" w:space="0" w:color="auto"/>
                <w:left w:val="none" w:sz="0" w:space="0" w:color="auto"/>
                <w:bottom w:val="none" w:sz="0" w:space="0" w:color="auto"/>
                <w:right w:val="none" w:sz="0" w:space="0" w:color="auto"/>
              </w:divBdr>
            </w:div>
            <w:div w:id="327638826">
              <w:marLeft w:val="0"/>
              <w:marRight w:val="0"/>
              <w:marTop w:val="0"/>
              <w:marBottom w:val="0"/>
              <w:divBdr>
                <w:top w:val="none" w:sz="0" w:space="0" w:color="auto"/>
                <w:left w:val="none" w:sz="0" w:space="0" w:color="auto"/>
                <w:bottom w:val="none" w:sz="0" w:space="0" w:color="auto"/>
                <w:right w:val="none" w:sz="0" w:space="0" w:color="auto"/>
              </w:divBdr>
            </w:div>
            <w:div w:id="1760755877">
              <w:marLeft w:val="0"/>
              <w:marRight w:val="0"/>
              <w:marTop w:val="0"/>
              <w:marBottom w:val="0"/>
              <w:divBdr>
                <w:top w:val="none" w:sz="0" w:space="0" w:color="auto"/>
                <w:left w:val="none" w:sz="0" w:space="0" w:color="auto"/>
                <w:bottom w:val="none" w:sz="0" w:space="0" w:color="auto"/>
                <w:right w:val="none" w:sz="0" w:space="0" w:color="auto"/>
              </w:divBdr>
            </w:div>
          </w:divsChild>
        </w:div>
        <w:div w:id="695427194">
          <w:marLeft w:val="0"/>
          <w:marRight w:val="0"/>
          <w:marTop w:val="0"/>
          <w:marBottom w:val="0"/>
          <w:divBdr>
            <w:top w:val="none" w:sz="0" w:space="0" w:color="auto"/>
            <w:left w:val="none" w:sz="0" w:space="0" w:color="auto"/>
            <w:bottom w:val="none" w:sz="0" w:space="0" w:color="auto"/>
            <w:right w:val="none" w:sz="0" w:space="0" w:color="auto"/>
          </w:divBdr>
        </w:div>
        <w:div w:id="984969064">
          <w:marLeft w:val="0"/>
          <w:marRight w:val="0"/>
          <w:marTop w:val="0"/>
          <w:marBottom w:val="0"/>
          <w:divBdr>
            <w:top w:val="none" w:sz="0" w:space="0" w:color="auto"/>
            <w:left w:val="none" w:sz="0" w:space="0" w:color="auto"/>
            <w:bottom w:val="none" w:sz="0" w:space="0" w:color="auto"/>
            <w:right w:val="none" w:sz="0" w:space="0" w:color="auto"/>
          </w:divBdr>
        </w:div>
        <w:div w:id="306477833">
          <w:marLeft w:val="0"/>
          <w:marRight w:val="0"/>
          <w:marTop w:val="0"/>
          <w:marBottom w:val="0"/>
          <w:divBdr>
            <w:top w:val="none" w:sz="0" w:space="0" w:color="auto"/>
            <w:left w:val="none" w:sz="0" w:space="0" w:color="auto"/>
            <w:bottom w:val="none" w:sz="0" w:space="0" w:color="auto"/>
            <w:right w:val="none" w:sz="0" w:space="0" w:color="auto"/>
          </w:divBdr>
        </w:div>
        <w:div w:id="839152561">
          <w:marLeft w:val="0"/>
          <w:marRight w:val="0"/>
          <w:marTop w:val="0"/>
          <w:marBottom w:val="0"/>
          <w:divBdr>
            <w:top w:val="none" w:sz="0" w:space="0" w:color="auto"/>
            <w:left w:val="none" w:sz="0" w:space="0" w:color="auto"/>
            <w:bottom w:val="none" w:sz="0" w:space="0" w:color="auto"/>
            <w:right w:val="none" w:sz="0" w:space="0" w:color="auto"/>
          </w:divBdr>
        </w:div>
        <w:div w:id="2130857888">
          <w:marLeft w:val="0"/>
          <w:marRight w:val="0"/>
          <w:marTop w:val="0"/>
          <w:marBottom w:val="0"/>
          <w:divBdr>
            <w:top w:val="none" w:sz="0" w:space="0" w:color="auto"/>
            <w:left w:val="none" w:sz="0" w:space="0" w:color="auto"/>
            <w:bottom w:val="none" w:sz="0" w:space="0" w:color="auto"/>
            <w:right w:val="none" w:sz="0" w:space="0" w:color="auto"/>
          </w:divBdr>
        </w:div>
        <w:div w:id="1447769444">
          <w:marLeft w:val="0"/>
          <w:marRight w:val="0"/>
          <w:marTop w:val="0"/>
          <w:marBottom w:val="0"/>
          <w:divBdr>
            <w:top w:val="none" w:sz="0" w:space="0" w:color="auto"/>
            <w:left w:val="none" w:sz="0" w:space="0" w:color="auto"/>
            <w:bottom w:val="none" w:sz="0" w:space="0" w:color="auto"/>
            <w:right w:val="none" w:sz="0" w:space="0" w:color="auto"/>
          </w:divBdr>
        </w:div>
        <w:div w:id="1139615113">
          <w:marLeft w:val="0"/>
          <w:marRight w:val="0"/>
          <w:marTop w:val="0"/>
          <w:marBottom w:val="0"/>
          <w:divBdr>
            <w:top w:val="none" w:sz="0" w:space="0" w:color="auto"/>
            <w:left w:val="none" w:sz="0" w:space="0" w:color="auto"/>
            <w:bottom w:val="none" w:sz="0" w:space="0" w:color="auto"/>
            <w:right w:val="none" w:sz="0" w:space="0" w:color="auto"/>
          </w:divBdr>
        </w:div>
      </w:divsChild>
    </w:div>
    <w:div w:id="823277801">
      <w:bodyDiv w:val="1"/>
      <w:marLeft w:val="0"/>
      <w:marRight w:val="0"/>
      <w:marTop w:val="0"/>
      <w:marBottom w:val="0"/>
      <w:divBdr>
        <w:top w:val="none" w:sz="0" w:space="0" w:color="auto"/>
        <w:left w:val="none" w:sz="0" w:space="0" w:color="auto"/>
        <w:bottom w:val="none" w:sz="0" w:space="0" w:color="auto"/>
        <w:right w:val="none" w:sz="0" w:space="0" w:color="auto"/>
      </w:divBdr>
      <w:divsChild>
        <w:div w:id="1719475412">
          <w:marLeft w:val="0"/>
          <w:marRight w:val="0"/>
          <w:marTop w:val="0"/>
          <w:marBottom w:val="0"/>
          <w:divBdr>
            <w:top w:val="none" w:sz="0" w:space="0" w:color="auto"/>
            <w:left w:val="none" w:sz="0" w:space="0" w:color="auto"/>
            <w:bottom w:val="none" w:sz="0" w:space="0" w:color="auto"/>
            <w:right w:val="none" w:sz="0" w:space="0" w:color="auto"/>
          </w:divBdr>
          <w:divsChild>
            <w:div w:id="731729824">
              <w:marLeft w:val="0"/>
              <w:marRight w:val="0"/>
              <w:marTop w:val="0"/>
              <w:marBottom w:val="0"/>
              <w:divBdr>
                <w:top w:val="none" w:sz="0" w:space="0" w:color="auto"/>
                <w:left w:val="none" w:sz="0" w:space="0" w:color="auto"/>
                <w:bottom w:val="none" w:sz="0" w:space="0" w:color="auto"/>
                <w:right w:val="none" w:sz="0" w:space="0" w:color="auto"/>
              </w:divBdr>
            </w:div>
            <w:div w:id="977108899">
              <w:marLeft w:val="0"/>
              <w:marRight w:val="0"/>
              <w:marTop w:val="0"/>
              <w:marBottom w:val="0"/>
              <w:divBdr>
                <w:top w:val="none" w:sz="0" w:space="0" w:color="auto"/>
                <w:left w:val="none" w:sz="0" w:space="0" w:color="auto"/>
                <w:bottom w:val="none" w:sz="0" w:space="0" w:color="auto"/>
                <w:right w:val="none" w:sz="0" w:space="0" w:color="auto"/>
              </w:divBdr>
            </w:div>
            <w:div w:id="806552397">
              <w:marLeft w:val="0"/>
              <w:marRight w:val="0"/>
              <w:marTop w:val="0"/>
              <w:marBottom w:val="0"/>
              <w:divBdr>
                <w:top w:val="none" w:sz="0" w:space="0" w:color="auto"/>
                <w:left w:val="none" w:sz="0" w:space="0" w:color="auto"/>
                <w:bottom w:val="none" w:sz="0" w:space="0" w:color="auto"/>
                <w:right w:val="none" w:sz="0" w:space="0" w:color="auto"/>
              </w:divBdr>
            </w:div>
            <w:div w:id="686907788">
              <w:marLeft w:val="0"/>
              <w:marRight w:val="0"/>
              <w:marTop w:val="0"/>
              <w:marBottom w:val="0"/>
              <w:divBdr>
                <w:top w:val="none" w:sz="0" w:space="0" w:color="auto"/>
                <w:left w:val="none" w:sz="0" w:space="0" w:color="auto"/>
                <w:bottom w:val="none" w:sz="0" w:space="0" w:color="auto"/>
                <w:right w:val="none" w:sz="0" w:space="0" w:color="auto"/>
              </w:divBdr>
            </w:div>
            <w:div w:id="1868910371">
              <w:marLeft w:val="0"/>
              <w:marRight w:val="0"/>
              <w:marTop w:val="0"/>
              <w:marBottom w:val="0"/>
              <w:divBdr>
                <w:top w:val="none" w:sz="0" w:space="0" w:color="auto"/>
                <w:left w:val="none" w:sz="0" w:space="0" w:color="auto"/>
                <w:bottom w:val="none" w:sz="0" w:space="0" w:color="auto"/>
                <w:right w:val="none" w:sz="0" w:space="0" w:color="auto"/>
              </w:divBdr>
            </w:div>
            <w:div w:id="437991456">
              <w:marLeft w:val="0"/>
              <w:marRight w:val="0"/>
              <w:marTop w:val="0"/>
              <w:marBottom w:val="0"/>
              <w:divBdr>
                <w:top w:val="none" w:sz="0" w:space="0" w:color="auto"/>
                <w:left w:val="none" w:sz="0" w:space="0" w:color="auto"/>
                <w:bottom w:val="none" w:sz="0" w:space="0" w:color="auto"/>
                <w:right w:val="none" w:sz="0" w:space="0" w:color="auto"/>
              </w:divBdr>
            </w:div>
            <w:div w:id="1007899312">
              <w:marLeft w:val="0"/>
              <w:marRight w:val="0"/>
              <w:marTop w:val="0"/>
              <w:marBottom w:val="0"/>
              <w:divBdr>
                <w:top w:val="none" w:sz="0" w:space="0" w:color="auto"/>
                <w:left w:val="none" w:sz="0" w:space="0" w:color="auto"/>
                <w:bottom w:val="none" w:sz="0" w:space="0" w:color="auto"/>
                <w:right w:val="none" w:sz="0" w:space="0" w:color="auto"/>
              </w:divBdr>
            </w:div>
            <w:div w:id="1178542723">
              <w:marLeft w:val="0"/>
              <w:marRight w:val="0"/>
              <w:marTop w:val="0"/>
              <w:marBottom w:val="0"/>
              <w:divBdr>
                <w:top w:val="none" w:sz="0" w:space="0" w:color="auto"/>
                <w:left w:val="none" w:sz="0" w:space="0" w:color="auto"/>
                <w:bottom w:val="none" w:sz="0" w:space="0" w:color="auto"/>
                <w:right w:val="none" w:sz="0" w:space="0" w:color="auto"/>
              </w:divBdr>
            </w:div>
            <w:div w:id="68967033">
              <w:marLeft w:val="0"/>
              <w:marRight w:val="0"/>
              <w:marTop w:val="0"/>
              <w:marBottom w:val="0"/>
              <w:divBdr>
                <w:top w:val="none" w:sz="0" w:space="0" w:color="auto"/>
                <w:left w:val="none" w:sz="0" w:space="0" w:color="auto"/>
                <w:bottom w:val="none" w:sz="0" w:space="0" w:color="auto"/>
                <w:right w:val="none" w:sz="0" w:space="0" w:color="auto"/>
              </w:divBdr>
            </w:div>
            <w:div w:id="1764951986">
              <w:marLeft w:val="0"/>
              <w:marRight w:val="0"/>
              <w:marTop w:val="0"/>
              <w:marBottom w:val="0"/>
              <w:divBdr>
                <w:top w:val="none" w:sz="0" w:space="0" w:color="auto"/>
                <w:left w:val="none" w:sz="0" w:space="0" w:color="auto"/>
                <w:bottom w:val="none" w:sz="0" w:space="0" w:color="auto"/>
                <w:right w:val="none" w:sz="0" w:space="0" w:color="auto"/>
              </w:divBdr>
            </w:div>
            <w:div w:id="1122502996">
              <w:marLeft w:val="0"/>
              <w:marRight w:val="0"/>
              <w:marTop w:val="0"/>
              <w:marBottom w:val="0"/>
              <w:divBdr>
                <w:top w:val="none" w:sz="0" w:space="0" w:color="auto"/>
                <w:left w:val="none" w:sz="0" w:space="0" w:color="auto"/>
                <w:bottom w:val="none" w:sz="0" w:space="0" w:color="auto"/>
                <w:right w:val="none" w:sz="0" w:space="0" w:color="auto"/>
              </w:divBdr>
            </w:div>
            <w:div w:id="1542934412">
              <w:marLeft w:val="0"/>
              <w:marRight w:val="0"/>
              <w:marTop w:val="0"/>
              <w:marBottom w:val="0"/>
              <w:divBdr>
                <w:top w:val="none" w:sz="0" w:space="0" w:color="auto"/>
                <w:left w:val="none" w:sz="0" w:space="0" w:color="auto"/>
                <w:bottom w:val="none" w:sz="0" w:space="0" w:color="auto"/>
                <w:right w:val="none" w:sz="0" w:space="0" w:color="auto"/>
              </w:divBdr>
            </w:div>
            <w:div w:id="979844735">
              <w:marLeft w:val="0"/>
              <w:marRight w:val="0"/>
              <w:marTop w:val="0"/>
              <w:marBottom w:val="0"/>
              <w:divBdr>
                <w:top w:val="none" w:sz="0" w:space="0" w:color="auto"/>
                <w:left w:val="none" w:sz="0" w:space="0" w:color="auto"/>
                <w:bottom w:val="none" w:sz="0" w:space="0" w:color="auto"/>
                <w:right w:val="none" w:sz="0" w:space="0" w:color="auto"/>
              </w:divBdr>
            </w:div>
            <w:div w:id="484129545">
              <w:marLeft w:val="0"/>
              <w:marRight w:val="0"/>
              <w:marTop w:val="0"/>
              <w:marBottom w:val="0"/>
              <w:divBdr>
                <w:top w:val="none" w:sz="0" w:space="0" w:color="auto"/>
                <w:left w:val="none" w:sz="0" w:space="0" w:color="auto"/>
                <w:bottom w:val="none" w:sz="0" w:space="0" w:color="auto"/>
                <w:right w:val="none" w:sz="0" w:space="0" w:color="auto"/>
              </w:divBdr>
            </w:div>
            <w:div w:id="1219710861">
              <w:marLeft w:val="0"/>
              <w:marRight w:val="0"/>
              <w:marTop w:val="0"/>
              <w:marBottom w:val="0"/>
              <w:divBdr>
                <w:top w:val="none" w:sz="0" w:space="0" w:color="auto"/>
                <w:left w:val="none" w:sz="0" w:space="0" w:color="auto"/>
                <w:bottom w:val="none" w:sz="0" w:space="0" w:color="auto"/>
                <w:right w:val="none" w:sz="0" w:space="0" w:color="auto"/>
              </w:divBdr>
            </w:div>
            <w:div w:id="225991101">
              <w:marLeft w:val="0"/>
              <w:marRight w:val="0"/>
              <w:marTop w:val="0"/>
              <w:marBottom w:val="0"/>
              <w:divBdr>
                <w:top w:val="none" w:sz="0" w:space="0" w:color="auto"/>
                <w:left w:val="none" w:sz="0" w:space="0" w:color="auto"/>
                <w:bottom w:val="none" w:sz="0" w:space="0" w:color="auto"/>
                <w:right w:val="none" w:sz="0" w:space="0" w:color="auto"/>
              </w:divBdr>
            </w:div>
            <w:div w:id="56393398">
              <w:marLeft w:val="0"/>
              <w:marRight w:val="0"/>
              <w:marTop w:val="0"/>
              <w:marBottom w:val="0"/>
              <w:divBdr>
                <w:top w:val="none" w:sz="0" w:space="0" w:color="auto"/>
                <w:left w:val="none" w:sz="0" w:space="0" w:color="auto"/>
                <w:bottom w:val="none" w:sz="0" w:space="0" w:color="auto"/>
                <w:right w:val="none" w:sz="0" w:space="0" w:color="auto"/>
              </w:divBdr>
            </w:div>
            <w:div w:id="736365867">
              <w:marLeft w:val="0"/>
              <w:marRight w:val="0"/>
              <w:marTop w:val="0"/>
              <w:marBottom w:val="0"/>
              <w:divBdr>
                <w:top w:val="none" w:sz="0" w:space="0" w:color="auto"/>
                <w:left w:val="none" w:sz="0" w:space="0" w:color="auto"/>
                <w:bottom w:val="none" w:sz="0" w:space="0" w:color="auto"/>
                <w:right w:val="none" w:sz="0" w:space="0" w:color="auto"/>
              </w:divBdr>
            </w:div>
            <w:div w:id="652416775">
              <w:marLeft w:val="0"/>
              <w:marRight w:val="0"/>
              <w:marTop w:val="0"/>
              <w:marBottom w:val="0"/>
              <w:divBdr>
                <w:top w:val="none" w:sz="0" w:space="0" w:color="auto"/>
                <w:left w:val="none" w:sz="0" w:space="0" w:color="auto"/>
                <w:bottom w:val="none" w:sz="0" w:space="0" w:color="auto"/>
                <w:right w:val="none" w:sz="0" w:space="0" w:color="auto"/>
              </w:divBdr>
            </w:div>
            <w:div w:id="4478938">
              <w:marLeft w:val="0"/>
              <w:marRight w:val="0"/>
              <w:marTop w:val="0"/>
              <w:marBottom w:val="0"/>
              <w:divBdr>
                <w:top w:val="none" w:sz="0" w:space="0" w:color="auto"/>
                <w:left w:val="none" w:sz="0" w:space="0" w:color="auto"/>
                <w:bottom w:val="none" w:sz="0" w:space="0" w:color="auto"/>
                <w:right w:val="none" w:sz="0" w:space="0" w:color="auto"/>
              </w:divBdr>
            </w:div>
          </w:divsChild>
        </w:div>
        <w:div w:id="184639240">
          <w:marLeft w:val="0"/>
          <w:marRight w:val="0"/>
          <w:marTop w:val="0"/>
          <w:marBottom w:val="0"/>
          <w:divBdr>
            <w:top w:val="none" w:sz="0" w:space="0" w:color="auto"/>
            <w:left w:val="none" w:sz="0" w:space="0" w:color="auto"/>
            <w:bottom w:val="none" w:sz="0" w:space="0" w:color="auto"/>
            <w:right w:val="none" w:sz="0" w:space="0" w:color="auto"/>
          </w:divBdr>
        </w:div>
        <w:div w:id="1732116702">
          <w:marLeft w:val="0"/>
          <w:marRight w:val="0"/>
          <w:marTop w:val="0"/>
          <w:marBottom w:val="0"/>
          <w:divBdr>
            <w:top w:val="none" w:sz="0" w:space="0" w:color="auto"/>
            <w:left w:val="none" w:sz="0" w:space="0" w:color="auto"/>
            <w:bottom w:val="none" w:sz="0" w:space="0" w:color="auto"/>
            <w:right w:val="none" w:sz="0" w:space="0" w:color="auto"/>
          </w:divBdr>
        </w:div>
        <w:div w:id="1130515974">
          <w:marLeft w:val="0"/>
          <w:marRight w:val="0"/>
          <w:marTop w:val="0"/>
          <w:marBottom w:val="0"/>
          <w:divBdr>
            <w:top w:val="none" w:sz="0" w:space="0" w:color="auto"/>
            <w:left w:val="none" w:sz="0" w:space="0" w:color="auto"/>
            <w:bottom w:val="none" w:sz="0" w:space="0" w:color="auto"/>
            <w:right w:val="none" w:sz="0" w:space="0" w:color="auto"/>
          </w:divBdr>
        </w:div>
        <w:div w:id="1290743750">
          <w:marLeft w:val="0"/>
          <w:marRight w:val="0"/>
          <w:marTop w:val="0"/>
          <w:marBottom w:val="0"/>
          <w:divBdr>
            <w:top w:val="none" w:sz="0" w:space="0" w:color="auto"/>
            <w:left w:val="none" w:sz="0" w:space="0" w:color="auto"/>
            <w:bottom w:val="none" w:sz="0" w:space="0" w:color="auto"/>
            <w:right w:val="none" w:sz="0" w:space="0" w:color="auto"/>
          </w:divBdr>
        </w:div>
        <w:div w:id="1214536379">
          <w:marLeft w:val="0"/>
          <w:marRight w:val="0"/>
          <w:marTop w:val="0"/>
          <w:marBottom w:val="0"/>
          <w:divBdr>
            <w:top w:val="none" w:sz="0" w:space="0" w:color="auto"/>
            <w:left w:val="none" w:sz="0" w:space="0" w:color="auto"/>
            <w:bottom w:val="none" w:sz="0" w:space="0" w:color="auto"/>
            <w:right w:val="none" w:sz="0" w:space="0" w:color="auto"/>
          </w:divBdr>
        </w:div>
        <w:div w:id="1578320636">
          <w:marLeft w:val="0"/>
          <w:marRight w:val="0"/>
          <w:marTop w:val="0"/>
          <w:marBottom w:val="0"/>
          <w:divBdr>
            <w:top w:val="none" w:sz="0" w:space="0" w:color="auto"/>
            <w:left w:val="none" w:sz="0" w:space="0" w:color="auto"/>
            <w:bottom w:val="none" w:sz="0" w:space="0" w:color="auto"/>
            <w:right w:val="none" w:sz="0" w:space="0" w:color="auto"/>
          </w:divBdr>
        </w:div>
        <w:div w:id="1593246214">
          <w:marLeft w:val="0"/>
          <w:marRight w:val="0"/>
          <w:marTop w:val="0"/>
          <w:marBottom w:val="0"/>
          <w:divBdr>
            <w:top w:val="none" w:sz="0" w:space="0" w:color="auto"/>
            <w:left w:val="none" w:sz="0" w:space="0" w:color="auto"/>
            <w:bottom w:val="none" w:sz="0" w:space="0" w:color="auto"/>
            <w:right w:val="none" w:sz="0" w:space="0" w:color="auto"/>
          </w:divBdr>
        </w:div>
      </w:divsChild>
    </w:div>
    <w:div w:id="1178078137">
      <w:bodyDiv w:val="1"/>
      <w:marLeft w:val="0"/>
      <w:marRight w:val="0"/>
      <w:marTop w:val="0"/>
      <w:marBottom w:val="0"/>
      <w:divBdr>
        <w:top w:val="none" w:sz="0" w:space="0" w:color="auto"/>
        <w:left w:val="none" w:sz="0" w:space="0" w:color="auto"/>
        <w:bottom w:val="none" w:sz="0" w:space="0" w:color="auto"/>
        <w:right w:val="none" w:sz="0" w:space="0" w:color="auto"/>
      </w:divBdr>
      <w:divsChild>
        <w:div w:id="512838786">
          <w:marLeft w:val="0"/>
          <w:marRight w:val="0"/>
          <w:marTop w:val="0"/>
          <w:marBottom w:val="0"/>
          <w:divBdr>
            <w:top w:val="none" w:sz="0" w:space="0" w:color="auto"/>
            <w:left w:val="none" w:sz="0" w:space="0" w:color="auto"/>
            <w:bottom w:val="none" w:sz="0" w:space="0" w:color="auto"/>
            <w:right w:val="none" w:sz="0" w:space="0" w:color="auto"/>
          </w:divBdr>
          <w:divsChild>
            <w:div w:id="13579223">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056464435">
              <w:marLeft w:val="0"/>
              <w:marRight w:val="0"/>
              <w:marTop w:val="0"/>
              <w:marBottom w:val="0"/>
              <w:divBdr>
                <w:top w:val="none" w:sz="0" w:space="0" w:color="auto"/>
                <w:left w:val="none" w:sz="0" w:space="0" w:color="auto"/>
                <w:bottom w:val="none" w:sz="0" w:space="0" w:color="auto"/>
                <w:right w:val="none" w:sz="0" w:space="0" w:color="auto"/>
              </w:divBdr>
            </w:div>
            <w:div w:id="1744452156">
              <w:marLeft w:val="0"/>
              <w:marRight w:val="0"/>
              <w:marTop w:val="0"/>
              <w:marBottom w:val="0"/>
              <w:divBdr>
                <w:top w:val="none" w:sz="0" w:space="0" w:color="auto"/>
                <w:left w:val="none" w:sz="0" w:space="0" w:color="auto"/>
                <w:bottom w:val="none" w:sz="0" w:space="0" w:color="auto"/>
                <w:right w:val="none" w:sz="0" w:space="0" w:color="auto"/>
              </w:divBdr>
            </w:div>
            <w:div w:id="857813983">
              <w:marLeft w:val="0"/>
              <w:marRight w:val="0"/>
              <w:marTop w:val="0"/>
              <w:marBottom w:val="0"/>
              <w:divBdr>
                <w:top w:val="none" w:sz="0" w:space="0" w:color="auto"/>
                <w:left w:val="none" w:sz="0" w:space="0" w:color="auto"/>
                <w:bottom w:val="none" w:sz="0" w:space="0" w:color="auto"/>
                <w:right w:val="none" w:sz="0" w:space="0" w:color="auto"/>
              </w:divBdr>
            </w:div>
            <w:div w:id="184175045">
              <w:marLeft w:val="0"/>
              <w:marRight w:val="0"/>
              <w:marTop w:val="0"/>
              <w:marBottom w:val="0"/>
              <w:divBdr>
                <w:top w:val="none" w:sz="0" w:space="0" w:color="auto"/>
                <w:left w:val="none" w:sz="0" w:space="0" w:color="auto"/>
                <w:bottom w:val="none" w:sz="0" w:space="0" w:color="auto"/>
                <w:right w:val="none" w:sz="0" w:space="0" w:color="auto"/>
              </w:divBdr>
            </w:div>
            <w:div w:id="588732770">
              <w:marLeft w:val="0"/>
              <w:marRight w:val="0"/>
              <w:marTop w:val="0"/>
              <w:marBottom w:val="0"/>
              <w:divBdr>
                <w:top w:val="none" w:sz="0" w:space="0" w:color="auto"/>
                <w:left w:val="none" w:sz="0" w:space="0" w:color="auto"/>
                <w:bottom w:val="none" w:sz="0" w:space="0" w:color="auto"/>
                <w:right w:val="none" w:sz="0" w:space="0" w:color="auto"/>
              </w:divBdr>
            </w:div>
            <w:div w:id="378556651">
              <w:marLeft w:val="0"/>
              <w:marRight w:val="0"/>
              <w:marTop w:val="0"/>
              <w:marBottom w:val="0"/>
              <w:divBdr>
                <w:top w:val="none" w:sz="0" w:space="0" w:color="auto"/>
                <w:left w:val="none" w:sz="0" w:space="0" w:color="auto"/>
                <w:bottom w:val="none" w:sz="0" w:space="0" w:color="auto"/>
                <w:right w:val="none" w:sz="0" w:space="0" w:color="auto"/>
              </w:divBdr>
            </w:div>
            <w:div w:id="1991857746">
              <w:marLeft w:val="0"/>
              <w:marRight w:val="0"/>
              <w:marTop w:val="0"/>
              <w:marBottom w:val="0"/>
              <w:divBdr>
                <w:top w:val="none" w:sz="0" w:space="0" w:color="auto"/>
                <w:left w:val="none" w:sz="0" w:space="0" w:color="auto"/>
                <w:bottom w:val="none" w:sz="0" w:space="0" w:color="auto"/>
                <w:right w:val="none" w:sz="0" w:space="0" w:color="auto"/>
              </w:divBdr>
            </w:div>
            <w:div w:id="499389599">
              <w:marLeft w:val="0"/>
              <w:marRight w:val="0"/>
              <w:marTop w:val="0"/>
              <w:marBottom w:val="0"/>
              <w:divBdr>
                <w:top w:val="none" w:sz="0" w:space="0" w:color="auto"/>
                <w:left w:val="none" w:sz="0" w:space="0" w:color="auto"/>
                <w:bottom w:val="none" w:sz="0" w:space="0" w:color="auto"/>
                <w:right w:val="none" w:sz="0" w:space="0" w:color="auto"/>
              </w:divBdr>
            </w:div>
            <w:div w:id="465976399">
              <w:marLeft w:val="0"/>
              <w:marRight w:val="0"/>
              <w:marTop w:val="0"/>
              <w:marBottom w:val="0"/>
              <w:divBdr>
                <w:top w:val="none" w:sz="0" w:space="0" w:color="auto"/>
                <w:left w:val="none" w:sz="0" w:space="0" w:color="auto"/>
                <w:bottom w:val="none" w:sz="0" w:space="0" w:color="auto"/>
                <w:right w:val="none" w:sz="0" w:space="0" w:color="auto"/>
              </w:divBdr>
            </w:div>
            <w:div w:id="1073816760">
              <w:marLeft w:val="0"/>
              <w:marRight w:val="0"/>
              <w:marTop w:val="0"/>
              <w:marBottom w:val="0"/>
              <w:divBdr>
                <w:top w:val="none" w:sz="0" w:space="0" w:color="auto"/>
                <w:left w:val="none" w:sz="0" w:space="0" w:color="auto"/>
                <w:bottom w:val="none" w:sz="0" w:space="0" w:color="auto"/>
                <w:right w:val="none" w:sz="0" w:space="0" w:color="auto"/>
              </w:divBdr>
            </w:div>
            <w:div w:id="1186023419">
              <w:marLeft w:val="0"/>
              <w:marRight w:val="0"/>
              <w:marTop w:val="0"/>
              <w:marBottom w:val="0"/>
              <w:divBdr>
                <w:top w:val="none" w:sz="0" w:space="0" w:color="auto"/>
                <w:left w:val="none" w:sz="0" w:space="0" w:color="auto"/>
                <w:bottom w:val="none" w:sz="0" w:space="0" w:color="auto"/>
                <w:right w:val="none" w:sz="0" w:space="0" w:color="auto"/>
              </w:divBdr>
            </w:div>
            <w:div w:id="242688570">
              <w:marLeft w:val="0"/>
              <w:marRight w:val="0"/>
              <w:marTop w:val="0"/>
              <w:marBottom w:val="0"/>
              <w:divBdr>
                <w:top w:val="none" w:sz="0" w:space="0" w:color="auto"/>
                <w:left w:val="none" w:sz="0" w:space="0" w:color="auto"/>
                <w:bottom w:val="none" w:sz="0" w:space="0" w:color="auto"/>
                <w:right w:val="none" w:sz="0" w:space="0" w:color="auto"/>
              </w:divBdr>
            </w:div>
            <w:div w:id="1611742393">
              <w:marLeft w:val="0"/>
              <w:marRight w:val="0"/>
              <w:marTop w:val="0"/>
              <w:marBottom w:val="0"/>
              <w:divBdr>
                <w:top w:val="none" w:sz="0" w:space="0" w:color="auto"/>
                <w:left w:val="none" w:sz="0" w:space="0" w:color="auto"/>
                <w:bottom w:val="none" w:sz="0" w:space="0" w:color="auto"/>
                <w:right w:val="none" w:sz="0" w:space="0" w:color="auto"/>
              </w:divBdr>
            </w:div>
            <w:div w:id="1077747417">
              <w:marLeft w:val="0"/>
              <w:marRight w:val="0"/>
              <w:marTop w:val="0"/>
              <w:marBottom w:val="0"/>
              <w:divBdr>
                <w:top w:val="none" w:sz="0" w:space="0" w:color="auto"/>
                <w:left w:val="none" w:sz="0" w:space="0" w:color="auto"/>
                <w:bottom w:val="none" w:sz="0" w:space="0" w:color="auto"/>
                <w:right w:val="none" w:sz="0" w:space="0" w:color="auto"/>
              </w:divBdr>
            </w:div>
            <w:div w:id="656417233">
              <w:marLeft w:val="0"/>
              <w:marRight w:val="0"/>
              <w:marTop w:val="0"/>
              <w:marBottom w:val="0"/>
              <w:divBdr>
                <w:top w:val="none" w:sz="0" w:space="0" w:color="auto"/>
                <w:left w:val="none" w:sz="0" w:space="0" w:color="auto"/>
                <w:bottom w:val="none" w:sz="0" w:space="0" w:color="auto"/>
                <w:right w:val="none" w:sz="0" w:space="0" w:color="auto"/>
              </w:divBdr>
            </w:div>
            <w:div w:id="1320890757">
              <w:marLeft w:val="0"/>
              <w:marRight w:val="0"/>
              <w:marTop w:val="0"/>
              <w:marBottom w:val="0"/>
              <w:divBdr>
                <w:top w:val="none" w:sz="0" w:space="0" w:color="auto"/>
                <w:left w:val="none" w:sz="0" w:space="0" w:color="auto"/>
                <w:bottom w:val="none" w:sz="0" w:space="0" w:color="auto"/>
                <w:right w:val="none" w:sz="0" w:space="0" w:color="auto"/>
              </w:divBdr>
            </w:div>
            <w:div w:id="1398550588">
              <w:marLeft w:val="0"/>
              <w:marRight w:val="0"/>
              <w:marTop w:val="0"/>
              <w:marBottom w:val="0"/>
              <w:divBdr>
                <w:top w:val="none" w:sz="0" w:space="0" w:color="auto"/>
                <w:left w:val="none" w:sz="0" w:space="0" w:color="auto"/>
                <w:bottom w:val="none" w:sz="0" w:space="0" w:color="auto"/>
                <w:right w:val="none" w:sz="0" w:space="0" w:color="auto"/>
              </w:divBdr>
            </w:div>
            <w:div w:id="52122153">
              <w:marLeft w:val="0"/>
              <w:marRight w:val="0"/>
              <w:marTop w:val="0"/>
              <w:marBottom w:val="0"/>
              <w:divBdr>
                <w:top w:val="none" w:sz="0" w:space="0" w:color="auto"/>
                <w:left w:val="none" w:sz="0" w:space="0" w:color="auto"/>
                <w:bottom w:val="none" w:sz="0" w:space="0" w:color="auto"/>
                <w:right w:val="none" w:sz="0" w:space="0" w:color="auto"/>
              </w:divBdr>
            </w:div>
          </w:divsChild>
        </w:div>
        <w:div w:id="710543485">
          <w:marLeft w:val="0"/>
          <w:marRight w:val="0"/>
          <w:marTop w:val="0"/>
          <w:marBottom w:val="0"/>
          <w:divBdr>
            <w:top w:val="none" w:sz="0" w:space="0" w:color="auto"/>
            <w:left w:val="none" w:sz="0" w:space="0" w:color="auto"/>
            <w:bottom w:val="none" w:sz="0" w:space="0" w:color="auto"/>
            <w:right w:val="none" w:sz="0" w:space="0" w:color="auto"/>
          </w:divBdr>
        </w:div>
        <w:div w:id="922027456">
          <w:marLeft w:val="0"/>
          <w:marRight w:val="0"/>
          <w:marTop w:val="0"/>
          <w:marBottom w:val="0"/>
          <w:divBdr>
            <w:top w:val="none" w:sz="0" w:space="0" w:color="auto"/>
            <w:left w:val="none" w:sz="0" w:space="0" w:color="auto"/>
            <w:bottom w:val="none" w:sz="0" w:space="0" w:color="auto"/>
            <w:right w:val="none" w:sz="0" w:space="0" w:color="auto"/>
          </w:divBdr>
        </w:div>
        <w:div w:id="368184314">
          <w:marLeft w:val="0"/>
          <w:marRight w:val="0"/>
          <w:marTop w:val="0"/>
          <w:marBottom w:val="0"/>
          <w:divBdr>
            <w:top w:val="none" w:sz="0" w:space="0" w:color="auto"/>
            <w:left w:val="none" w:sz="0" w:space="0" w:color="auto"/>
            <w:bottom w:val="none" w:sz="0" w:space="0" w:color="auto"/>
            <w:right w:val="none" w:sz="0" w:space="0" w:color="auto"/>
          </w:divBdr>
        </w:div>
        <w:div w:id="215511463">
          <w:marLeft w:val="0"/>
          <w:marRight w:val="0"/>
          <w:marTop w:val="0"/>
          <w:marBottom w:val="0"/>
          <w:divBdr>
            <w:top w:val="none" w:sz="0" w:space="0" w:color="auto"/>
            <w:left w:val="none" w:sz="0" w:space="0" w:color="auto"/>
            <w:bottom w:val="none" w:sz="0" w:space="0" w:color="auto"/>
            <w:right w:val="none" w:sz="0" w:space="0" w:color="auto"/>
          </w:divBdr>
        </w:div>
        <w:div w:id="1007974965">
          <w:marLeft w:val="0"/>
          <w:marRight w:val="0"/>
          <w:marTop w:val="0"/>
          <w:marBottom w:val="0"/>
          <w:divBdr>
            <w:top w:val="none" w:sz="0" w:space="0" w:color="auto"/>
            <w:left w:val="none" w:sz="0" w:space="0" w:color="auto"/>
            <w:bottom w:val="none" w:sz="0" w:space="0" w:color="auto"/>
            <w:right w:val="none" w:sz="0" w:space="0" w:color="auto"/>
          </w:divBdr>
        </w:div>
        <w:div w:id="1623462701">
          <w:marLeft w:val="0"/>
          <w:marRight w:val="0"/>
          <w:marTop w:val="0"/>
          <w:marBottom w:val="0"/>
          <w:divBdr>
            <w:top w:val="none" w:sz="0" w:space="0" w:color="auto"/>
            <w:left w:val="none" w:sz="0" w:space="0" w:color="auto"/>
            <w:bottom w:val="none" w:sz="0" w:space="0" w:color="auto"/>
            <w:right w:val="none" w:sz="0" w:space="0" w:color="auto"/>
          </w:divBdr>
        </w:div>
        <w:div w:id="1112476500">
          <w:marLeft w:val="0"/>
          <w:marRight w:val="0"/>
          <w:marTop w:val="0"/>
          <w:marBottom w:val="0"/>
          <w:divBdr>
            <w:top w:val="none" w:sz="0" w:space="0" w:color="auto"/>
            <w:left w:val="none" w:sz="0" w:space="0" w:color="auto"/>
            <w:bottom w:val="none" w:sz="0" w:space="0" w:color="auto"/>
            <w:right w:val="none" w:sz="0" w:space="0" w:color="auto"/>
          </w:divBdr>
        </w:div>
        <w:div w:id="367805587">
          <w:marLeft w:val="0"/>
          <w:marRight w:val="0"/>
          <w:marTop w:val="0"/>
          <w:marBottom w:val="0"/>
          <w:divBdr>
            <w:top w:val="none" w:sz="0" w:space="0" w:color="auto"/>
            <w:left w:val="none" w:sz="0" w:space="0" w:color="auto"/>
            <w:bottom w:val="none" w:sz="0" w:space="0" w:color="auto"/>
            <w:right w:val="none" w:sz="0" w:space="0" w:color="auto"/>
          </w:divBdr>
        </w:div>
      </w:divsChild>
    </w:div>
    <w:div w:id="1287159583">
      <w:bodyDiv w:val="1"/>
      <w:marLeft w:val="0"/>
      <w:marRight w:val="0"/>
      <w:marTop w:val="0"/>
      <w:marBottom w:val="0"/>
      <w:divBdr>
        <w:top w:val="none" w:sz="0" w:space="0" w:color="auto"/>
        <w:left w:val="none" w:sz="0" w:space="0" w:color="auto"/>
        <w:bottom w:val="none" w:sz="0" w:space="0" w:color="auto"/>
        <w:right w:val="none" w:sz="0" w:space="0" w:color="auto"/>
      </w:divBdr>
      <w:divsChild>
        <w:div w:id="1692536192">
          <w:marLeft w:val="0"/>
          <w:marRight w:val="0"/>
          <w:marTop w:val="0"/>
          <w:marBottom w:val="0"/>
          <w:divBdr>
            <w:top w:val="none" w:sz="0" w:space="0" w:color="auto"/>
            <w:left w:val="none" w:sz="0" w:space="0" w:color="auto"/>
            <w:bottom w:val="none" w:sz="0" w:space="0" w:color="auto"/>
            <w:right w:val="none" w:sz="0" w:space="0" w:color="auto"/>
          </w:divBdr>
          <w:divsChild>
            <w:div w:id="1332370141">
              <w:marLeft w:val="0"/>
              <w:marRight w:val="0"/>
              <w:marTop w:val="0"/>
              <w:marBottom w:val="0"/>
              <w:divBdr>
                <w:top w:val="none" w:sz="0" w:space="0" w:color="auto"/>
                <w:left w:val="none" w:sz="0" w:space="0" w:color="auto"/>
                <w:bottom w:val="none" w:sz="0" w:space="0" w:color="auto"/>
                <w:right w:val="none" w:sz="0" w:space="0" w:color="auto"/>
              </w:divBdr>
            </w:div>
            <w:div w:id="1624992638">
              <w:marLeft w:val="0"/>
              <w:marRight w:val="0"/>
              <w:marTop w:val="0"/>
              <w:marBottom w:val="0"/>
              <w:divBdr>
                <w:top w:val="none" w:sz="0" w:space="0" w:color="auto"/>
                <w:left w:val="none" w:sz="0" w:space="0" w:color="auto"/>
                <w:bottom w:val="none" w:sz="0" w:space="0" w:color="auto"/>
                <w:right w:val="none" w:sz="0" w:space="0" w:color="auto"/>
              </w:divBdr>
            </w:div>
            <w:div w:id="1504392750">
              <w:marLeft w:val="0"/>
              <w:marRight w:val="0"/>
              <w:marTop w:val="0"/>
              <w:marBottom w:val="0"/>
              <w:divBdr>
                <w:top w:val="none" w:sz="0" w:space="0" w:color="auto"/>
                <w:left w:val="none" w:sz="0" w:space="0" w:color="auto"/>
                <w:bottom w:val="none" w:sz="0" w:space="0" w:color="auto"/>
                <w:right w:val="none" w:sz="0" w:space="0" w:color="auto"/>
              </w:divBdr>
            </w:div>
            <w:div w:id="678119100">
              <w:marLeft w:val="0"/>
              <w:marRight w:val="0"/>
              <w:marTop w:val="0"/>
              <w:marBottom w:val="0"/>
              <w:divBdr>
                <w:top w:val="none" w:sz="0" w:space="0" w:color="auto"/>
                <w:left w:val="none" w:sz="0" w:space="0" w:color="auto"/>
                <w:bottom w:val="none" w:sz="0" w:space="0" w:color="auto"/>
                <w:right w:val="none" w:sz="0" w:space="0" w:color="auto"/>
              </w:divBdr>
            </w:div>
            <w:div w:id="905528226">
              <w:marLeft w:val="0"/>
              <w:marRight w:val="0"/>
              <w:marTop w:val="0"/>
              <w:marBottom w:val="0"/>
              <w:divBdr>
                <w:top w:val="none" w:sz="0" w:space="0" w:color="auto"/>
                <w:left w:val="none" w:sz="0" w:space="0" w:color="auto"/>
                <w:bottom w:val="none" w:sz="0" w:space="0" w:color="auto"/>
                <w:right w:val="none" w:sz="0" w:space="0" w:color="auto"/>
              </w:divBdr>
            </w:div>
            <w:div w:id="1140076958">
              <w:marLeft w:val="0"/>
              <w:marRight w:val="0"/>
              <w:marTop w:val="0"/>
              <w:marBottom w:val="0"/>
              <w:divBdr>
                <w:top w:val="none" w:sz="0" w:space="0" w:color="auto"/>
                <w:left w:val="none" w:sz="0" w:space="0" w:color="auto"/>
                <w:bottom w:val="none" w:sz="0" w:space="0" w:color="auto"/>
                <w:right w:val="none" w:sz="0" w:space="0" w:color="auto"/>
              </w:divBdr>
            </w:div>
            <w:div w:id="543830085">
              <w:marLeft w:val="0"/>
              <w:marRight w:val="0"/>
              <w:marTop w:val="0"/>
              <w:marBottom w:val="0"/>
              <w:divBdr>
                <w:top w:val="none" w:sz="0" w:space="0" w:color="auto"/>
                <w:left w:val="none" w:sz="0" w:space="0" w:color="auto"/>
                <w:bottom w:val="none" w:sz="0" w:space="0" w:color="auto"/>
                <w:right w:val="none" w:sz="0" w:space="0" w:color="auto"/>
              </w:divBdr>
            </w:div>
            <w:div w:id="1824465226">
              <w:marLeft w:val="0"/>
              <w:marRight w:val="0"/>
              <w:marTop w:val="0"/>
              <w:marBottom w:val="0"/>
              <w:divBdr>
                <w:top w:val="none" w:sz="0" w:space="0" w:color="auto"/>
                <w:left w:val="none" w:sz="0" w:space="0" w:color="auto"/>
                <w:bottom w:val="none" w:sz="0" w:space="0" w:color="auto"/>
                <w:right w:val="none" w:sz="0" w:space="0" w:color="auto"/>
              </w:divBdr>
            </w:div>
            <w:div w:id="386300358">
              <w:marLeft w:val="0"/>
              <w:marRight w:val="0"/>
              <w:marTop w:val="0"/>
              <w:marBottom w:val="0"/>
              <w:divBdr>
                <w:top w:val="none" w:sz="0" w:space="0" w:color="auto"/>
                <w:left w:val="none" w:sz="0" w:space="0" w:color="auto"/>
                <w:bottom w:val="none" w:sz="0" w:space="0" w:color="auto"/>
                <w:right w:val="none" w:sz="0" w:space="0" w:color="auto"/>
              </w:divBdr>
            </w:div>
            <w:div w:id="1553955364">
              <w:marLeft w:val="0"/>
              <w:marRight w:val="0"/>
              <w:marTop w:val="0"/>
              <w:marBottom w:val="0"/>
              <w:divBdr>
                <w:top w:val="none" w:sz="0" w:space="0" w:color="auto"/>
                <w:left w:val="none" w:sz="0" w:space="0" w:color="auto"/>
                <w:bottom w:val="none" w:sz="0" w:space="0" w:color="auto"/>
                <w:right w:val="none" w:sz="0" w:space="0" w:color="auto"/>
              </w:divBdr>
            </w:div>
            <w:div w:id="1562406506">
              <w:marLeft w:val="0"/>
              <w:marRight w:val="0"/>
              <w:marTop w:val="0"/>
              <w:marBottom w:val="0"/>
              <w:divBdr>
                <w:top w:val="none" w:sz="0" w:space="0" w:color="auto"/>
                <w:left w:val="none" w:sz="0" w:space="0" w:color="auto"/>
                <w:bottom w:val="none" w:sz="0" w:space="0" w:color="auto"/>
                <w:right w:val="none" w:sz="0" w:space="0" w:color="auto"/>
              </w:divBdr>
            </w:div>
            <w:div w:id="266814468">
              <w:marLeft w:val="0"/>
              <w:marRight w:val="0"/>
              <w:marTop w:val="0"/>
              <w:marBottom w:val="0"/>
              <w:divBdr>
                <w:top w:val="none" w:sz="0" w:space="0" w:color="auto"/>
                <w:left w:val="none" w:sz="0" w:space="0" w:color="auto"/>
                <w:bottom w:val="none" w:sz="0" w:space="0" w:color="auto"/>
                <w:right w:val="none" w:sz="0" w:space="0" w:color="auto"/>
              </w:divBdr>
            </w:div>
            <w:div w:id="1646742869">
              <w:marLeft w:val="0"/>
              <w:marRight w:val="0"/>
              <w:marTop w:val="0"/>
              <w:marBottom w:val="0"/>
              <w:divBdr>
                <w:top w:val="none" w:sz="0" w:space="0" w:color="auto"/>
                <w:left w:val="none" w:sz="0" w:space="0" w:color="auto"/>
                <w:bottom w:val="none" w:sz="0" w:space="0" w:color="auto"/>
                <w:right w:val="none" w:sz="0" w:space="0" w:color="auto"/>
              </w:divBdr>
            </w:div>
            <w:div w:id="1243025995">
              <w:marLeft w:val="0"/>
              <w:marRight w:val="0"/>
              <w:marTop w:val="0"/>
              <w:marBottom w:val="0"/>
              <w:divBdr>
                <w:top w:val="none" w:sz="0" w:space="0" w:color="auto"/>
                <w:left w:val="none" w:sz="0" w:space="0" w:color="auto"/>
                <w:bottom w:val="none" w:sz="0" w:space="0" w:color="auto"/>
                <w:right w:val="none" w:sz="0" w:space="0" w:color="auto"/>
              </w:divBdr>
            </w:div>
            <w:div w:id="1915165990">
              <w:marLeft w:val="0"/>
              <w:marRight w:val="0"/>
              <w:marTop w:val="0"/>
              <w:marBottom w:val="0"/>
              <w:divBdr>
                <w:top w:val="none" w:sz="0" w:space="0" w:color="auto"/>
                <w:left w:val="none" w:sz="0" w:space="0" w:color="auto"/>
                <w:bottom w:val="none" w:sz="0" w:space="0" w:color="auto"/>
                <w:right w:val="none" w:sz="0" w:space="0" w:color="auto"/>
              </w:divBdr>
            </w:div>
            <w:div w:id="1654066788">
              <w:marLeft w:val="0"/>
              <w:marRight w:val="0"/>
              <w:marTop w:val="0"/>
              <w:marBottom w:val="0"/>
              <w:divBdr>
                <w:top w:val="none" w:sz="0" w:space="0" w:color="auto"/>
                <w:left w:val="none" w:sz="0" w:space="0" w:color="auto"/>
                <w:bottom w:val="none" w:sz="0" w:space="0" w:color="auto"/>
                <w:right w:val="none" w:sz="0" w:space="0" w:color="auto"/>
              </w:divBdr>
            </w:div>
            <w:div w:id="1823230333">
              <w:marLeft w:val="0"/>
              <w:marRight w:val="0"/>
              <w:marTop w:val="0"/>
              <w:marBottom w:val="0"/>
              <w:divBdr>
                <w:top w:val="none" w:sz="0" w:space="0" w:color="auto"/>
                <w:left w:val="none" w:sz="0" w:space="0" w:color="auto"/>
                <w:bottom w:val="none" w:sz="0" w:space="0" w:color="auto"/>
                <w:right w:val="none" w:sz="0" w:space="0" w:color="auto"/>
              </w:divBdr>
            </w:div>
            <w:div w:id="1397774895">
              <w:marLeft w:val="0"/>
              <w:marRight w:val="0"/>
              <w:marTop w:val="0"/>
              <w:marBottom w:val="0"/>
              <w:divBdr>
                <w:top w:val="none" w:sz="0" w:space="0" w:color="auto"/>
                <w:left w:val="none" w:sz="0" w:space="0" w:color="auto"/>
                <w:bottom w:val="none" w:sz="0" w:space="0" w:color="auto"/>
                <w:right w:val="none" w:sz="0" w:space="0" w:color="auto"/>
              </w:divBdr>
            </w:div>
            <w:div w:id="1685128665">
              <w:marLeft w:val="0"/>
              <w:marRight w:val="0"/>
              <w:marTop w:val="0"/>
              <w:marBottom w:val="0"/>
              <w:divBdr>
                <w:top w:val="none" w:sz="0" w:space="0" w:color="auto"/>
                <w:left w:val="none" w:sz="0" w:space="0" w:color="auto"/>
                <w:bottom w:val="none" w:sz="0" w:space="0" w:color="auto"/>
                <w:right w:val="none" w:sz="0" w:space="0" w:color="auto"/>
              </w:divBdr>
            </w:div>
            <w:div w:id="1901134774">
              <w:marLeft w:val="0"/>
              <w:marRight w:val="0"/>
              <w:marTop w:val="0"/>
              <w:marBottom w:val="0"/>
              <w:divBdr>
                <w:top w:val="none" w:sz="0" w:space="0" w:color="auto"/>
                <w:left w:val="none" w:sz="0" w:space="0" w:color="auto"/>
                <w:bottom w:val="none" w:sz="0" w:space="0" w:color="auto"/>
                <w:right w:val="none" w:sz="0" w:space="0" w:color="auto"/>
              </w:divBdr>
            </w:div>
          </w:divsChild>
        </w:div>
        <w:div w:id="1840580550">
          <w:marLeft w:val="0"/>
          <w:marRight w:val="0"/>
          <w:marTop w:val="0"/>
          <w:marBottom w:val="0"/>
          <w:divBdr>
            <w:top w:val="none" w:sz="0" w:space="0" w:color="auto"/>
            <w:left w:val="none" w:sz="0" w:space="0" w:color="auto"/>
            <w:bottom w:val="none" w:sz="0" w:space="0" w:color="auto"/>
            <w:right w:val="none" w:sz="0" w:space="0" w:color="auto"/>
          </w:divBdr>
        </w:div>
        <w:div w:id="1012296127">
          <w:marLeft w:val="0"/>
          <w:marRight w:val="0"/>
          <w:marTop w:val="0"/>
          <w:marBottom w:val="0"/>
          <w:divBdr>
            <w:top w:val="none" w:sz="0" w:space="0" w:color="auto"/>
            <w:left w:val="none" w:sz="0" w:space="0" w:color="auto"/>
            <w:bottom w:val="none" w:sz="0" w:space="0" w:color="auto"/>
            <w:right w:val="none" w:sz="0" w:space="0" w:color="auto"/>
          </w:divBdr>
        </w:div>
        <w:div w:id="1561095929">
          <w:marLeft w:val="0"/>
          <w:marRight w:val="0"/>
          <w:marTop w:val="0"/>
          <w:marBottom w:val="0"/>
          <w:divBdr>
            <w:top w:val="none" w:sz="0" w:space="0" w:color="auto"/>
            <w:left w:val="none" w:sz="0" w:space="0" w:color="auto"/>
            <w:bottom w:val="none" w:sz="0" w:space="0" w:color="auto"/>
            <w:right w:val="none" w:sz="0" w:space="0" w:color="auto"/>
          </w:divBdr>
        </w:div>
        <w:div w:id="40063010">
          <w:marLeft w:val="0"/>
          <w:marRight w:val="0"/>
          <w:marTop w:val="0"/>
          <w:marBottom w:val="0"/>
          <w:divBdr>
            <w:top w:val="none" w:sz="0" w:space="0" w:color="auto"/>
            <w:left w:val="none" w:sz="0" w:space="0" w:color="auto"/>
            <w:bottom w:val="none" w:sz="0" w:space="0" w:color="auto"/>
            <w:right w:val="none" w:sz="0" w:space="0" w:color="auto"/>
          </w:divBdr>
        </w:div>
        <w:div w:id="963922749">
          <w:marLeft w:val="0"/>
          <w:marRight w:val="0"/>
          <w:marTop w:val="0"/>
          <w:marBottom w:val="0"/>
          <w:divBdr>
            <w:top w:val="none" w:sz="0" w:space="0" w:color="auto"/>
            <w:left w:val="none" w:sz="0" w:space="0" w:color="auto"/>
            <w:bottom w:val="none" w:sz="0" w:space="0" w:color="auto"/>
            <w:right w:val="none" w:sz="0" w:space="0" w:color="auto"/>
          </w:divBdr>
        </w:div>
        <w:div w:id="170068463">
          <w:marLeft w:val="0"/>
          <w:marRight w:val="0"/>
          <w:marTop w:val="0"/>
          <w:marBottom w:val="0"/>
          <w:divBdr>
            <w:top w:val="none" w:sz="0" w:space="0" w:color="auto"/>
            <w:left w:val="none" w:sz="0" w:space="0" w:color="auto"/>
            <w:bottom w:val="none" w:sz="0" w:space="0" w:color="auto"/>
            <w:right w:val="none" w:sz="0" w:space="0" w:color="auto"/>
          </w:divBdr>
        </w:div>
        <w:div w:id="827550882">
          <w:marLeft w:val="0"/>
          <w:marRight w:val="0"/>
          <w:marTop w:val="0"/>
          <w:marBottom w:val="0"/>
          <w:divBdr>
            <w:top w:val="none" w:sz="0" w:space="0" w:color="auto"/>
            <w:left w:val="none" w:sz="0" w:space="0" w:color="auto"/>
            <w:bottom w:val="none" w:sz="0" w:space="0" w:color="auto"/>
            <w:right w:val="none" w:sz="0" w:space="0" w:color="auto"/>
          </w:divBdr>
        </w:div>
        <w:div w:id="793983722">
          <w:marLeft w:val="0"/>
          <w:marRight w:val="0"/>
          <w:marTop w:val="0"/>
          <w:marBottom w:val="0"/>
          <w:divBdr>
            <w:top w:val="none" w:sz="0" w:space="0" w:color="auto"/>
            <w:left w:val="none" w:sz="0" w:space="0" w:color="auto"/>
            <w:bottom w:val="none" w:sz="0" w:space="0" w:color="auto"/>
            <w:right w:val="none" w:sz="0" w:space="0" w:color="auto"/>
          </w:divBdr>
        </w:div>
      </w:divsChild>
    </w:div>
    <w:div w:id="1387485824">
      <w:bodyDiv w:val="1"/>
      <w:marLeft w:val="0"/>
      <w:marRight w:val="0"/>
      <w:marTop w:val="0"/>
      <w:marBottom w:val="0"/>
      <w:divBdr>
        <w:top w:val="none" w:sz="0" w:space="0" w:color="auto"/>
        <w:left w:val="none" w:sz="0" w:space="0" w:color="auto"/>
        <w:bottom w:val="none" w:sz="0" w:space="0" w:color="auto"/>
        <w:right w:val="none" w:sz="0" w:space="0" w:color="auto"/>
      </w:divBdr>
      <w:divsChild>
        <w:div w:id="566189773">
          <w:marLeft w:val="0"/>
          <w:marRight w:val="0"/>
          <w:marTop w:val="0"/>
          <w:marBottom w:val="0"/>
          <w:divBdr>
            <w:top w:val="none" w:sz="0" w:space="0" w:color="auto"/>
            <w:left w:val="none" w:sz="0" w:space="0" w:color="auto"/>
            <w:bottom w:val="none" w:sz="0" w:space="0" w:color="auto"/>
            <w:right w:val="none" w:sz="0" w:space="0" w:color="auto"/>
          </w:divBdr>
          <w:divsChild>
            <w:div w:id="532116940">
              <w:marLeft w:val="0"/>
              <w:marRight w:val="0"/>
              <w:marTop w:val="0"/>
              <w:marBottom w:val="0"/>
              <w:divBdr>
                <w:top w:val="none" w:sz="0" w:space="0" w:color="auto"/>
                <w:left w:val="none" w:sz="0" w:space="0" w:color="auto"/>
                <w:bottom w:val="none" w:sz="0" w:space="0" w:color="auto"/>
                <w:right w:val="none" w:sz="0" w:space="0" w:color="auto"/>
              </w:divBdr>
            </w:div>
            <w:div w:id="866337719">
              <w:marLeft w:val="0"/>
              <w:marRight w:val="0"/>
              <w:marTop w:val="0"/>
              <w:marBottom w:val="0"/>
              <w:divBdr>
                <w:top w:val="none" w:sz="0" w:space="0" w:color="auto"/>
                <w:left w:val="none" w:sz="0" w:space="0" w:color="auto"/>
                <w:bottom w:val="none" w:sz="0" w:space="0" w:color="auto"/>
                <w:right w:val="none" w:sz="0" w:space="0" w:color="auto"/>
              </w:divBdr>
            </w:div>
            <w:div w:id="1365863192">
              <w:marLeft w:val="0"/>
              <w:marRight w:val="0"/>
              <w:marTop w:val="0"/>
              <w:marBottom w:val="0"/>
              <w:divBdr>
                <w:top w:val="none" w:sz="0" w:space="0" w:color="auto"/>
                <w:left w:val="none" w:sz="0" w:space="0" w:color="auto"/>
                <w:bottom w:val="none" w:sz="0" w:space="0" w:color="auto"/>
                <w:right w:val="none" w:sz="0" w:space="0" w:color="auto"/>
              </w:divBdr>
            </w:div>
            <w:div w:id="222259061">
              <w:marLeft w:val="0"/>
              <w:marRight w:val="0"/>
              <w:marTop w:val="0"/>
              <w:marBottom w:val="0"/>
              <w:divBdr>
                <w:top w:val="none" w:sz="0" w:space="0" w:color="auto"/>
                <w:left w:val="none" w:sz="0" w:space="0" w:color="auto"/>
                <w:bottom w:val="none" w:sz="0" w:space="0" w:color="auto"/>
                <w:right w:val="none" w:sz="0" w:space="0" w:color="auto"/>
              </w:divBdr>
            </w:div>
            <w:div w:id="722172749">
              <w:marLeft w:val="0"/>
              <w:marRight w:val="0"/>
              <w:marTop w:val="0"/>
              <w:marBottom w:val="0"/>
              <w:divBdr>
                <w:top w:val="none" w:sz="0" w:space="0" w:color="auto"/>
                <w:left w:val="none" w:sz="0" w:space="0" w:color="auto"/>
                <w:bottom w:val="none" w:sz="0" w:space="0" w:color="auto"/>
                <w:right w:val="none" w:sz="0" w:space="0" w:color="auto"/>
              </w:divBdr>
            </w:div>
            <w:div w:id="1620606177">
              <w:marLeft w:val="0"/>
              <w:marRight w:val="0"/>
              <w:marTop w:val="0"/>
              <w:marBottom w:val="0"/>
              <w:divBdr>
                <w:top w:val="none" w:sz="0" w:space="0" w:color="auto"/>
                <w:left w:val="none" w:sz="0" w:space="0" w:color="auto"/>
                <w:bottom w:val="none" w:sz="0" w:space="0" w:color="auto"/>
                <w:right w:val="none" w:sz="0" w:space="0" w:color="auto"/>
              </w:divBdr>
            </w:div>
            <w:div w:id="1653365373">
              <w:marLeft w:val="0"/>
              <w:marRight w:val="0"/>
              <w:marTop w:val="0"/>
              <w:marBottom w:val="0"/>
              <w:divBdr>
                <w:top w:val="none" w:sz="0" w:space="0" w:color="auto"/>
                <w:left w:val="none" w:sz="0" w:space="0" w:color="auto"/>
                <w:bottom w:val="none" w:sz="0" w:space="0" w:color="auto"/>
                <w:right w:val="none" w:sz="0" w:space="0" w:color="auto"/>
              </w:divBdr>
            </w:div>
            <w:div w:id="409232478">
              <w:marLeft w:val="0"/>
              <w:marRight w:val="0"/>
              <w:marTop w:val="0"/>
              <w:marBottom w:val="0"/>
              <w:divBdr>
                <w:top w:val="none" w:sz="0" w:space="0" w:color="auto"/>
                <w:left w:val="none" w:sz="0" w:space="0" w:color="auto"/>
                <w:bottom w:val="none" w:sz="0" w:space="0" w:color="auto"/>
                <w:right w:val="none" w:sz="0" w:space="0" w:color="auto"/>
              </w:divBdr>
            </w:div>
            <w:div w:id="527834263">
              <w:marLeft w:val="0"/>
              <w:marRight w:val="0"/>
              <w:marTop w:val="0"/>
              <w:marBottom w:val="0"/>
              <w:divBdr>
                <w:top w:val="none" w:sz="0" w:space="0" w:color="auto"/>
                <w:left w:val="none" w:sz="0" w:space="0" w:color="auto"/>
                <w:bottom w:val="none" w:sz="0" w:space="0" w:color="auto"/>
                <w:right w:val="none" w:sz="0" w:space="0" w:color="auto"/>
              </w:divBdr>
            </w:div>
            <w:div w:id="1367564386">
              <w:marLeft w:val="0"/>
              <w:marRight w:val="0"/>
              <w:marTop w:val="0"/>
              <w:marBottom w:val="0"/>
              <w:divBdr>
                <w:top w:val="none" w:sz="0" w:space="0" w:color="auto"/>
                <w:left w:val="none" w:sz="0" w:space="0" w:color="auto"/>
                <w:bottom w:val="none" w:sz="0" w:space="0" w:color="auto"/>
                <w:right w:val="none" w:sz="0" w:space="0" w:color="auto"/>
              </w:divBdr>
            </w:div>
            <w:div w:id="976881390">
              <w:marLeft w:val="0"/>
              <w:marRight w:val="0"/>
              <w:marTop w:val="0"/>
              <w:marBottom w:val="0"/>
              <w:divBdr>
                <w:top w:val="none" w:sz="0" w:space="0" w:color="auto"/>
                <w:left w:val="none" w:sz="0" w:space="0" w:color="auto"/>
                <w:bottom w:val="none" w:sz="0" w:space="0" w:color="auto"/>
                <w:right w:val="none" w:sz="0" w:space="0" w:color="auto"/>
              </w:divBdr>
            </w:div>
            <w:div w:id="1364280702">
              <w:marLeft w:val="0"/>
              <w:marRight w:val="0"/>
              <w:marTop w:val="0"/>
              <w:marBottom w:val="0"/>
              <w:divBdr>
                <w:top w:val="none" w:sz="0" w:space="0" w:color="auto"/>
                <w:left w:val="none" w:sz="0" w:space="0" w:color="auto"/>
                <w:bottom w:val="none" w:sz="0" w:space="0" w:color="auto"/>
                <w:right w:val="none" w:sz="0" w:space="0" w:color="auto"/>
              </w:divBdr>
            </w:div>
            <w:div w:id="508907719">
              <w:marLeft w:val="0"/>
              <w:marRight w:val="0"/>
              <w:marTop w:val="0"/>
              <w:marBottom w:val="0"/>
              <w:divBdr>
                <w:top w:val="none" w:sz="0" w:space="0" w:color="auto"/>
                <w:left w:val="none" w:sz="0" w:space="0" w:color="auto"/>
                <w:bottom w:val="none" w:sz="0" w:space="0" w:color="auto"/>
                <w:right w:val="none" w:sz="0" w:space="0" w:color="auto"/>
              </w:divBdr>
            </w:div>
            <w:div w:id="9331766">
              <w:marLeft w:val="0"/>
              <w:marRight w:val="0"/>
              <w:marTop w:val="0"/>
              <w:marBottom w:val="0"/>
              <w:divBdr>
                <w:top w:val="none" w:sz="0" w:space="0" w:color="auto"/>
                <w:left w:val="none" w:sz="0" w:space="0" w:color="auto"/>
                <w:bottom w:val="none" w:sz="0" w:space="0" w:color="auto"/>
                <w:right w:val="none" w:sz="0" w:space="0" w:color="auto"/>
              </w:divBdr>
            </w:div>
            <w:div w:id="1596748781">
              <w:marLeft w:val="0"/>
              <w:marRight w:val="0"/>
              <w:marTop w:val="0"/>
              <w:marBottom w:val="0"/>
              <w:divBdr>
                <w:top w:val="none" w:sz="0" w:space="0" w:color="auto"/>
                <w:left w:val="none" w:sz="0" w:space="0" w:color="auto"/>
                <w:bottom w:val="none" w:sz="0" w:space="0" w:color="auto"/>
                <w:right w:val="none" w:sz="0" w:space="0" w:color="auto"/>
              </w:divBdr>
            </w:div>
            <w:div w:id="830099175">
              <w:marLeft w:val="0"/>
              <w:marRight w:val="0"/>
              <w:marTop w:val="0"/>
              <w:marBottom w:val="0"/>
              <w:divBdr>
                <w:top w:val="none" w:sz="0" w:space="0" w:color="auto"/>
                <w:left w:val="none" w:sz="0" w:space="0" w:color="auto"/>
                <w:bottom w:val="none" w:sz="0" w:space="0" w:color="auto"/>
                <w:right w:val="none" w:sz="0" w:space="0" w:color="auto"/>
              </w:divBdr>
            </w:div>
            <w:div w:id="777870138">
              <w:marLeft w:val="0"/>
              <w:marRight w:val="0"/>
              <w:marTop w:val="0"/>
              <w:marBottom w:val="0"/>
              <w:divBdr>
                <w:top w:val="none" w:sz="0" w:space="0" w:color="auto"/>
                <w:left w:val="none" w:sz="0" w:space="0" w:color="auto"/>
                <w:bottom w:val="none" w:sz="0" w:space="0" w:color="auto"/>
                <w:right w:val="none" w:sz="0" w:space="0" w:color="auto"/>
              </w:divBdr>
            </w:div>
            <w:div w:id="1773354630">
              <w:marLeft w:val="0"/>
              <w:marRight w:val="0"/>
              <w:marTop w:val="0"/>
              <w:marBottom w:val="0"/>
              <w:divBdr>
                <w:top w:val="none" w:sz="0" w:space="0" w:color="auto"/>
                <w:left w:val="none" w:sz="0" w:space="0" w:color="auto"/>
                <w:bottom w:val="none" w:sz="0" w:space="0" w:color="auto"/>
                <w:right w:val="none" w:sz="0" w:space="0" w:color="auto"/>
              </w:divBdr>
            </w:div>
            <w:div w:id="816921186">
              <w:marLeft w:val="0"/>
              <w:marRight w:val="0"/>
              <w:marTop w:val="0"/>
              <w:marBottom w:val="0"/>
              <w:divBdr>
                <w:top w:val="none" w:sz="0" w:space="0" w:color="auto"/>
                <w:left w:val="none" w:sz="0" w:space="0" w:color="auto"/>
                <w:bottom w:val="none" w:sz="0" w:space="0" w:color="auto"/>
                <w:right w:val="none" w:sz="0" w:space="0" w:color="auto"/>
              </w:divBdr>
            </w:div>
            <w:div w:id="1345783909">
              <w:marLeft w:val="0"/>
              <w:marRight w:val="0"/>
              <w:marTop w:val="0"/>
              <w:marBottom w:val="0"/>
              <w:divBdr>
                <w:top w:val="none" w:sz="0" w:space="0" w:color="auto"/>
                <w:left w:val="none" w:sz="0" w:space="0" w:color="auto"/>
                <w:bottom w:val="none" w:sz="0" w:space="0" w:color="auto"/>
                <w:right w:val="none" w:sz="0" w:space="0" w:color="auto"/>
              </w:divBdr>
            </w:div>
          </w:divsChild>
        </w:div>
        <w:div w:id="155197337">
          <w:marLeft w:val="0"/>
          <w:marRight w:val="0"/>
          <w:marTop w:val="0"/>
          <w:marBottom w:val="0"/>
          <w:divBdr>
            <w:top w:val="none" w:sz="0" w:space="0" w:color="auto"/>
            <w:left w:val="none" w:sz="0" w:space="0" w:color="auto"/>
            <w:bottom w:val="none" w:sz="0" w:space="0" w:color="auto"/>
            <w:right w:val="none" w:sz="0" w:space="0" w:color="auto"/>
          </w:divBdr>
        </w:div>
        <w:div w:id="990714165">
          <w:marLeft w:val="0"/>
          <w:marRight w:val="0"/>
          <w:marTop w:val="0"/>
          <w:marBottom w:val="0"/>
          <w:divBdr>
            <w:top w:val="none" w:sz="0" w:space="0" w:color="auto"/>
            <w:left w:val="none" w:sz="0" w:space="0" w:color="auto"/>
            <w:bottom w:val="none" w:sz="0" w:space="0" w:color="auto"/>
            <w:right w:val="none" w:sz="0" w:space="0" w:color="auto"/>
          </w:divBdr>
        </w:div>
        <w:div w:id="274792931">
          <w:marLeft w:val="0"/>
          <w:marRight w:val="0"/>
          <w:marTop w:val="0"/>
          <w:marBottom w:val="0"/>
          <w:divBdr>
            <w:top w:val="none" w:sz="0" w:space="0" w:color="auto"/>
            <w:left w:val="none" w:sz="0" w:space="0" w:color="auto"/>
            <w:bottom w:val="none" w:sz="0" w:space="0" w:color="auto"/>
            <w:right w:val="none" w:sz="0" w:space="0" w:color="auto"/>
          </w:divBdr>
        </w:div>
        <w:div w:id="2001276871">
          <w:marLeft w:val="0"/>
          <w:marRight w:val="0"/>
          <w:marTop w:val="0"/>
          <w:marBottom w:val="0"/>
          <w:divBdr>
            <w:top w:val="none" w:sz="0" w:space="0" w:color="auto"/>
            <w:left w:val="none" w:sz="0" w:space="0" w:color="auto"/>
            <w:bottom w:val="none" w:sz="0" w:space="0" w:color="auto"/>
            <w:right w:val="none" w:sz="0" w:space="0" w:color="auto"/>
          </w:divBdr>
        </w:div>
        <w:div w:id="1167134261">
          <w:marLeft w:val="0"/>
          <w:marRight w:val="0"/>
          <w:marTop w:val="0"/>
          <w:marBottom w:val="0"/>
          <w:divBdr>
            <w:top w:val="none" w:sz="0" w:space="0" w:color="auto"/>
            <w:left w:val="none" w:sz="0" w:space="0" w:color="auto"/>
            <w:bottom w:val="none" w:sz="0" w:space="0" w:color="auto"/>
            <w:right w:val="none" w:sz="0" w:space="0" w:color="auto"/>
          </w:divBdr>
        </w:div>
        <w:div w:id="436868434">
          <w:marLeft w:val="0"/>
          <w:marRight w:val="0"/>
          <w:marTop w:val="0"/>
          <w:marBottom w:val="0"/>
          <w:divBdr>
            <w:top w:val="none" w:sz="0" w:space="0" w:color="auto"/>
            <w:left w:val="none" w:sz="0" w:space="0" w:color="auto"/>
            <w:bottom w:val="none" w:sz="0" w:space="0" w:color="auto"/>
            <w:right w:val="none" w:sz="0" w:space="0" w:color="auto"/>
          </w:divBdr>
        </w:div>
        <w:div w:id="1878851599">
          <w:marLeft w:val="0"/>
          <w:marRight w:val="0"/>
          <w:marTop w:val="0"/>
          <w:marBottom w:val="0"/>
          <w:divBdr>
            <w:top w:val="none" w:sz="0" w:space="0" w:color="auto"/>
            <w:left w:val="none" w:sz="0" w:space="0" w:color="auto"/>
            <w:bottom w:val="none" w:sz="0" w:space="0" w:color="auto"/>
            <w:right w:val="none" w:sz="0" w:space="0" w:color="auto"/>
          </w:divBdr>
        </w:div>
        <w:div w:id="1374575124">
          <w:marLeft w:val="0"/>
          <w:marRight w:val="0"/>
          <w:marTop w:val="0"/>
          <w:marBottom w:val="0"/>
          <w:divBdr>
            <w:top w:val="none" w:sz="0" w:space="0" w:color="auto"/>
            <w:left w:val="none" w:sz="0" w:space="0" w:color="auto"/>
            <w:bottom w:val="none" w:sz="0" w:space="0" w:color="auto"/>
            <w:right w:val="none" w:sz="0" w:space="0" w:color="auto"/>
          </w:divBdr>
        </w:div>
      </w:divsChild>
    </w:div>
    <w:div w:id="1982298401">
      <w:bodyDiv w:val="1"/>
      <w:marLeft w:val="0"/>
      <w:marRight w:val="0"/>
      <w:marTop w:val="0"/>
      <w:marBottom w:val="0"/>
      <w:divBdr>
        <w:top w:val="none" w:sz="0" w:space="0" w:color="auto"/>
        <w:left w:val="none" w:sz="0" w:space="0" w:color="auto"/>
        <w:bottom w:val="none" w:sz="0" w:space="0" w:color="auto"/>
        <w:right w:val="none" w:sz="0" w:space="0" w:color="auto"/>
      </w:divBdr>
      <w:divsChild>
        <w:div w:id="1252659796">
          <w:marLeft w:val="0"/>
          <w:marRight w:val="0"/>
          <w:marTop w:val="0"/>
          <w:marBottom w:val="0"/>
          <w:divBdr>
            <w:top w:val="none" w:sz="0" w:space="0" w:color="auto"/>
            <w:left w:val="none" w:sz="0" w:space="0" w:color="auto"/>
            <w:bottom w:val="none" w:sz="0" w:space="0" w:color="auto"/>
            <w:right w:val="none" w:sz="0" w:space="0" w:color="auto"/>
          </w:divBdr>
          <w:divsChild>
            <w:div w:id="325329250">
              <w:marLeft w:val="0"/>
              <w:marRight w:val="0"/>
              <w:marTop w:val="0"/>
              <w:marBottom w:val="0"/>
              <w:divBdr>
                <w:top w:val="none" w:sz="0" w:space="0" w:color="auto"/>
                <w:left w:val="none" w:sz="0" w:space="0" w:color="auto"/>
                <w:bottom w:val="none" w:sz="0" w:space="0" w:color="auto"/>
                <w:right w:val="none" w:sz="0" w:space="0" w:color="auto"/>
              </w:divBdr>
            </w:div>
            <w:div w:id="766924635">
              <w:marLeft w:val="0"/>
              <w:marRight w:val="0"/>
              <w:marTop w:val="0"/>
              <w:marBottom w:val="0"/>
              <w:divBdr>
                <w:top w:val="none" w:sz="0" w:space="0" w:color="auto"/>
                <w:left w:val="none" w:sz="0" w:space="0" w:color="auto"/>
                <w:bottom w:val="none" w:sz="0" w:space="0" w:color="auto"/>
                <w:right w:val="none" w:sz="0" w:space="0" w:color="auto"/>
              </w:divBdr>
            </w:div>
            <w:div w:id="1742411862">
              <w:marLeft w:val="0"/>
              <w:marRight w:val="0"/>
              <w:marTop w:val="0"/>
              <w:marBottom w:val="0"/>
              <w:divBdr>
                <w:top w:val="none" w:sz="0" w:space="0" w:color="auto"/>
                <w:left w:val="none" w:sz="0" w:space="0" w:color="auto"/>
                <w:bottom w:val="none" w:sz="0" w:space="0" w:color="auto"/>
                <w:right w:val="none" w:sz="0" w:space="0" w:color="auto"/>
              </w:divBdr>
            </w:div>
            <w:div w:id="633174811">
              <w:marLeft w:val="0"/>
              <w:marRight w:val="0"/>
              <w:marTop w:val="0"/>
              <w:marBottom w:val="0"/>
              <w:divBdr>
                <w:top w:val="none" w:sz="0" w:space="0" w:color="auto"/>
                <w:left w:val="none" w:sz="0" w:space="0" w:color="auto"/>
                <w:bottom w:val="none" w:sz="0" w:space="0" w:color="auto"/>
                <w:right w:val="none" w:sz="0" w:space="0" w:color="auto"/>
              </w:divBdr>
            </w:div>
            <w:div w:id="1667904160">
              <w:marLeft w:val="0"/>
              <w:marRight w:val="0"/>
              <w:marTop w:val="0"/>
              <w:marBottom w:val="0"/>
              <w:divBdr>
                <w:top w:val="none" w:sz="0" w:space="0" w:color="auto"/>
                <w:left w:val="none" w:sz="0" w:space="0" w:color="auto"/>
                <w:bottom w:val="none" w:sz="0" w:space="0" w:color="auto"/>
                <w:right w:val="none" w:sz="0" w:space="0" w:color="auto"/>
              </w:divBdr>
            </w:div>
            <w:div w:id="813445314">
              <w:marLeft w:val="0"/>
              <w:marRight w:val="0"/>
              <w:marTop w:val="0"/>
              <w:marBottom w:val="0"/>
              <w:divBdr>
                <w:top w:val="none" w:sz="0" w:space="0" w:color="auto"/>
                <w:left w:val="none" w:sz="0" w:space="0" w:color="auto"/>
                <w:bottom w:val="none" w:sz="0" w:space="0" w:color="auto"/>
                <w:right w:val="none" w:sz="0" w:space="0" w:color="auto"/>
              </w:divBdr>
            </w:div>
            <w:div w:id="145781632">
              <w:marLeft w:val="0"/>
              <w:marRight w:val="0"/>
              <w:marTop w:val="0"/>
              <w:marBottom w:val="0"/>
              <w:divBdr>
                <w:top w:val="none" w:sz="0" w:space="0" w:color="auto"/>
                <w:left w:val="none" w:sz="0" w:space="0" w:color="auto"/>
                <w:bottom w:val="none" w:sz="0" w:space="0" w:color="auto"/>
                <w:right w:val="none" w:sz="0" w:space="0" w:color="auto"/>
              </w:divBdr>
            </w:div>
            <w:div w:id="232593110">
              <w:marLeft w:val="0"/>
              <w:marRight w:val="0"/>
              <w:marTop w:val="0"/>
              <w:marBottom w:val="0"/>
              <w:divBdr>
                <w:top w:val="none" w:sz="0" w:space="0" w:color="auto"/>
                <w:left w:val="none" w:sz="0" w:space="0" w:color="auto"/>
                <w:bottom w:val="none" w:sz="0" w:space="0" w:color="auto"/>
                <w:right w:val="none" w:sz="0" w:space="0" w:color="auto"/>
              </w:divBdr>
            </w:div>
            <w:div w:id="770055279">
              <w:marLeft w:val="0"/>
              <w:marRight w:val="0"/>
              <w:marTop w:val="0"/>
              <w:marBottom w:val="0"/>
              <w:divBdr>
                <w:top w:val="none" w:sz="0" w:space="0" w:color="auto"/>
                <w:left w:val="none" w:sz="0" w:space="0" w:color="auto"/>
                <w:bottom w:val="none" w:sz="0" w:space="0" w:color="auto"/>
                <w:right w:val="none" w:sz="0" w:space="0" w:color="auto"/>
              </w:divBdr>
            </w:div>
            <w:div w:id="1365519042">
              <w:marLeft w:val="0"/>
              <w:marRight w:val="0"/>
              <w:marTop w:val="0"/>
              <w:marBottom w:val="0"/>
              <w:divBdr>
                <w:top w:val="none" w:sz="0" w:space="0" w:color="auto"/>
                <w:left w:val="none" w:sz="0" w:space="0" w:color="auto"/>
                <w:bottom w:val="none" w:sz="0" w:space="0" w:color="auto"/>
                <w:right w:val="none" w:sz="0" w:space="0" w:color="auto"/>
              </w:divBdr>
            </w:div>
            <w:div w:id="1467233938">
              <w:marLeft w:val="0"/>
              <w:marRight w:val="0"/>
              <w:marTop w:val="0"/>
              <w:marBottom w:val="0"/>
              <w:divBdr>
                <w:top w:val="none" w:sz="0" w:space="0" w:color="auto"/>
                <w:left w:val="none" w:sz="0" w:space="0" w:color="auto"/>
                <w:bottom w:val="none" w:sz="0" w:space="0" w:color="auto"/>
                <w:right w:val="none" w:sz="0" w:space="0" w:color="auto"/>
              </w:divBdr>
            </w:div>
            <w:div w:id="553663971">
              <w:marLeft w:val="0"/>
              <w:marRight w:val="0"/>
              <w:marTop w:val="0"/>
              <w:marBottom w:val="0"/>
              <w:divBdr>
                <w:top w:val="none" w:sz="0" w:space="0" w:color="auto"/>
                <w:left w:val="none" w:sz="0" w:space="0" w:color="auto"/>
                <w:bottom w:val="none" w:sz="0" w:space="0" w:color="auto"/>
                <w:right w:val="none" w:sz="0" w:space="0" w:color="auto"/>
              </w:divBdr>
            </w:div>
            <w:div w:id="1216506198">
              <w:marLeft w:val="0"/>
              <w:marRight w:val="0"/>
              <w:marTop w:val="0"/>
              <w:marBottom w:val="0"/>
              <w:divBdr>
                <w:top w:val="none" w:sz="0" w:space="0" w:color="auto"/>
                <w:left w:val="none" w:sz="0" w:space="0" w:color="auto"/>
                <w:bottom w:val="none" w:sz="0" w:space="0" w:color="auto"/>
                <w:right w:val="none" w:sz="0" w:space="0" w:color="auto"/>
              </w:divBdr>
            </w:div>
            <w:div w:id="754668078">
              <w:marLeft w:val="0"/>
              <w:marRight w:val="0"/>
              <w:marTop w:val="0"/>
              <w:marBottom w:val="0"/>
              <w:divBdr>
                <w:top w:val="none" w:sz="0" w:space="0" w:color="auto"/>
                <w:left w:val="none" w:sz="0" w:space="0" w:color="auto"/>
                <w:bottom w:val="none" w:sz="0" w:space="0" w:color="auto"/>
                <w:right w:val="none" w:sz="0" w:space="0" w:color="auto"/>
              </w:divBdr>
            </w:div>
            <w:div w:id="686440795">
              <w:marLeft w:val="0"/>
              <w:marRight w:val="0"/>
              <w:marTop w:val="0"/>
              <w:marBottom w:val="0"/>
              <w:divBdr>
                <w:top w:val="none" w:sz="0" w:space="0" w:color="auto"/>
                <w:left w:val="none" w:sz="0" w:space="0" w:color="auto"/>
                <w:bottom w:val="none" w:sz="0" w:space="0" w:color="auto"/>
                <w:right w:val="none" w:sz="0" w:space="0" w:color="auto"/>
              </w:divBdr>
            </w:div>
            <w:div w:id="544685369">
              <w:marLeft w:val="0"/>
              <w:marRight w:val="0"/>
              <w:marTop w:val="0"/>
              <w:marBottom w:val="0"/>
              <w:divBdr>
                <w:top w:val="none" w:sz="0" w:space="0" w:color="auto"/>
                <w:left w:val="none" w:sz="0" w:space="0" w:color="auto"/>
                <w:bottom w:val="none" w:sz="0" w:space="0" w:color="auto"/>
                <w:right w:val="none" w:sz="0" w:space="0" w:color="auto"/>
              </w:divBdr>
            </w:div>
            <w:div w:id="1347245886">
              <w:marLeft w:val="0"/>
              <w:marRight w:val="0"/>
              <w:marTop w:val="0"/>
              <w:marBottom w:val="0"/>
              <w:divBdr>
                <w:top w:val="none" w:sz="0" w:space="0" w:color="auto"/>
                <w:left w:val="none" w:sz="0" w:space="0" w:color="auto"/>
                <w:bottom w:val="none" w:sz="0" w:space="0" w:color="auto"/>
                <w:right w:val="none" w:sz="0" w:space="0" w:color="auto"/>
              </w:divBdr>
            </w:div>
            <w:div w:id="122580239">
              <w:marLeft w:val="0"/>
              <w:marRight w:val="0"/>
              <w:marTop w:val="0"/>
              <w:marBottom w:val="0"/>
              <w:divBdr>
                <w:top w:val="none" w:sz="0" w:space="0" w:color="auto"/>
                <w:left w:val="none" w:sz="0" w:space="0" w:color="auto"/>
                <w:bottom w:val="none" w:sz="0" w:space="0" w:color="auto"/>
                <w:right w:val="none" w:sz="0" w:space="0" w:color="auto"/>
              </w:divBdr>
            </w:div>
            <w:div w:id="1318637">
              <w:marLeft w:val="0"/>
              <w:marRight w:val="0"/>
              <w:marTop w:val="0"/>
              <w:marBottom w:val="0"/>
              <w:divBdr>
                <w:top w:val="none" w:sz="0" w:space="0" w:color="auto"/>
                <w:left w:val="none" w:sz="0" w:space="0" w:color="auto"/>
                <w:bottom w:val="none" w:sz="0" w:space="0" w:color="auto"/>
                <w:right w:val="none" w:sz="0" w:space="0" w:color="auto"/>
              </w:divBdr>
            </w:div>
            <w:div w:id="135027513">
              <w:marLeft w:val="0"/>
              <w:marRight w:val="0"/>
              <w:marTop w:val="0"/>
              <w:marBottom w:val="0"/>
              <w:divBdr>
                <w:top w:val="none" w:sz="0" w:space="0" w:color="auto"/>
                <w:left w:val="none" w:sz="0" w:space="0" w:color="auto"/>
                <w:bottom w:val="none" w:sz="0" w:space="0" w:color="auto"/>
                <w:right w:val="none" w:sz="0" w:space="0" w:color="auto"/>
              </w:divBdr>
            </w:div>
          </w:divsChild>
        </w:div>
        <w:div w:id="1075279007">
          <w:marLeft w:val="0"/>
          <w:marRight w:val="0"/>
          <w:marTop w:val="0"/>
          <w:marBottom w:val="0"/>
          <w:divBdr>
            <w:top w:val="none" w:sz="0" w:space="0" w:color="auto"/>
            <w:left w:val="none" w:sz="0" w:space="0" w:color="auto"/>
            <w:bottom w:val="none" w:sz="0" w:space="0" w:color="auto"/>
            <w:right w:val="none" w:sz="0" w:space="0" w:color="auto"/>
          </w:divBdr>
        </w:div>
        <w:div w:id="329136980">
          <w:marLeft w:val="0"/>
          <w:marRight w:val="0"/>
          <w:marTop w:val="0"/>
          <w:marBottom w:val="0"/>
          <w:divBdr>
            <w:top w:val="none" w:sz="0" w:space="0" w:color="auto"/>
            <w:left w:val="none" w:sz="0" w:space="0" w:color="auto"/>
            <w:bottom w:val="none" w:sz="0" w:space="0" w:color="auto"/>
            <w:right w:val="none" w:sz="0" w:space="0" w:color="auto"/>
          </w:divBdr>
        </w:div>
        <w:div w:id="642201394">
          <w:marLeft w:val="0"/>
          <w:marRight w:val="0"/>
          <w:marTop w:val="0"/>
          <w:marBottom w:val="0"/>
          <w:divBdr>
            <w:top w:val="none" w:sz="0" w:space="0" w:color="auto"/>
            <w:left w:val="none" w:sz="0" w:space="0" w:color="auto"/>
            <w:bottom w:val="none" w:sz="0" w:space="0" w:color="auto"/>
            <w:right w:val="none" w:sz="0" w:space="0" w:color="auto"/>
          </w:divBdr>
        </w:div>
        <w:div w:id="614098155">
          <w:marLeft w:val="0"/>
          <w:marRight w:val="0"/>
          <w:marTop w:val="0"/>
          <w:marBottom w:val="0"/>
          <w:divBdr>
            <w:top w:val="none" w:sz="0" w:space="0" w:color="auto"/>
            <w:left w:val="none" w:sz="0" w:space="0" w:color="auto"/>
            <w:bottom w:val="none" w:sz="0" w:space="0" w:color="auto"/>
            <w:right w:val="none" w:sz="0" w:space="0" w:color="auto"/>
          </w:divBdr>
        </w:div>
        <w:div w:id="909273952">
          <w:marLeft w:val="0"/>
          <w:marRight w:val="0"/>
          <w:marTop w:val="0"/>
          <w:marBottom w:val="0"/>
          <w:divBdr>
            <w:top w:val="none" w:sz="0" w:space="0" w:color="auto"/>
            <w:left w:val="none" w:sz="0" w:space="0" w:color="auto"/>
            <w:bottom w:val="none" w:sz="0" w:space="0" w:color="auto"/>
            <w:right w:val="none" w:sz="0" w:space="0" w:color="auto"/>
          </w:divBdr>
        </w:div>
        <w:div w:id="1766226570">
          <w:marLeft w:val="0"/>
          <w:marRight w:val="0"/>
          <w:marTop w:val="0"/>
          <w:marBottom w:val="0"/>
          <w:divBdr>
            <w:top w:val="none" w:sz="0" w:space="0" w:color="auto"/>
            <w:left w:val="none" w:sz="0" w:space="0" w:color="auto"/>
            <w:bottom w:val="none" w:sz="0" w:space="0" w:color="auto"/>
            <w:right w:val="none" w:sz="0" w:space="0" w:color="auto"/>
          </w:divBdr>
        </w:div>
        <w:div w:id="693918320">
          <w:marLeft w:val="0"/>
          <w:marRight w:val="0"/>
          <w:marTop w:val="0"/>
          <w:marBottom w:val="0"/>
          <w:divBdr>
            <w:top w:val="none" w:sz="0" w:space="0" w:color="auto"/>
            <w:left w:val="none" w:sz="0" w:space="0" w:color="auto"/>
            <w:bottom w:val="none" w:sz="0" w:space="0" w:color="auto"/>
            <w:right w:val="none" w:sz="0" w:space="0" w:color="auto"/>
          </w:divBdr>
        </w:div>
        <w:div w:id="5823028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283</Words>
  <Characters>1817</Characters>
  <Application>Microsoft Office Word</Application>
  <DocSecurity>0</DocSecurity>
  <Lines>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McCann</dc:creator>
  <cp:keywords/>
  <cp:lastModifiedBy>Dan McCann</cp:lastModifiedBy>
  <cp:revision>131</cp:revision>
  <dcterms:created xsi:type="dcterms:W3CDTF">2025-12-27T17:49:00Z</dcterms:created>
  <dcterms:modified xsi:type="dcterms:W3CDTF">2025-12-27T22:23:00Z</dcterms:modified>
</cp:coreProperties>
</file>