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color w:val="1F4E78"/>
          <w:sz w:val="28"/>
        </w:rPr>
        <w:t>LAPORAN PENDAMPINGAN PERIODIK / TAHUNAN GURU WALI</w:t>
      </w:r>
    </w:p>
    <w:p>
      <w:pPr>
        <w:spacing w:after="360"/>
        <w:jc w:val="center"/>
      </w:pPr>
      <w:r>
        <w:rPr>
          <w:i/>
          <w:color w:val="555555"/>
          <w:sz w:val="19"/>
        </w:rPr>
        <w:t>TAHUN AJARAN 2025/2026</w:t>
        <w:br/>
        <w:t>Sesuai Permendikdasmen No. 11 Tahun 2025 &amp; Kepmendikdasmen No. 221/P/2025 (Ekuivalensi 2 JP/Minggu)</w:t>
      </w:r>
    </w:p>
    <w:p>
      <w:pPr>
        <w:pStyle w:val="Heading1"/>
      </w:pPr>
      <w:r>
        <w:t>I. IDENTITAS GURU WALI &amp; PROFIL KELOMPOK DAMPINGAN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insideH w:val="single" w:sz="4" w:space="0" w:color="E0E0E0"/>
          <w:insideV w:val="none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pPr>
              <w:spacing w:after="40" w:before="40"/>
            </w:pPr>
            <w:r>
              <w:rPr>
                <w:b/>
                <w:sz w:val="18"/>
              </w:rPr>
              <w:t>Nama Guru Wali: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Dra. Siti Aminah, M.Pd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pPr>
              <w:spacing w:after="40" w:before="40"/>
            </w:pPr>
            <w:r>
              <w:rPr>
                <w:b/>
                <w:sz w:val="18"/>
              </w:rPr>
              <w:t>Sekolah / Unit Kerja: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SMA Negeri 1 Pembelajaran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pPr>
              <w:spacing w:after="40" w:before="40"/>
            </w:pPr>
            <w:r>
              <w:rPr>
                <w:b/>
                <w:sz w:val="18"/>
              </w:rPr>
              <w:t>NIP / NUPTK: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19780512 200501 2 003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pPr>
              <w:spacing w:after="40" w:before="40"/>
            </w:pPr>
            <w:r>
              <w:rPr>
                <w:b/>
                <w:sz w:val="18"/>
              </w:rPr>
              <w:t>Tahun Ajaran: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2025/2026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pPr>
              <w:spacing w:after="40" w:before="40"/>
            </w:pPr>
            <w:r>
              <w:rPr>
                <w:b/>
                <w:sz w:val="18"/>
              </w:rPr>
              <w:t>Kelompok Dampingan: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Kelompok Dandelion (X-1)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pPr>
              <w:spacing w:after="40" w:before="40"/>
            </w:pPr>
            <w:r>
              <w:rPr>
                <w:b/>
                <w:sz w:val="18"/>
              </w:rPr>
              <w:t>Jumlah Siswa Dampingan: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10 Murid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pPr>
              <w:spacing w:after="40" w:before="40"/>
            </w:pPr>
            <w:r>
              <w:rPr>
                <w:b/>
                <w:sz w:val="18"/>
              </w:rPr>
              <w:t>Target Pendampingan: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Min. 1x / bulan / murid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2F4F7"/>
          </w:tcPr>
          <w:p>
            <w:pPr>
              <w:spacing w:after="40" w:before="40"/>
            </w:pPr>
            <w:r>
              <w:rPr>
                <w:b/>
                <w:sz w:val="18"/>
              </w:rPr>
              <w:t>Ekuivalensi Beban Kerja: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 JP / Minggu</w:t>
            </w:r>
          </w:p>
        </w:tc>
      </w:tr>
    </w:tbl>
    <w:p>
      <w:pPr>
        <w:spacing w:after="120"/>
      </w:pPr>
    </w:p>
    <w:p>
      <w:pPr>
        <w:pStyle w:val="Heading2"/>
      </w:pPr>
      <w:r>
        <w:t>II. RINGKASAN KINERJA PENDAMPINGAN TAHUNAN</w:t>
      </w:r>
    </w:p>
    <w:p>
      <w:pPr>
        <w:spacing w:after="120"/>
      </w:pPr>
      <w:r>
        <w:t>Selama Tahun Ajaran 2025/2026, Guru Wali telah melaksanakan pendampingan secara konsisten kepada 10 murid dampingan di Kelompok Dandelion. Seluruh murid telah memenuhi kuota minimal 1 kali pendampingan tatap muka per bulan (100% ketercapaian target bulanan). Berikut adalah distribusi statistik pelaksanaan pendampingan: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8"/>
          <w:bottom w:val="single" w:sz="6" w:space="0" w:color="1F4E78"/>
          <w:insideH w:val="single" w:sz="6" w:space="0" w:color="1F4E78"/>
          <w:insideV w:val="none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360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Indikator Kinerja</w:t>
            </w:r>
          </w:p>
        </w:tc>
        <w:tc>
          <w:tcPr>
            <w:tcW w:type="dxa" w:w="1728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Capaian</w:t>
            </w:r>
          </w:p>
        </w:tc>
        <w:tc>
          <w:tcPr>
            <w:tcW w:type="dxa" w:w="3600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Kategori Pendampingan</w:t>
            </w:r>
          </w:p>
        </w:tc>
        <w:tc>
          <w:tcPr>
            <w:tcW w:type="dxa" w:w="2016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Persentase (%)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Total Sesi Pendampingan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112 Sesi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Akademik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35% (39 Sesi)</w:t>
            </w:r>
          </w:p>
        </w:tc>
      </w:tr>
      <w:tr>
        <w:tc>
          <w:tcPr>
            <w:tcW w:type="dxa" w:w="360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Sesi Individu / Konseling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64 Sesi</w:t>
            </w:r>
          </w:p>
        </w:tc>
        <w:tc>
          <w:tcPr>
            <w:tcW w:type="dxa" w:w="360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Karakter &amp; Kedisiplinan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25% (28 Sesi)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Sesi Kelompok Kecil / Klasikal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48 Sesi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Minat &amp; Bakat / Ekskul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20% (22 Sesi)</w:t>
            </w:r>
          </w:p>
        </w:tc>
      </w:tr>
      <w:tr>
        <w:tc>
          <w:tcPr>
            <w:tcW w:type="dxa" w:w="360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Kasus Dirujuk (BK/Wali Kelas/Ortu)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8 Kasus</w:t>
            </w:r>
          </w:p>
        </w:tc>
        <w:tc>
          <w:tcPr>
            <w:tcW w:type="dxa" w:w="3600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</w:pPr>
            <w:r>
              <w:rPr>
                <w:sz w:val="18"/>
              </w:rPr>
              <w:t>Sosial &amp; Psikologis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8"/>
              </w:rPr>
              <w:t>20% (23 Sesi)</w:t>
            </w:r>
          </w:p>
        </w:tc>
      </w:tr>
    </w:tbl>
    <w:p>
      <w:pPr>
        <w:spacing w:after="160"/>
      </w:pPr>
    </w:p>
    <w:p>
      <w:pPr>
        <w:pStyle w:val="Heading1"/>
      </w:pPr>
      <w:r>
        <w:t>III. REKAPITULASI PERKEMBANGAN INDIVIDU MURID DAMPINGAN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576"/>
            <w:shd w:fill="2F549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72"/>
            <w:shd w:fill="2F549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Nama Murid</w:t>
            </w:r>
          </w:p>
        </w:tc>
        <w:tc>
          <w:tcPr>
            <w:tcW w:type="dxa" w:w="1152"/>
            <w:shd w:fill="2F549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Total Sesi</w:t>
            </w:r>
          </w:p>
        </w:tc>
        <w:tc>
          <w:tcPr>
            <w:tcW w:type="dxa" w:w="2160"/>
            <w:shd w:fill="2F549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Dominasi Kategori</w:t>
            </w:r>
          </w:p>
        </w:tc>
        <w:tc>
          <w:tcPr>
            <w:tcW w:type="dxa" w:w="3312"/>
            <w:shd w:fill="2F549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Capaian Perkembangan Utama</w:t>
            </w:r>
          </w:p>
        </w:tc>
        <w:tc>
          <w:tcPr>
            <w:tcW w:type="dxa" w:w="1872"/>
            <w:shd w:fill="2F549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 Akhir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sz w:val="17"/>
              </w:rPr>
              <w:t>Rizky Pratama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  <w:jc w:val="center"/>
            </w:pPr>
            <w:r>
              <w:rPr>
                <w:sz w:val="17"/>
              </w:rPr>
              <w:t>12 Sesi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sz w:val="17"/>
              </w:rPr>
              <w:t>Akademik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sz w:val="17"/>
              </w:rPr>
              <w:t>Peningkatan pemahaman Aljabar melalui peer tutoring; nilai Matematika naik dari 62 menjadi 78.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  <w:jc w:val="center"/>
            </w:pPr>
            <w:r>
              <w:rPr>
                <w:sz w:val="17"/>
              </w:rPr>
              <w:t>Tuntas / Mandiri</w:t>
            </w:r>
          </w:p>
        </w:tc>
      </w:tr>
      <w:tr>
        <w:tc>
          <w:tcPr>
            <w:tcW w:type="dxa" w:w="576"/>
            <w:shd w:fill="F2F4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872"/>
            <w:shd w:fill="F2F4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sz w:val="17"/>
              </w:rPr>
              <w:t>Dewi Lestari</w:t>
            </w:r>
          </w:p>
        </w:tc>
        <w:tc>
          <w:tcPr>
            <w:tcW w:type="dxa" w:w="1152"/>
            <w:shd w:fill="F2F4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  <w:jc w:val="center"/>
            </w:pPr>
            <w:r>
              <w:rPr>
                <w:sz w:val="17"/>
              </w:rPr>
              <w:t>11 Sesi</w:t>
            </w:r>
          </w:p>
        </w:tc>
        <w:tc>
          <w:tcPr>
            <w:tcW w:type="dxa" w:w="2160"/>
            <w:shd w:fill="F2F4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sz w:val="17"/>
              </w:rPr>
              <w:t>Sosial &amp; Psikologis</w:t>
            </w:r>
          </w:p>
        </w:tc>
        <w:tc>
          <w:tcPr>
            <w:tcW w:type="dxa" w:w="3312"/>
            <w:shd w:fill="F2F4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sz w:val="17"/>
              </w:rPr>
              <w:t>Berhasil mengatasi kebiasaan prokrastinasi; jadwal harian belajar terlaksana dengan disiplin.</w:t>
            </w:r>
          </w:p>
        </w:tc>
        <w:tc>
          <w:tcPr>
            <w:tcW w:type="dxa" w:w="1872"/>
            <w:shd w:fill="F2F4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  <w:jc w:val="center"/>
            </w:pPr>
            <w:r>
              <w:rPr>
                <w:sz w:val="17"/>
              </w:rPr>
              <w:t>Tuntas / Mandiri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sz w:val="17"/>
              </w:rPr>
              <w:t>Ahmad Fajar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  <w:jc w:val="center"/>
            </w:pPr>
            <w:r>
              <w:rPr>
                <w:sz w:val="17"/>
              </w:rPr>
              <w:t>14 Sesi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sz w:val="17"/>
              </w:rPr>
              <w:t>Karakter &amp; Kedisiplinan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sz w:val="17"/>
              </w:rPr>
              <w:t>Kehadiran membaik setelah kolaborasi dengan Orang Tua; motivasi belajar kembali stabil.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  <w:jc w:val="center"/>
            </w:pPr>
            <w:r>
              <w:rPr>
                <w:sz w:val="17"/>
              </w:rPr>
              <w:t>Dalam Pemantauan</w:t>
            </w:r>
          </w:p>
        </w:tc>
      </w:tr>
      <w:tr>
        <w:tc>
          <w:tcPr>
            <w:tcW w:type="dxa" w:w="576"/>
            <w:shd w:fill="F2F4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872"/>
            <w:shd w:fill="F2F4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sz w:val="17"/>
              </w:rPr>
              <w:t>Sinta Nurhaliza</w:t>
            </w:r>
          </w:p>
        </w:tc>
        <w:tc>
          <w:tcPr>
            <w:tcW w:type="dxa" w:w="1152"/>
            <w:shd w:fill="F2F4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  <w:jc w:val="center"/>
            </w:pPr>
            <w:r>
              <w:rPr>
                <w:sz w:val="17"/>
              </w:rPr>
              <w:t>10 Sesi</w:t>
            </w:r>
          </w:p>
        </w:tc>
        <w:tc>
          <w:tcPr>
            <w:tcW w:type="dxa" w:w="2160"/>
            <w:shd w:fill="F2F4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sz w:val="17"/>
              </w:rPr>
              <w:t>Minat &amp; Bakat</w:t>
            </w:r>
          </w:p>
        </w:tc>
        <w:tc>
          <w:tcPr>
            <w:tcW w:type="dxa" w:w="3312"/>
            <w:shd w:fill="F2F4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sz w:val="17"/>
              </w:rPr>
              <w:t>Aktif memimpin proyek IPA Energi Alternatif; terpilih menjadi perwakilan lomba karya ilmiah.</w:t>
            </w:r>
          </w:p>
        </w:tc>
        <w:tc>
          <w:tcPr>
            <w:tcW w:type="dxa" w:w="1872"/>
            <w:shd w:fill="F2F4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  <w:jc w:val="center"/>
            </w:pPr>
            <w:r>
              <w:rPr>
                <w:b/>
                <w:sz w:val="17"/>
              </w:rPr>
              <w:t>Tuntas / Berprestasi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sz w:val="17"/>
              </w:rPr>
              <w:t>Budi Santoso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  <w:jc w:val="center"/>
            </w:pPr>
            <w:r>
              <w:rPr>
                <w:sz w:val="17"/>
              </w:rPr>
              <w:t>10 Sesi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sz w:val="17"/>
              </w:rPr>
              <w:t>Minat &amp; Bakat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sz w:val="17"/>
              </w:rPr>
              <w:t>Konsisten mengikuti kegiatan ekskul Pramuka dan meningkatkan keterampilan komunikasi kelompok.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  <w:jc w:val="center"/>
            </w:pPr>
            <w:r>
              <w:rPr>
                <w:sz w:val="17"/>
              </w:rPr>
              <w:t>Tuntas / Mandiri</w:t>
            </w:r>
          </w:p>
        </w:tc>
      </w:tr>
    </w:tbl>
    <w:p>
      <w:pPr>
        <w:spacing w:after="160"/>
      </w:pPr>
    </w:p>
    <w:p>
      <w:pPr>
        <w:pStyle w:val="Heading1"/>
      </w:pPr>
      <w:r>
        <w:t>IV. EVALUASI DAN DINAMIKA PER PILAR PENDAMPINGAN</w:t>
      </w:r>
    </w:p>
    <w:p>
      <w:pPr>
        <w:spacing w:after="80"/>
      </w:pPr>
      <w:r>
        <w:rPr>
          <w:b/>
          <w:sz w:val="19"/>
        </w:rPr>
        <w:t xml:space="preserve">1. Pilar Akademik (35% porsi): </w:t>
      </w:r>
      <w:r>
        <w:rPr>
          <w:sz w:val="19"/>
        </w:rPr>
        <w:t>Pendampingan difokuskan pada pemetaan kendala belajar mata pelajaran sains dan matematika. Strategi peer tutoring dalam kelompok proven efektif meningkatkan pemahaman siswa yang mengalami stagnasi nilai.</w:t>
      </w:r>
    </w:p>
    <w:p>
      <w:pPr>
        <w:spacing w:after="80"/>
      </w:pPr>
      <w:r>
        <w:rPr>
          <w:b/>
          <w:sz w:val="19"/>
        </w:rPr>
        <w:t xml:space="preserve">2. Pilar Karakter &amp; Kedisiplinan (25% porsi): </w:t>
      </w:r>
      <w:r>
        <w:rPr>
          <w:sz w:val="19"/>
        </w:rPr>
        <w:t>Penguatan komitmen belajar kelompok di awal semester berdampak positif pada penurunan angka keterlambatan. Kasus ketidakhadiran diselesaikan secara cepat melalui eskalasi komunikasi bersama orang tua.</w:t>
      </w:r>
    </w:p>
    <w:p>
      <w:pPr>
        <w:spacing w:after="80"/>
      </w:pPr>
      <w:r>
        <w:rPr>
          <w:b/>
          <w:sz w:val="19"/>
        </w:rPr>
        <w:t xml:space="preserve">3. Pilar Minat, Bakat &amp; Keterampilan (20% porsi): </w:t>
      </w:r>
      <w:r>
        <w:rPr>
          <w:sz w:val="19"/>
        </w:rPr>
        <w:t>Setiap murid dampingan dipastikan memiliki minimal 1 kegiatan pengembangan potensi (ekstrakurikuler atau proyek ilmiah). Terjadi peningkatan partisipasi siswa dalam ajang kompetisi sekolah.</w:t>
      </w:r>
    </w:p>
    <w:p>
      <w:pPr>
        <w:spacing w:after="80"/>
      </w:pPr>
      <w:r>
        <w:rPr>
          <w:b/>
          <w:sz w:val="19"/>
        </w:rPr>
        <w:t xml:space="preserve">4. Pilar Kematangan Sosial &amp; Psikologis (20% porsi): </w:t>
      </w:r>
      <w:r>
        <w:rPr>
          <w:sz w:val="19"/>
        </w:rPr>
        <w:t>Fokus pendampingan adalah manajemen waktu dan regulasi emosi menghadapi beban tugas. Konsultasi dua arah via portal sekolah mempermudah siswa mengajukan sesi diskusi mandiri tanpa rasa sungkan.</w:t>
      </w:r>
    </w:p>
    <w:p>
      <w:pPr>
        <w:spacing w:after="160"/>
      </w:pPr>
    </w:p>
    <w:p>
      <w:pPr>
        <w:pStyle w:val="Heading1"/>
      </w:pPr>
      <w:r>
        <w:t>V. REKAPITULASI RUJUKAN DAN KOLABORASI LINTAS PERAN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2160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Pihak Rujukan</w:t>
            </w:r>
          </w:p>
        </w:tc>
        <w:tc>
          <w:tcPr>
            <w:tcW w:type="dxa" w:w="1440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Jumlah Kasus</w:t>
            </w:r>
          </w:p>
        </w:tc>
        <w:tc>
          <w:tcPr>
            <w:tcW w:type="dxa" w:w="3168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Fokus Permasalahan</w:t>
            </w:r>
          </w:p>
        </w:tc>
        <w:tc>
          <w:tcPr>
            <w:tcW w:type="dxa" w:w="2304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Bentuk Kolaborasi</w:t>
            </w:r>
          </w:p>
        </w:tc>
        <w:tc>
          <w:tcPr>
            <w:tcW w:type="dxa" w:w="1872"/>
            <w:shd w:fill="1F4E7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 Penanganan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sz w:val="17"/>
              </w:rPr>
              <w:t>Guru Bimbingan Konseling (BK)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  <w:jc w:val="center"/>
            </w:pPr>
            <w:r>
              <w:rPr>
                <w:sz w:val="17"/>
              </w:rPr>
              <w:t>3 Kasus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sz w:val="17"/>
              </w:rPr>
              <w:t>Kecemasan ujian &amp; konseling karir lanjutan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sz w:val="17"/>
              </w:rPr>
              <w:t>Sesi konseling khusus &amp; tes pemetaan minat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  <w:jc w:val="center"/>
            </w:pPr>
            <w:r>
              <w:rPr>
                <w:sz w:val="17"/>
              </w:rPr>
              <w:t>Selesai / Teratasi</w:t>
            </w:r>
          </w:p>
        </w:tc>
      </w:tr>
      <w:tr>
        <w:tc>
          <w:tcPr>
            <w:tcW w:type="dxa" w:w="216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sz w:val="17"/>
              </w:rPr>
              <w:t>Wali Kelas Akademik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  <w:jc w:val="center"/>
            </w:pPr>
            <w:r>
              <w:rPr>
                <w:sz w:val="17"/>
              </w:rPr>
              <w:t>3 Kasus</w:t>
            </w:r>
          </w:p>
        </w:tc>
        <w:tc>
          <w:tcPr>
            <w:tcW w:type="dxa" w:w="3168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sz w:val="17"/>
              </w:rPr>
              <w:t>Koordinasi nilai mata pelajaran &amp; kehadiran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sz w:val="17"/>
              </w:rPr>
              <w:t>Pemantauan bersama di kelas harian</w:t>
            </w:r>
          </w:p>
        </w:tc>
        <w:tc>
          <w:tcPr>
            <w:tcW w:type="dxa" w:w="1872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  <w:jc w:val="center"/>
            </w:pPr>
            <w:r>
              <w:rPr>
                <w:sz w:val="17"/>
              </w:rPr>
              <w:t>Selesai / Teratasi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sz w:val="17"/>
              </w:rPr>
              <w:t>Orang Tua / Wali Murid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  <w:jc w:val="center"/>
            </w:pPr>
            <w:r>
              <w:rPr>
                <w:sz w:val="17"/>
              </w:rPr>
              <w:t>2 Kasus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sz w:val="17"/>
              </w:rPr>
              <w:t>Ketidakhadiran &amp; sinkronisasi jadwal belajar rumah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</w:pPr>
            <w:r>
              <w:rPr>
                <w:sz w:val="17"/>
              </w:rPr>
              <w:t>Konferensi kasus &amp; penyusunan komitmen rumah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before="40"/>
              <w:jc w:val="center"/>
            </w:pPr>
            <w:r>
              <w:rPr>
                <w:sz w:val="17"/>
              </w:rPr>
              <w:t>Dalam Pemantauan</w:t>
            </w:r>
          </w:p>
        </w:tc>
      </w:tr>
    </w:tbl>
    <w:p>
      <w:pPr>
        <w:spacing w:after="160"/>
      </w:pPr>
    </w:p>
    <w:p>
      <w:pPr>
        <w:pStyle w:val="Heading1"/>
      </w:pPr>
      <w:r>
        <w:t>VI. REKOMENDASI UNTUK TAHUN AJARAN MENDATANG</w:t>
      </w:r>
    </w:p>
    <w:p>
      <w:pPr>
        <w:spacing w:after="60"/>
      </w:pPr>
      <w:r>
        <w:rPr>
          <w:sz w:val="19"/>
        </w:rPr>
        <w:t>1. Mempertahankan keanggotaan kelompok dampingan yang sama untuk menjaga keberlanjutan hubungan emosional (*multi-year guardianship*).</w:t>
      </w:r>
    </w:p>
    <w:p>
      <w:pPr>
        <w:spacing w:after="60"/>
      </w:pPr>
      <w:r>
        <w:rPr>
          <w:sz w:val="19"/>
        </w:rPr>
        <w:t>2. Meningkatkan pemanfaatan fitur Konsultasi Dua Arah pada portal sekolah untuk deteksi dini permasalahan siswa di awal semester.</w:t>
      </w:r>
    </w:p>
    <w:p>
      <w:pPr>
        <w:spacing w:after="60"/>
      </w:pPr>
      <w:r>
        <w:rPr>
          <w:sz w:val="19"/>
        </w:rPr>
        <w:t>3. Memperkuat koordinasi berkala dengan Guru BK dan Wali Kelas sejak triwulan pertama.</w:t>
      </w:r>
    </w:p>
    <w:p>
      <w:pPr>
        <w:spacing w:after="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4" w:space="0" w:color="D3D3D3"/>
          <w:bottom w:val="none" w:sz="4" w:space="0" w:color="D3D3D3"/>
          <w:insideH w:val="none" w:sz="4" w:space="0" w:color="D3D3D3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54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sz w:val="19"/>
              </w:rPr>
              <w:t>Mengetahui,</w:t>
              <w:br/>
              <w:t>Kepala SMAN 1 Pembelajaran</w:t>
              <w:br/>
              <w:br/>
              <w:br/>
              <w:br/>
              <w:br/>
            </w:r>
            <w:r>
              <w:rPr>
                <w:b/>
                <w:sz w:val="19"/>
              </w:rPr>
              <w:t>Drs. H. Mulyono, M.Pd</w:t>
              <w:br/>
            </w:r>
            <w:r>
              <w:rPr>
                <w:sz w:val="18"/>
              </w:rPr>
              <w:t>NIP. 19690415 199403 1 002</w:t>
            </w:r>
          </w:p>
        </w:tc>
        <w:tc>
          <w:tcPr>
            <w:tcW w:type="dxa" w:w="547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</w:pPr>
            <w:r>
              <w:rPr>
                <w:sz w:val="19"/>
              </w:rPr>
              <w:t>Pembelajaran, 20 Juni 2026</w:t>
              <w:br/>
              <w:t>Guru Wali Pengampu,</w:t>
              <w:br/>
              <w:br/>
              <w:br/>
              <w:br/>
              <w:br/>
            </w:r>
            <w:r>
              <w:rPr>
                <w:b/>
                <w:sz w:val="19"/>
              </w:rPr>
              <w:t>Dra. Siti Aminah, M.Pd</w:t>
              <w:br/>
            </w:r>
            <w:r>
              <w:rPr>
                <w:sz w:val="18"/>
              </w:rPr>
              <w:t>NIP. 19780512 200501 2 003</w:t>
            </w:r>
          </w:p>
        </w:tc>
      </w:tr>
      <w:tr>
        <w:tc>
          <w:tcPr>
            <w:tcW w:type="dxa" w:w="5472"/>
            <w:tcMar>
              <w:top w:w="40" w:type="dxa"/>
              <w:bottom w:w="40" w:type="dxa"/>
              <w:left w:w="40" w:type="dxa"/>
              <w:right w:w="40" w:type="dxa"/>
            </w:tcMar>
          </w:tcPr>
          <w:p/>
        </w:tc>
        <w:tc>
          <w:tcPr>
            <w:tcW w:type="dxa" w:w="5472"/>
            <w:tcMar>
              <w:top w:w="40" w:type="dxa"/>
              <w:bottom w:w="40" w:type="dxa"/>
              <w:left w:w="40" w:type="dxa"/>
              <w:right w:w="40" w:type="dxa"/>
            </w:tcMar>
          </w:tcPr>
          <w:p/>
        </w:tc>
      </w:tr>
    </w:tbl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