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ind w:left="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An Explainable Action-Token Generation Framework Based on Bladder Ultrasound Segmentation and Image Quality Assessment</w:t>
      </w:r>
    </w:p>
    <w:p>
      <w:pPr>
        <w:spacing w:before="0" w:after="60"/>
        <w:ind w:left="0"/>
        <w:jc w:val="center"/>
      </w:pPr>
      <w:r>
        <w:rPr>
          <w:rFonts w:ascii="Times New Roman" w:hAnsi="Times New Roman"/>
          <w:b w:val="0"/>
          <w:i w:val="0"/>
          <w:sz w:val="20"/>
          <w:u w:val="single"/>
        </w:rPr>
        <w:t>Seong Jeong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1,2,3</w:t>
      </w:r>
      <w:r>
        <w:rPr>
          <w:rFonts w:ascii="Times New Roman" w:hAnsi="Times New Roman"/>
          <w:b w:val="0"/>
          <w:i w:val="0"/>
          <w:sz w:val="20"/>
          <w:u w:val="none"/>
        </w:rPr>
        <w:t>, Minsung Kim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2,3,4</w:t>
      </w:r>
      <w:r>
        <w:rPr>
          <w:rFonts w:ascii="Times New Roman" w:hAnsi="Times New Roman"/>
          <w:b w:val="0"/>
          <w:i w:val="0"/>
          <w:sz w:val="20"/>
          <w:u w:val="none"/>
        </w:rPr>
        <w:t>, Dongho Yee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2,3,4</w:t>
      </w:r>
      <w:r>
        <w:rPr>
          <w:rFonts w:ascii="Times New Roman" w:hAnsi="Times New Roman"/>
          <w:b w:val="0"/>
          <w:i w:val="0"/>
          <w:sz w:val="20"/>
          <w:u w:val="none"/>
        </w:rPr>
        <w:t>, Yechan Seo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1,2,3</w:t>
      </w:r>
      <w:r>
        <w:rPr>
          <w:rFonts w:ascii="Times New Roman" w:hAnsi="Times New Roman"/>
          <w:b w:val="0"/>
          <w:i w:val="0"/>
          <w:sz w:val="20"/>
          <w:u w:val="none"/>
        </w:rPr>
        <w:t>, Juahn Oh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1,2,5</w:t>
      </w:r>
      <w:r>
        <w:rPr>
          <w:rFonts w:ascii="Times New Roman" w:hAnsi="Times New Roman"/>
          <w:b w:val="0"/>
          <w:i w:val="0"/>
          <w:sz w:val="20"/>
          <w:u w:val="none"/>
        </w:rPr>
        <w:t>, Hyoun-Joong Kong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1,5,6,*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Medicine, Seoul National University,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2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Transdisciplinary Medicine, Seoul National University Hospital,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3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Rosota Inc.,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4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Mechanical Engineering, Seoul National University,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5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Eulji University College of Medicine, Daejeon,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6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ICMIT, Seoul National University Hospital,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/>
          <w:sz w:val="16"/>
          <w:u w:val="none"/>
        </w:rPr>
        <w:t>*Corresponding Author</w:t>
      </w:r>
    </w:p>
    <w:p>
      <w:pPr>
        <w:spacing w:after="60"/>
      </w:pPr>
    </w:p>
    <w:p>
      <w:pPr>
        <w:spacing w:before="0" w:after="64" w:line="288" w:lineRule="auto"/>
        <w:ind w:left="0"/>
        <w:jc w:val="both"/>
      </w:pPr>
      <w:r>
        <w:rPr>
          <w:rFonts w:ascii="Times New Roman" w:hAnsi="Times New Roman"/>
          <w:b/>
          <w:i w:val="0"/>
          <w:sz w:val="20"/>
          <w:u w:val="none"/>
        </w:rPr>
        <w:t>Abstract: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During morcellation in holmium laser enucleation of the prostate (HoLEP), a suprapubic probe must stay over the bladder lumen; automating that view needs an explicit, auditable representation of image state, which a mask alone is not. We convert segmentation and image-quality assessment into a safety-constrained, machine-readable action token: a U-Net segments the lumen, a transparent quality function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summarises the frame, and a discrete action state, one of </w:t>
      </w:r>
      <w:r>
        <w:rPr>
          <w:rFonts w:ascii="Times New Roman" w:hAnsi="Times New Roman"/>
          <w:b w:val="0"/>
          <w:i/>
          <w:sz w:val="20"/>
          <w:u w:val="none"/>
        </w:rPr>
        <w:t>move-left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move-right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or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is paired with a continuous lateral displacement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. The vocabulary is bounded by what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distinguishes: against frame-to-frame jitter its attained range [0.14, 0.78] separates 47 distinguishable states. Both boundaries are derived, not tuned: an anechoicity gate assigns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and an uncertainty deadband assigns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below 1.64σ = 8.1 px of centroid noise, σ = 4.92 px. On 1,936 laterally translated held-out frames the action state is 85.2% correct with 0.10% direction error and displacement follows slope 0.993; graded magnitude classes drop accuracy to 76.5% and 70.7%. The token layer targets HoLEP probe guidance; closed-loop validation remains future work.</w:t>
      </w:r>
    </w:p>
    <w:p>
      <w:pPr>
        <w:spacing w:before="20" w:after="4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Keywords: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bladder ultrasound segmentation, image quality assessment, explainable artificial intelligence, action token, robotic probe control, HoLEP morcellation</w:t>
      </w:r>
    </w:p>
    <w:p>
      <w:pPr>
        <w:spacing w:after="60"/>
      </w:pPr>
    </w:p>
    <w:p>
      <w:pPr>
        <w:sectPr>
          <w:footerReference w:type="default" r:id="rId9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2623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st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2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1.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The action-token generation framework and its four action states. An ultrasound frame is segmented (U-Net), summarised by the image-quality function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>, and emitted as a structured token (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, </w:t>
      </w:r>
      <w:r>
        <w:rPr>
          <w:rFonts w:ascii="Times New Roman" w:hAnsi="Times New Roman"/>
          <w:b w:val="0"/>
          <w:i/>
          <w:sz w:val="15"/>
          <w:u w:val="none"/>
        </w:rPr>
        <w:t>ê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,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>) decoded by a fixed downstream rule (top). The table lists each state's trigger, safety rationale, and deterministic interpretation; the dashed downstream execution is a potential future integration, not validated.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I. Introduction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>During the morcellation phase of holmium laser enucleation of the prostate (HoLEP), a suprapubic ultrasound probe must be kept over the bladder lumen [1]. Deep networks segment the bladder accurately [3, 4] and guidance systems steer toward a standard view [5], but a segmentation mask is not directly usable by a downstream controller, and end-to-end control hides why a motion is issued and is hard to audit under segmentation uncertainty. We insert an explainable, safety-constrained layer that turns image-derived state into a structured action token for deterministic downstream decoding (Figure 1).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II. Methods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>A U-Net [2] segments the bladder lumen on 256 × 256 B-mode frames from PFUS1 [6, 7], a transperineal pelvic-floor dataset (not intraoperative HoLEP imaging); measurements use two patient-disjoint held-out sets (1,661 and 1,292 frames). An interpretable image state (lumen contrast, centring, boundary sharpness over the insonified sector) feeds a transparent weighted geometric-mean quality score,</w:t>
      </w:r>
    </w:p>
    <w:p>
      <w:pPr>
        <w:tabs>
          <w:tab w:pos="4337" w:val="right"/>
        </w:tabs>
        <w:spacing w:before="80" w:after="8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Q = exp( Σ w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ln s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/ Σ w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)</w:t>
      </w:r>
      <w:r>
        <w:tab/>
      </w:r>
      <w:r>
        <w:rPr>
          <w:rFonts w:ascii="Times New Roman" w:hAnsi="Times New Roman"/>
          <w:b w:val="0"/>
          <w:i w:val="0"/>
          <w:sz w:val="20"/>
          <w:u w:val="none"/>
        </w:rPr>
        <w:t>(1)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whose smallest term dominates. At frame </w:t>
      </w:r>
      <w:r>
        <w:rPr>
          <w:rFonts w:ascii="Times New Roman" w:hAnsi="Times New Roman"/>
          <w:b w:val="0"/>
          <w:i/>
          <w:sz w:val="20"/>
          <w:u w:val="none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framework emits a structured action token</w:t>
      </w:r>
    </w:p>
    <w:p>
      <w:pPr>
        <w:tabs>
          <w:tab w:pos="4337" w:val="right"/>
        </w:tabs>
        <w:spacing w:before="80" w:after="8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τ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 xml:space="preserve"> = ( a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>, ê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>, Q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 xml:space="preserve"> )</w:t>
      </w:r>
      <w:r>
        <w:tab/>
      </w:r>
      <w:r>
        <w:rPr>
          <w:rFonts w:ascii="Times New Roman" w:hAnsi="Times New Roman"/>
          <w:b w:val="0"/>
          <w:i w:val="0"/>
          <w:sz w:val="20"/>
          <w:u w:val="none"/>
        </w:rPr>
        <w:t>(2)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with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discrete action state,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=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− </w:t>
      </w:r>
      <w:r>
        <w:rPr>
          <w:rFonts w:ascii="Times New Roman" w:hAnsi="Times New Roman"/>
          <w:b w:val="0"/>
          <w:i/>
          <w:sz w:val="20"/>
          <w:u w:val="none"/>
        </w:rPr>
        <w:t>ĉ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continuous lateral displacement (beam axis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minus predicted lumen-centroid abscissa </w:t>
      </w:r>
      <w:r>
        <w:rPr>
          <w:rFonts w:ascii="Times New Roman" w:hAnsi="Times New Roman"/>
          <w:b w:val="0"/>
          <w:i/>
          <w:sz w:val="20"/>
          <w:u w:val="none"/>
        </w:rPr>
        <w:t>ĉ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; Figure 2), and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quality score. A fixed, auditable rule decodes the token downstream with no learned policy. Two derived, untuned boundaries fix the states: a </w:t>
      </w:r>
      <w:r>
        <w:rPr>
          <w:rFonts w:ascii="Times New Roman" w:hAnsi="Times New Roman"/>
          <w:b/>
          <w:i w:val="0"/>
          <w:sz w:val="20"/>
          <w:u w:val="none"/>
        </w:rPr>
        <w:t>physical gate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(a non-anechoic lumen cannot be a filled bladder →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 and an </w:t>
      </w:r>
      <w:r>
        <w:rPr>
          <w:rFonts w:ascii="Times New Roman" w:hAnsi="Times New Roman"/>
          <w:b/>
          <w:i w:val="0"/>
          <w:sz w:val="20"/>
          <w:u w:val="none"/>
        </w:rPr>
        <w:t>uncertainty deadband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(offsets below 1.64σ = 8.1 px of the σ = 4.92 px centroid noise cannot be signed →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). The token is exercised on laterally translated frames that carry the lumen across the beam axis so that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changes sign.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2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130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x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30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2.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(a) Only lateral sliding </w:t>
      </w:r>
      <w:r>
        <w:rPr>
          <w:rFonts w:ascii="Times New Roman" w:hAnsi="Times New Roman"/>
          <w:b w:val="0"/>
          <w:i/>
          <w:sz w:val="15"/>
          <w:u w:val="none"/>
        </w:rPr>
        <w:t>v</w:t>
      </w:r>
      <w:r>
        <w:rPr>
          <w:rFonts w:ascii="Times New Roman" w:hAnsi="Times New Roman"/>
          <w:b w:val="0"/>
          <w:i w:val="0"/>
          <w:sz w:val="15"/>
          <w:u w:val="none"/>
          <w:vertAlign w:val="subscript"/>
        </w:rPr>
        <w:t>x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leaves the imaging plane invariant among the plane-preserving axes. (b) The lateral displacement on one B-mode frame: 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is the beam axis, </w:t>
      </w:r>
      <w:r>
        <w:rPr>
          <w:rFonts w:ascii="Times New Roman" w:hAnsi="Times New Roman"/>
          <w:b w:val="0"/>
          <w:i/>
          <w:sz w:val="15"/>
          <w:u w:val="none"/>
        </w:rPr>
        <w:t>c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the lumen centroid, </w:t>
      </w:r>
      <w:r>
        <w:rPr>
          <w:rFonts w:ascii="Times New Roman" w:hAnsi="Times New Roman"/>
          <w:b w:val="0"/>
          <w:i/>
          <w:sz w:val="15"/>
          <w:u w:val="none"/>
        </w:rPr>
        <w:t>e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= 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− </w:t>
      </w:r>
      <w:r>
        <w:rPr>
          <w:rFonts w:ascii="Times New Roman" w:hAnsi="Times New Roman"/>
          <w:b w:val="0"/>
          <w:i/>
          <w:sz w:val="15"/>
          <w:u w:val="none"/>
        </w:rPr>
        <w:t>c</w:t>
      </w:r>
      <w:r>
        <w:rPr>
          <w:rFonts w:ascii="Times New Roman" w:hAnsi="Times New Roman"/>
          <w:b w:val="0"/>
          <w:i w:val="0"/>
          <w:sz w:val="15"/>
          <w:u w:val="none"/>
        </w:rPr>
        <w:t>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III. Results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In the distended-bladder working domain Dice reaches 0.882 / 0.892 (val / test).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defined on [0, 1] but attains only [0.14, 0.78] and, against a frame-to-frame jitter of 0.0095, separates 47 distinguishable states within its central operating range (Table 1). On 1,936 laterally translated held-out frames the discrete action state is classified at 85.2% (0.10% direction error) and the continuous displacement at slope 0.993 (median 3.15 px); wrong directions occur only near the axis and follow the Gaussian tail Φ(−|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|/σ), licensing the derived 8.1 px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deadband. Quantising magnitude into graded classes lowers accuracy to 76.5% and 70.7%, so displacement is kept continuous.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sz w:val="15"/>
          <w:u w:val="none"/>
        </w:rPr>
        <w:t>Table 1.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Main quantitative results on the held-out and laterally translated frames.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309" w:type="dxa"/>
      </w:tblPr>
      <w:tblGrid>
        <w:gridCol w:w="2872"/>
        <w:gridCol w:w="1436"/>
      </w:tblGrid>
      <w:tr>
        <w:trPr>
          <w:cantSplit/>
        </w:trPr>
        <w:tc>
          <w:tcPr>
            <w:tcW w:type="dxa" w:w="2872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Metric</w:t>
            </w:r>
          </w:p>
        </w:tc>
        <w:tc>
          <w:tcPr>
            <w:tcW w:type="dxa" w:w="1436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Value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Segmentation Dice, working domain (val / test)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0.882 / 0.892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Attained 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Q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 range (width; central 80%)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0.64; 0.45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Distinguishable states (full; central 80%)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67; 47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Action-state accuracy (3 states); direction error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85.2%; 0.10%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Displacement estimate (slope; median error)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0.993; 3.15 px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Graded-magnitude accuracy (5; 7 states)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76.5%; 70.7%</w:t>
            </w:r>
          </w:p>
        </w:tc>
      </w:tr>
    </w:tbl>
    <w:p>
      <w:pPr>
        <w:spacing w:after="60"/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IV. Conclusion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An explainable, quality-aware action-token layer bridges bladder ultrasound segmentation and structured downstream action handling, its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and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states providing an uncertainty deadband and a physics-based gate that a downstream system can interpret deterministically. The study validates image-to-token generation, not closed-loop control or clinical deployment; re-estimating the constants on intraoperative suprapubic HoLEP imaging and evaluating downstream integration remain future work.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References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1. T. Jang, H.-J. Kong, C. Baek, J. Kim, M. S. Choo, S.-J. Oh. Effect of Self-Training Using Virtual Reality Head-Mounted Display Simulator on the Acquisition of Holmium Laser Enucleation of the Prostate Surgical Skills. International Neurourology Journal 2024;28(2):138–146.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2. O. Ronneberger, P. Fischer, T. Brox. U-Net: Convolutional Networks for Biomedical Image Segmentation. In: MICCAI 2015, LNCS 9351, Springer, 2015, pp. 234–241.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3. M. Saini, Y. Jiang, T. Gangopadhyay, D. P. Rosen, A. Alizad, M. Fatemi. BWS-Net: An Optimal Deep Learning Architecture for the Anterior Bladder Wall Segmentation using Ultrasound Imaging. IEEE J. Biomed. Health Inform. 2026. doi:10.1109/JBHI.2026.3675965.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4. Z. Song, M. Asiedu, S. Wang, et al. Memory-efficient low-compute segmentation algorithms for bladder-monitoring smart ultrasound devices. Scientific Reports 2023;13:16450.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5. H.-L. Hsu, M. Zahiri, G. Y. Li, et al. Active guidance in ultrasound bladder scanning using reinforcement learning. Scientific Reports 2026;16:5273.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6. D. Solís-Martín, J. A. Sainz, J. Galán-Páez, J. Borrego-Díaz, J. A. García-Mejido. PFUS1: Premier pelvic floor ultrasound segmentation dataset. Data in Brief 2026;64:112346.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7. J. A. García-Mejido, D. Solís-Martín, M. Martín-Morán, et al. Applicability of deep learning to dynamically identify the different organs of the pelvic floor in the midsagittal plane. Int. Urogynecol. J. 2024;35(12):2285–2293.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8. Trinkler, Dietrich. Ultrasound of the Urinary Bladder. In: EFSUMB Course Book, European Federation of Societies for Ultrasound in Medicine and Biology, 2019.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/>
          <w:sz w:val="18"/>
          <w:u w:val="none"/>
        </w:rPr>
        <w:t>[TO BE COMPLETED] HoLEP-morcellation, visual-servoing and IQA citations to be added before submission.</w:t>
      </w:r>
    </w:p>
    <w:sectPr w:rsidR="00FC693F" w:rsidRPr="0006063C" w:rsidSect="00034616">
      <w:type w:val="continuous"/>
      <w:pgSz w:w="11906" w:h="16838"/>
      <w:pgMar w:top="567" w:right="1417" w:bottom="567" w:left="1417" w:header="567" w:footer="567" w:gutter="0"/>
      <w:cols w:space="396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36" w:lineRule="auto"/>
    </w:pPr>
    <w:rPr>
      <w:rFonts w:ascii="Times New Roman" w:hAnsi="Times New Roman" w:eastAsia="신명조"/>
      <w:sz w:val="20"/>
      <w:w w:val="95"/>
      <w:spacing w:val="-1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