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ind w:left="0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An Explainable Action-Token Generation Framework Based on Bladder Ultrasound Segmentation and Image Quality Assessment</w:t>
      </w:r>
    </w:p>
    <w:p>
      <w:pPr>
        <w:spacing w:before="0" w:after="60"/>
        <w:ind w:left="0"/>
        <w:jc w:val="center"/>
      </w:pPr>
      <w:r>
        <w:rPr>
          <w:rFonts w:ascii="Times New Roman" w:hAnsi="Times New Roman"/>
          <w:b w:val="0"/>
          <w:i w:val="0"/>
          <w:sz w:val="20"/>
          <w:u w:val="single"/>
        </w:rPr>
        <w:t>Seong Jeong</w:t>
      </w:r>
      <w:r>
        <w:rPr>
          <w:rFonts w:ascii="Times New Roman" w:hAnsi="Times New Roman"/>
          <w:b w:val="0"/>
          <w:i w:val="0"/>
          <w:sz w:val="20"/>
          <w:u w:val="none"/>
          <w:vertAlign w:val="superscript"/>
        </w:rPr>
        <w:t>1,2,3</w:t>
      </w:r>
      <w:r>
        <w:rPr>
          <w:rFonts w:ascii="Times New Roman" w:hAnsi="Times New Roman"/>
          <w:b w:val="0"/>
          <w:i w:val="0"/>
          <w:sz w:val="20"/>
          <w:u w:val="none"/>
        </w:rPr>
        <w:t>, Minsung Kim</w:t>
      </w:r>
      <w:r>
        <w:rPr>
          <w:rFonts w:ascii="Times New Roman" w:hAnsi="Times New Roman"/>
          <w:b w:val="0"/>
          <w:i w:val="0"/>
          <w:sz w:val="20"/>
          <w:u w:val="none"/>
          <w:vertAlign w:val="superscript"/>
        </w:rPr>
        <w:t>2,3,4</w:t>
      </w:r>
      <w:r>
        <w:rPr>
          <w:rFonts w:ascii="Times New Roman" w:hAnsi="Times New Roman"/>
          <w:b w:val="0"/>
          <w:i w:val="0"/>
          <w:sz w:val="20"/>
          <w:u w:val="none"/>
        </w:rPr>
        <w:t>, Dongho Yee</w:t>
      </w:r>
      <w:r>
        <w:rPr>
          <w:rFonts w:ascii="Times New Roman" w:hAnsi="Times New Roman"/>
          <w:b w:val="0"/>
          <w:i w:val="0"/>
          <w:sz w:val="20"/>
          <w:u w:val="none"/>
          <w:vertAlign w:val="superscript"/>
        </w:rPr>
        <w:t>2,3,4</w:t>
      </w:r>
      <w:r>
        <w:rPr>
          <w:rFonts w:ascii="Times New Roman" w:hAnsi="Times New Roman"/>
          <w:b w:val="0"/>
          <w:i w:val="0"/>
          <w:sz w:val="20"/>
          <w:u w:val="none"/>
        </w:rPr>
        <w:t>, Yechan Seo</w:t>
      </w:r>
      <w:r>
        <w:rPr>
          <w:rFonts w:ascii="Times New Roman" w:hAnsi="Times New Roman"/>
          <w:b w:val="0"/>
          <w:i w:val="0"/>
          <w:sz w:val="20"/>
          <w:u w:val="none"/>
          <w:vertAlign w:val="superscript"/>
        </w:rPr>
        <w:t>1,2,3</w:t>
      </w:r>
      <w:r>
        <w:rPr>
          <w:rFonts w:ascii="Times New Roman" w:hAnsi="Times New Roman"/>
          <w:b w:val="0"/>
          <w:i w:val="0"/>
          <w:sz w:val="20"/>
          <w:u w:val="none"/>
        </w:rPr>
        <w:t>, Juahn Oh</w:t>
      </w:r>
      <w:r>
        <w:rPr>
          <w:rFonts w:ascii="Times New Roman" w:hAnsi="Times New Roman"/>
          <w:b w:val="0"/>
          <w:i w:val="0"/>
          <w:sz w:val="20"/>
          <w:u w:val="none"/>
          <w:vertAlign w:val="superscript"/>
        </w:rPr>
        <w:t>1,2,5</w:t>
      </w:r>
      <w:r>
        <w:rPr>
          <w:rFonts w:ascii="Times New Roman" w:hAnsi="Times New Roman"/>
          <w:b w:val="0"/>
          <w:i w:val="0"/>
          <w:sz w:val="20"/>
          <w:u w:val="none"/>
        </w:rPr>
        <w:t>, Hyoun-Joong Kong</w:t>
      </w:r>
      <w:r>
        <w:rPr>
          <w:rFonts w:ascii="Times New Roman" w:hAnsi="Times New Roman"/>
          <w:b w:val="0"/>
          <w:i w:val="0"/>
          <w:sz w:val="20"/>
          <w:u w:val="none"/>
          <w:vertAlign w:val="superscript"/>
        </w:rPr>
        <w:t>1,5,6,*</w:t>
      </w:r>
    </w:p>
    <w:p>
      <w:pPr>
        <w:spacing w:before="0" w:after="8"/>
        <w:ind w:left="0"/>
        <w:jc w:val="center"/>
      </w:pPr>
      <w:r>
        <w:rPr>
          <w:rFonts w:ascii="Times New Roman" w:hAnsi="Times New Roman"/>
          <w:b w:val="0"/>
          <w:i w:val="0"/>
          <w:sz w:val="16"/>
          <w:u w:val="none"/>
          <w:vertAlign w:val="superscript"/>
        </w:rPr>
        <w:t>1</w:t>
      </w:r>
      <w:r>
        <w:rPr>
          <w:rFonts w:ascii="Times New Roman" w:hAnsi="Times New Roman"/>
          <w:b w:val="0"/>
          <w:i w:val="0"/>
          <w:sz w:val="16"/>
          <w:u w:val="none"/>
        </w:rPr>
        <w:t xml:space="preserve"> Department of Medicine, Seoul National University, Seoul, Republic of Korea</w:t>
      </w:r>
    </w:p>
    <w:p>
      <w:pPr>
        <w:spacing w:before="0" w:after="8"/>
        <w:ind w:left="0"/>
        <w:jc w:val="center"/>
      </w:pPr>
      <w:r>
        <w:rPr>
          <w:rFonts w:ascii="Times New Roman" w:hAnsi="Times New Roman"/>
          <w:b w:val="0"/>
          <w:i w:val="0"/>
          <w:sz w:val="16"/>
          <w:u w:val="none"/>
          <w:vertAlign w:val="superscript"/>
        </w:rPr>
        <w:t>2</w:t>
      </w:r>
      <w:r>
        <w:rPr>
          <w:rFonts w:ascii="Times New Roman" w:hAnsi="Times New Roman"/>
          <w:b w:val="0"/>
          <w:i w:val="0"/>
          <w:sz w:val="16"/>
          <w:u w:val="none"/>
        </w:rPr>
        <w:t xml:space="preserve"> Department of Transdisciplinary Medicine, Seoul National University Hospital, Seoul, Republic of Korea</w:t>
      </w:r>
    </w:p>
    <w:p>
      <w:pPr>
        <w:spacing w:before="0" w:after="8"/>
        <w:ind w:left="0"/>
        <w:jc w:val="center"/>
      </w:pPr>
      <w:r>
        <w:rPr>
          <w:rFonts w:ascii="Times New Roman" w:hAnsi="Times New Roman"/>
          <w:b w:val="0"/>
          <w:i w:val="0"/>
          <w:sz w:val="16"/>
          <w:u w:val="none"/>
          <w:vertAlign w:val="superscript"/>
        </w:rPr>
        <w:t>3</w:t>
      </w:r>
      <w:r>
        <w:rPr>
          <w:rFonts w:ascii="Times New Roman" w:hAnsi="Times New Roman"/>
          <w:b w:val="0"/>
          <w:i w:val="0"/>
          <w:sz w:val="16"/>
          <w:u w:val="none"/>
        </w:rPr>
        <w:t xml:space="preserve"> Rosota Inc., Seoul, Republic of Korea</w:t>
      </w:r>
    </w:p>
    <w:p>
      <w:pPr>
        <w:spacing w:before="0" w:after="8"/>
        <w:ind w:left="0"/>
        <w:jc w:val="center"/>
      </w:pPr>
      <w:r>
        <w:rPr>
          <w:rFonts w:ascii="Times New Roman" w:hAnsi="Times New Roman"/>
          <w:b w:val="0"/>
          <w:i w:val="0"/>
          <w:sz w:val="16"/>
          <w:u w:val="none"/>
          <w:vertAlign w:val="superscript"/>
        </w:rPr>
        <w:t>4</w:t>
      </w:r>
      <w:r>
        <w:rPr>
          <w:rFonts w:ascii="Times New Roman" w:hAnsi="Times New Roman"/>
          <w:b w:val="0"/>
          <w:i w:val="0"/>
          <w:sz w:val="16"/>
          <w:u w:val="none"/>
        </w:rPr>
        <w:t xml:space="preserve"> Department of Mechanical Engineering, Seoul National University, Seoul, Republic of Korea</w:t>
      </w:r>
    </w:p>
    <w:p>
      <w:pPr>
        <w:spacing w:before="0" w:after="8"/>
        <w:ind w:left="0"/>
        <w:jc w:val="center"/>
      </w:pPr>
      <w:r>
        <w:rPr>
          <w:rFonts w:ascii="Times New Roman" w:hAnsi="Times New Roman"/>
          <w:b w:val="0"/>
          <w:i w:val="0"/>
          <w:sz w:val="16"/>
          <w:u w:val="none"/>
          <w:vertAlign w:val="superscript"/>
        </w:rPr>
        <w:t>5</w:t>
      </w:r>
      <w:r>
        <w:rPr>
          <w:rFonts w:ascii="Times New Roman" w:hAnsi="Times New Roman"/>
          <w:b w:val="0"/>
          <w:i w:val="0"/>
          <w:sz w:val="16"/>
          <w:u w:val="none"/>
        </w:rPr>
        <w:t xml:space="preserve"> Eulji University College of Medicine, Daejeon, Republic of Korea</w:t>
      </w:r>
    </w:p>
    <w:p>
      <w:pPr>
        <w:spacing w:before="0" w:after="8"/>
        <w:ind w:left="0"/>
        <w:jc w:val="center"/>
      </w:pPr>
      <w:r>
        <w:rPr>
          <w:rFonts w:ascii="Times New Roman" w:hAnsi="Times New Roman"/>
          <w:b w:val="0"/>
          <w:i w:val="0"/>
          <w:sz w:val="16"/>
          <w:u w:val="none"/>
          <w:vertAlign w:val="superscript"/>
        </w:rPr>
        <w:t>6</w:t>
      </w:r>
      <w:r>
        <w:rPr>
          <w:rFonts w:ascii="Times New Roman" w:hAnsi="Times New Roman"/>
          <w:b w:val="0"/>
          <w:i w:val="0"/>
          <w:sz w:val="16"/>
          <w:u w:val="none"/>
        </w:rPr>
        <w:t xml:space="preserve"> ICMIT, Seoul National University Hospital, Seoul, Republic of Korea</w:t>
      </w:r>
    </w:p>
    <w:p>
      <w:pPr>
        <w:spacing w:before="0" w:after="8"/>
        <w:ind w:left="0"/>
        <w:jc w:val="center"/>
      </w:pPr>
      <w:r>
        <w:rPr>
          <w:rFonts w:ascii="Times New Roman" w:hAnsi="Times New Roman"/>
          <w:b w:val="0"/>
          <w:i/>
          <w:sz w:val="16"/>
          <w:u w:val="none"/>
        </w:rPr>
        <w:t>*Corresponding Author</w:t>
      </w:r>
    </w:p>
    <w:p>
      <w:pPr>
        <w:spacing w:after="60"/>
      </w:pPr>
    </w:p>
    <w:p>
      <w:pPr>
        <w:spacing w:before="0" w:after="64" w:line="288" w:lineRule="auto"/>
        <w:ind w:left="0"/>
        <w:jc w:val="both"/>
      </w:pPr>
      <w:r>
        <w:rPr>
          <w:rFonts w:ascii="Times New Roman" w:hAnsi="Times New Roman"/>
          <w:b/>
          <w:i w:val="0"/>
          <w:sz w:val="20"/>
          <w:u w:val="none"/>
        </w:rPr>
        <w:t>Abstract: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Automated ultrasound-image analysis requires an explicit, auditable representation mapping image-derived states to actionable structured outputs. We convert bladder ultrasound segmentation and image-quality assessment into a safety-constrained, machine-readable action token τ = (</w:t>
      </w:r>
      <w:r>
        <w:rPr>
          <w:rFonts w:ascii="Times New Roman" w:hAnsi="Times New Roman"/>
          <w:b w:val="0"/>
          <w:i/>
          <w:sz w:val="20"/>
          <w:u w:val="none"/>
        </w:rPr>
        <w:t>a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, </w:t>
      </w:r>
      <w:r>
        <w:rPr>
          <w:rFonts w:ascii="Times New Roman" w:hAnsi="Times New Roman"/>
          <w:b w:val="0"/>
          <w:i/>
          <w:sz w:val="20"/>
          <w:u w:val="none"/>
        </w:rPr>
        <w:t>ê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, </w:t>
      </w:r>
      <w:r>
        <w:rPr>
          <w:rFonts w:ascii="Times New Roman" w:hAnsi="Times New Roman"/>
          <w:b w:val="0"/>
          <w:i/>
          <w:sz w:val="20"/>
          <w:u w:val="none"/>
        </w:rPr>
        <w:t>Q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): a U-Net segments the lumen, a transparent quality function </w:t>
      </w:r>
      <w:r>
        <w:rPr>
          <w:rFonts w:ascii="Times New Roman" w:hAnsi="Times New Roman"/>
          <w:b w:val="0"/>
          <w:i/>
          <w:sz w:val="20"/>
          <w:u w:val="none"/>
        </w:rPr>
        <w:t>Q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summarises the frame, and a discrete action state </w:t>
      </w:r>
      <w:r>
        <w:rPr>
          <w:rFonts w:ascii="Times New Roman" w:hAnsi="Times New Roman"/>
          <w:b w:val="0"/>
          <w:i/>
          <w:sz w:val="20"/>
          <w:u w:val="none"/>
        </w:rPr>
        <w:t>a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∈ {move-left, move-right, hold, check-filling} is paired with a continuous lateral displacement </w:t>
      </w:r>
      <w:r>
        <w:rPr>
          <w:rFonts w:ascii="Times New Roman" w:hAnsi="Times New Roman"/>
          <w:b w:val="0"/>
          <w:i/>
          <w:sz w:val="20"/>
          <w:u w:val="none"/>
        </w:rPr>
        <w:t>ê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. The vocabulary is bounded by what </w:t>
      </w:r>
      <w:r>
        <w:rPr>
          <w:rFonts w:ascii="Times New Roman" w:hAnsi="Times New Roman"/>
          <w:b w:val="0"/>
          <w:i/>
          <w:sz w:val="20"/>
          <w:u w:val="none"/>
        </w:rPr>
        <w:t>Q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distinguishes — </w:t>
      </w:r>
      <w:r>
        <w:rPr>
          <w:rFonts w:ascii="Times New Roman" w:hAnsi="Times New Roman"/>
          <w:b w:val="0"/>
          <w:i/>
          <w:sz w:val="20"/>
          <w:u w:val="none"/>
        </w:rPr>
        <w:t>Q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attains [0.14, 0.78] of its domain and, against a frame-to-frame jitter of 0.0095, separates 47 distinguishable states — and two derived boundaries (a physical anechoicity gate and a 1.64σ = 8.1 px uncertainty deadband, σ = 4.92 px) define the states. On 1,936 laterally translated held-out frames the action state is classified at 85.2% accuracy (0.10% direction error) and displacement at slope 0.993; graded magnitude drops accuracy to 76.5% / 70.7%. The framework validates image-to-token generation for future downstream integration, not closed-loop control.</w:t>
      </w:r>
    </w:p>
    <w:p>
      <w:pPr>
        <w:spacing w:before="20" w:after="40"/>
        <w:ind w:left="0"/>
        <w:jc w:val="left"/>
      </w:pPr>
      <w:r>
        <w:rPr>
          <w:rFonts w:ascii="Times New Roman" w:hAnsi="Times New Roman"/>
          <w:b/>
          <w:i w:val="0"/>
          <w:sz w:val="20"/>
          <w:u w:val="none"/>
        </w:rPr>
        <w:t>Keywords: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bladder ultrasound segmentation, image quality assessment, explainable artificial intelligence, action token, robotic probe control, HoLEP morcellation</w:t>
      </w:r>
    </w:p>
    <w:p>
      <w:pPr>
        <w:spacing w:after="60"/>
      </w:pPr>
    </w:p>
    <w:p>
      <w:pPr>
        <w:sectPr>
          <w:footerReference w:type="default" r:id="rId9"/>
          <w:pgSz w:w="11906" w:h="16838"/>
          <w:pgMar w:top="567" w:right="1417" w:bottom="567" w:left="1417" w:header="567" w:footer="567" w:gutter="0"/>
          <w:cols w:space="396" w:num="1"/>
          <w:docGrid w:linePitch="360"/>
        </w:sectPr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68000" cy="26234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oster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623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both"/>
      </w:pPr>
      <w:r>
        <w:rPr>
          <w:rFonts w:ascii="Times New Roman" w:hAnsi="Times New Roman"/>
          <w:b/>
          <w:i w:val="0"/>
          <w:sz w:val="15"/>
          <w:u w:val="none"/>
        </w:rPr>
        <w:t>Figure 1.</w:t>
      </w:r>
      <w:r>
        <w:rPr>
          <w:rFonts w:ascii="Times New Roman" w:hAnsi="Times New Roman"/>
          <w:b w:val="0"/>
          <w:i w:val="0"/>
          <w:sz w:val="15"/>
          <w:u w:val="none"/>
        </w:rPr>
        <w:t xml:space="preserve"> The action-token generation framework and its four action states. An ultrasound frame is segmented (U-Net), summarised by the image-quality function </w:t>
      </w:r>
      <w:r>
        <w:rPr>
          <w:rFonts w:ascii="Times New Roman" w:hAnsi="Times New Roman"/>
          <w:b w:val="0"/>
          <w:i/>
          <w:sz w:val="15"/>
          <w:u w:val="none"/>
        </w:rPr>
        <w:t>Q</w:t>
      </w:r>
      <w:r>
        <w:rPr>
          <w:rFonts w:ascii="Times New Roman" w:hAnsi="Times New Roman"/>
          <w:b w:val="0"/>
          <w:i w:val="0"/>
          <w:sz w:val="15"/>
          <w:u w:val="none"/>
        </w:rPr>
        <w:t>, and emitted as a structured token (</w:t>
      </w:r>
      <w:r>
        <w:rPr>
          <w:rFonts w:ascii="Times New Roman" w:hAnsi="Times New Roman"/>
          <w:b w:val="0"/>
          <w:i/>
          <w:sz w:val="15"/>
          <w:u w:val="none"/>
        </w:rPr>
        <w:t>a</w:t>
      </w:r>
      <w:r>
        <w:rPr>
          <w:rFonts w:ascii="Times New Roman" w:hAnsi="Times New Roman"/>
          <w:b w:val="0"/>
          <w:i w:val="0"/>
          <w:sz w:val="15"/>
          <w:u w:val="none"/>
        </w:rPr>
        <w:t xml:space="preserve">, </w:t>
      </w:r>
      <w:r>
        <w:rPr>
          <w:rFonts w:ascii="Times New Roman" w:hAnsi="Times New Roman"/>
          <w:b w:val="0"/>
          <w:i/>
          <w:sz w:val="15"/>
          <w:u w:val="none"/>
        </w:rPr>
        <w:t>ê</w:t>
      </w:r>
      <w:r>
        <w:rPr>
          <w:rFonts w:ascii="Times New Roman" w:hAnsi="Times New Roman"/>
          <w:b w:val="0"/>
          <w:i w:val="0"/>
          <w:sz w:val="15"/>
          <w:u w:val="none"/>
        </w:rPr>
        <w:t xml:space="preserve">, </w:t>
      </w:r>
      <w:r>
        <w:rPr>
          <w:rFonts w:ascii="Times New Roman" w:hAnsi="Times New Roman"/>
          <w:b w:val="0"/>
          <w:i/>
          <w:sz w:val="15"/>
          <w:u w:val="none"/>
        </w:rPr>
        <w:t>Q</w:t>
      </w:r>
      <w:r>
        <w:rPr>
          <w:rFonts w:ascii="Times New Roman" w:hAnsi="Times New Roman"/>
          <w:b w:val="0"/>
          <w:i w:val="0"/>
          <w:sz w:val="15"/>
          <w:u w:val="none"/>
        </w:rPr>
        <w:t>) decoded by a fixed downstream rule (top). The table lists each state's trigger, safety rationale, and deterministic interpretation; the dashed downstream execution is a potential future integration, not validated.</w:t>
      </w:r>
    </w:p>
    <w:p>
      <w:pPr>
        <w:sectPr>
          <w:type w:val="continuous"/>
          <w:pgSz w:w="11906" w:h="16838"/>
          <w:pgMar w:top="567" w:right="1417" w:bottom="567" w:left="1417" w:header="567" w:footer="567" w:gutter="0"/>
          <w:cols w:space="396" w:num="1"/>
          <w:docGrid w:linePitch="360"/>
        </w:sectPr>
      </w:pPr>
    </w:p>
    <w:p>
      <w:pPr>
        <w:keepNext/>
        <w:spacing w:before="170" w:after="0"/>
        <w:ind w:left="0"/>
        <w:jc w:val="center"/>
      </w:pPr>
      <w:r>
        <w:rPr>
          <w:rFonts w:ascii="Times New Roman" w:hAnsi="Times New Roman"/>
          <w:b/>
          <w:i w:val="0"/>
          <w:sz w:val="20"/>
          <w:u w:val="none"/>
        </w:rPr>
        <w:t>I. Introduction</w:t>
      </w:r>
    </w:p>
    <w:p>
      <w:pPr>
        <w:spacing w:before="0" w:after="64"/>
        <w:ind w:left="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>During the morcellation phase of holmium laser enucleation of the prostate (HoLEP), a suprapubic ultrasound probe must be kept over the bladder lumen [1]. Deep networks segment the bladder accurately [3, 4] and guidance systems steer toward a standard view [5], but a segmentation mask is not directly usable by a downstream controller, and end-to-end control hides why a motion is issued and is hard to audit under segmentation uncertainty. We insert an explainable, safety-constrained layer that turns image-derived state into a structured action token for deterministic downstream decoding (Figure 1).</w:t>
      </w:r>
    </w:p>
    <w:p>
      <w:pPr>
        <w:keepNext/>
        <w:spacing w:before="170" w:after="0"/>
        <w:ind w:left="0"/>
        <w:jc w:val="center"/>
      </w:pPr>
      <w:r>
        <w:rPr>
          <w:rFonts w:ascii="Times New Roman" w:hAnsi="Times New Roman"/>
          <w:b/>
          <w:i w:val="0"/>
          <w:sz w:val="20"/>
          <w:u w:val="none"/>
        </w:rPr>
        <w:t>II. Methods</w:t>
      </w:r>
    </w:p>
    <w:p>
      <w:pPr>
        <w:spacing w:before="0" w:after="64"/>
        <w:ind w:left="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>A U-Net [2] segments the bladder lumen on 256 × 256 B-mode frames from PFUS1 [6, 7], a transperineal pelvic-floor dataset (not intraoperative HoLEP imaging); measurements use two patient-disjoint held-out sets (1,661 and 1,292 frames). An interpretable image state (lumen contrast, centring, boundary sharpness over the insonified sector) feeds a transparent weighted geometric-mean quality score,</w:t>
      </w:r>
    </w:p>
    <w:p>
      <w:pPr>
        <w:tabs>
          <w:tab w:pos="4337" w:val="right"/>
        </w:tabs>
        <w:spacing w:before="80" w:after="80"/>
        <w:jc w:val="left"/>
      </w:pPr>
      <w:r>
        <w:rPr>
          <w:rFonts w:ascii="Times New Roman" w:hAnsi="Times New Roman"/>
          <w:b w:val="0"/>
          <w:i/>
          <w:sz w:val="20"/>
          <w:u w:val="none"/>
        </w:rPr>
        <w:t>Q = exp( Σ w</w:t>
      </w:r>
      <w:r>
        <w:rPr>
          <w:rFonts w:ascii="Times New Roman" w:hAnsi="Times New Roman"/>
          <w:b w:val="0"/>
          <w:i/>
          <w:sz w:val="20"/>
          <w:u w:val="none"/>
          <w:vertAlign w:val="subscript"/>
        </w:rPr>
        <w:t>i</w:t>
      </w:r>
      <w:r>
        <w:rPr>
          <w:rFonts w:ascii="Times New Roman" w:hAnsi="Times New Roman"/>
          <w:b w:val="0"/>
          <w:i/>
          <w:sz w:val="20"/>
          <w:u w:val="none"/>
        </w:rPr>
        <w:t xml:space="preserve"> ln s</w:t>
      </w:r>
      <w:r>
        <w:rPr>
          <w:rFonts w:ascii="Times New Roman" w:hAnsi="Times New Roman"/>
          <w:b w:val="0"/>
          <w:i/>
          <w:sz w:val="20"/>
          <w:u w:val="none"/>
          <w:vertAlign w:val="subscript"/>
        </w:rPr>
        <w:t>i</w:t>
      </w:r>
      <w:r>
        <w:rPr>
          <w:rFonts w:ascii="Times New Roman" w:hAnsi="Times New Roman"/>
          <w:b w:val="0"/>
          <w:i/>
          <w:sz w:val="20"/>
          <w:u w:val="none"/>
        </w:rPr>
        <w:t xml:space="preserve"> / Σ w</w:t>
      </w:r>
      <w:r>
        <w:rPr>
          <w:rFonts w:ascii="Times New Roman" w:hAnsi="Times New Roman"/>
          <w:b w:val="0"/>
          <w:i/>
          <w:sz w:val="20"/>
          <w:u w:val="none"/>
          <w:vertAlign w:val="subscript"/>
        </w:rPr>
        <w:t>i</w:t>
      </w:r>
      <w:r>
        <w:rPr>
          <w:rFonts w:ascii="Times New Roman" w:hAnsi="Times New Roman"/>
          <w:b w:val="0"/>
          <w:i/>
          <w:sz w:val="20"/>
          <w:u w:val="none"/>
        </w:rPr>
        <w:t xml:space="preserve"> )</w:t>
      </w:r>
      <w:r>
        <w:tab/>
      </w:r>
      <w:r>
        <w:rPr>
          <w:rFonts w:ascii="Times New Roman" w:hAnsi="Times New Roman"/>
          <w:b w:val="0"/>
          <w:i w:val="0"/>
          <w:sz w:val="20"/>
          <w:u w:val="none"/>
        </w:rPr>
        <w:t>(1)</w:t>
      </w:r>
    </w:p>
    <w:p>
      <w:pPr>
        <w:spacing w:before="0" w:after="64"/>
        <w:ind w:left="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whose smallest term dominates. At frame </w:t>
      </w:r>
      <w:r>
        <w:rPr>
          <w:rFonts w:ascii="Times New Roman" w:hAnsi="Times New Roman"/>
          <w:b w:val="0"/>
          <w:i/>
          <w:sz w:val="20"/>
          <w:u w:val="none"/>
        </w:rPr>
        <w:t>t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the framework emits a structured action token</w:t>
      </w:r>
    </w:p>
    <w:p>
      <w:pPr>
        <w:tabs>
          <w:tab w:pos="4337" w:val="right"/>
        </w:tabs>
        <w:spacing w:before="80" w:after="80"/>
        <w:jc w:val="left"/>
      </w:pPr>
      <w:r>
        <w:rPr>
          <w:rFonts w:ascii="Times New Roman" w:hAnsi="Times New Roman"/>
          <w:b w:val="0"/>
          <w:i/>
          <w:sz w:val="20"/>
          <w:u w:val="none"/>
        </w:rPr>
        <w:t>τ</w:t>
      </w:r>
      <w:r>
        <w:rPr>
          <w:rFonts w:ascii="Times New Roman" w:hAnsi="Times New Roman"/>
          <w:b w:val="0"/>
          <w:i/>
          <w:sz w:val="20"/>
          <w:u w:val="none"/>
          <w:vertAlign w:val="subscript"/>
        </w:rPr>
        <w:t>t</w:t>
      </w:r>
      <w:r>
        <w:rPr>
          <w:rFonts w:ascii="Times New Roman" w:hAnsi="Times New Roman"/>
          <w:b w:val="0"/>
          <w:i/>
          <w:sz w:val="20"/>
          <w:u w:val="none"/>
        </w:rPr>
        <w:t xml:space="preserve"> = ( a</w:t>
      </w:r>
      <w:r>
        <w:rPr>
          <w:rFonts w:ascii="Times New Roman" w:hAnsi="Times New Roman"/>
          <w:b w:val="0"/>
          <w:i/>
          <w:sz w:val="20"/>
          <w:u w:val="none"/>
          <w:vertAlign w:val="subscript"/>
        </w:rPr>
        <w:t>t</w:t>
      </w:r>
      <w:r>
        <w:rPr>
          <w:rFonts w:ascii="Times New Roman" w:hAnsi="Times New Roman"/>
          <w:b w:val="0"/>
          <w:i/>
          <w:sz w:val="20"/>
          <w:u w:val="none"/>
        </w:rPr>
        <w:t>, ê</w:t>
      </w:r>
      <w:r>
        <w:rPr>
          <w:rFonts w:ascii="Times New Roman" w:hAnsi="Times New Roman"/>
          <w:b w:val="0"/>
          <w:i/>
          <w:sz w:val="20"/>
          <w:u w:val="none"/>
          <w:vertAlign w:val="subscript"/>
        </w:rPr>
        <w:t>t</w:t>
      </w:r>
      <w:r>
        <w:rPr>
          <w:rFonts w:ascii="Times New Roman" w:hAnsi="Times New Roman"/>
          <w:b w:val="0"/>
          <w:i/>
          <w:sz w:val="20"/>
          <w:u w:val="none"/>
        </w:rPr>
        <w:t>, Q</w:t>
      </w:r>
      <w:r>
        <w:rPr>
          <w:rFonts w:ascii="Times New Roman" w:hAnsi="Times New Roman"/>
          <w:b w:val="0"/>
          <w:i/>
          <w:sz w:val="20"/>
          <w:u w:val="none"/>
          <w:vertAlign w:val="subscript"/>
        </w:rPr>
        <w:t>t</w:t>
      </w:r>
      <w:r>
        <w:rPr>
          <w:rFonts w:ascii="Times New Roman" w:hAnsi="Times New Roman"/>
          <w:b w:val="0"/>
          <w:i/>
          <w:sz w:val="20"/>
          <w:u w:val="none"/>
        </w:rPr>
        <w:t xml:space="preserve"> )</w:t>
      </w:r>
      <w:r>
        <w:tab/>
      </w:r>
      <w:r>
        <w:rPr>
          <w:rFonts w:ascii="Times New Roman" w:hAnsi="Times New Roman"/>
          <w:b w:val="0"/>
          <w:i w:val="0"/>
          <w:sz w:val="20"/>
          <w:u w:val="none"/>
        </w:rPr>
        <w:t>(2)</w:t>
      </w:r>
    </w:p>
    <w:p>
      <w:pPr>
        <w:spacing w:before="0" w:after="64"/>
        <w:ind w:left="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with </w:t>
      </w:r>
      <w:r>
        <w:rPr>
          <w:rFonts w:ascii="Times New Roman" w:hAnsi="Times New Roman"/>
          <w:b w:val="0"/>
          <w:i/>
          <w:sz w:val="20"/>
          <w:u w:val="none"/>
        </w:rPr>
        <w:t>a</w:t>
      </w:r>
      <w:r>
        <w:rPr>
          <w:rFonts w:ascii="Times New Roman" w:hAnsi="Times New Roman"/>
          <w:b w:val="0"/>
          <w:i w:val="0"/>
          <w:sz w:val="20"/>
          <w:u w:val="none"/>
          <w:vertAlign w:val="subscript"/>
        </w:rPr>
        <w:t>t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the discrete action state, </w:t>
      </w:r>
      <w:r>
        <w:rPr>
          <w:rFonts w:ascii="Times New Roman" w:hAnsi="Times New Roman"/>
          <w:b w:val="0"/>
          <w:i/>
          <w:sz w:val="20"/>
          <w:u w:val="none"/>
        </w:rPr>
        <w:t>ê</w:t>
      </w:r>
      <w:r>
        <w:rPr>
          <w:rFonts w:ascii="Times New Roman" w:hAnsi="Times New Roman"/>
          <w:b w:val="0"/>
          <w:i w:val="0"/>
          <w:sz w:val="20"/>
          <w:u w:val="none"/>
          <w:vertAlign w:val="subscript"/>
        </w:rPr>
        <w:t>t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= </w:t>
      </w:r>
      <w:r>
        <w:rPr>
          <w:rFonts w:ascii="Times New Roman" w:hAnsi="Times New Roman"/>
          <w:b w:val="0"/>
          <w:i/>
          <w:sz w:val="20"/>
          <w:u w:val="none"/>
        </w:rPr>
        <w:t>A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− </w:t>
      </w:r>
      <w:r>
        <w:rPr>
          <w:rFonts w:ascii="Times New Roman" w:hAnsi="Times New Roman"/>
          <w:b w:val="0"/>
          <w:i/>
          <w:sz w:val="20"/>
          <w:u w:val="none"/>
        </w:rPr>
        <w:t>ĉ</w:t>
      </w:r>
      <w:r>
        <w:rPr>
          <w:rFonts w:ascii="Times New Roman" w:hAnsi="Times New Roman"/>
          <w:b w:val="0"/>
          <w:i w:val="0"/>
          <w:sz w:val="20"/>
          <w:u w:val="none"/>
          <w:vertAlign w:val="subscript"/>
        </w:rPr>
        <w:t>t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the continuous lateral displacement (beam axis </w:t>
      </w:r>
      <w:r>
        <w:rPr>
          <w:rFonts w:ascii="Times New Roman" w:hAnsi="Times New Roman"/>
          <w:b w:val="0"/>
          <w:i/>
          <w:sz w:val="20"/>
          <w:u w:val="none"/>
        </w:rPr>
        <w:t>A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minus predicted lumen-centroid abscissa </w:t>
      </w:r>
      <w:r>
        <w:rPr>
          <w:rFonts w:ascii="Times New Roman" w:hAnsi="Times New Roman"/>
          <w:b w:val="0"/>
          <w:i/>
          <w:sz w:val="20"/>
          <w:u w:val="none"/>
        </w:rPr>
        <w:t>ĉ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; Figure 2), and </w:t>
      </w:r>
      <w:r>
        <w:rPr>
          <w:rFonts w:ascii="Times New Roman" w:hAnsi="Times New Roman"/>
          <w:b w:val="0"/>
          <w:i/>
          <w:sz w:val="20"/>
          <w:u w:val="none"/>
        </w:rPr>
        <w:t>Q</w:t>
      </w:r>
      <w:r>
        <w:rPr>
          <w:rFonts w:ascii="Times New Roman" w:hAnsi="Times New Roman"/>
          <w:b w:val="0"/>
          <w:i w:val="0"/>
          <w:sz w:val="20"/>
          <w:u w:val="none"/>
          <w:vertAlign w:val="subscript"/>
        </w:rPr>
        <w:t>t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the quality score. A fixed, auditable rule decodes the token downstream with no learned policy. Two derived, untuned boundaries fix the states: a </w:t>
      </w:r>
      <w:r>
        <w:rPr>
          <w:rFonts w:ascii="Times New Roman" w:hAnsi="Times New Roman"/>
          <w:b/>
          <w:i w:val="0"/>
          <w:sz w:val="20"/>
          <w:u w:val="none"/>
        </w:rPr>
        <w:t>physical gate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(a non-anechoic lumen cannot be a filled bladder → </w:t>
      </w:r>
      <w:r>
        <w:rPr>
          <w:rFonts w:ascii="Times New Roman" w:hAnsi="Times New Roman"/>
          <w:b w:val="0"/>
          <w:i/>
          <w:sz w:val="20"/>
          <w:u w:val="none"/>
        </w:rPr>
        <w:t>check-filling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) and an </w:t>
      </w:r>
      <w:r>
        <w:rPr>
          <w:rFonts w:ascii="Times New Roman" w:hAnsi="Times New Roman"/>
          <w:b/>
          <w:i w:val="0"/>
          <w:sz w:val="20"/>
          <w:u w:val="none"/>
        </w:rPr>
        <w:t>uncertainty deadband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(offsets below 1.64σ = 8.1 px of the σ = 4.92 px centroid noise cannot be signed → </w:t>
      </w:r>
      <w:r>
        <w:rPr>
          <w:rFonts w:ascii="Times New Roman" w:hAnsi="Times New Roman"/>
          <w:b w:val="0"/>
          <w:i/>
          <w:sz w:val="20"/>
          <w:u w:val="none"/>
        </w:rPr>
        <w:t>hold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). The token is exercised on laterally translated frames that carry the lumen across the beam axis so that </w:t>
      </w:r>
      <w:r>
        <w:rPr>
          <w:rFonts w:ascii="Times New Roman" w:hAnsi="Times New Roman"/>
          <w:b w:val="0"/>
          <w:i/>
          <w:sz w:val="20"/>
          <w:u w:val="none"/>
        </w:rPr>
        <w:t>e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changes sign.</w:t>
      </w:r>
    </w:p>
    <w:p>
      <w:pPr>
        <w:sectPr>
          <w:type w:val="continuous"/>
          <w:pgSz w:w="11906" w:h="16838"/>
          <w:pgMar w:top="567" w:right="1417" w:bottom="567" w:left="1417" w:header="567" w:footer="567" w:gutter="0"/>
          <w:cols w:space="396" w:num="2"/>
          <w:docGrid w:linePitch="360"/>
        </w:sectPr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168000" cy="13063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x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1306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both"/>
      </w:pPr>
      <w:r>
        <w:rPr>
          <w:rFonts w:ascii="Times New Roman" w:hAnsi="Times New Roman"/>
          <w:b/>
          <w:i w:val="0"/>
          <w:sz w:val="15"/>
          <w:u w:val="none"/>
        </w:rPr>
        <w:t>Figure 2.</w:t>
      </w:r>
      <w:r>
        <w:rPr>
          <w:rFonts w:ascii="Times New Roman" w:hAnsi="Times New Roman"/>
          <w:b w:val="0"/>
          <w:i w:val="0"/>
          <w:sz w:val="15"/>
          <w:u w:val="none"/>
        </w:rPr>
        <w:t xml:space="preserve"> (a) Only lateral sliding </w:t>
      </w:r>
      <w:r>
        <w:rPr>
          <w:rFonts w:ascii="Times New Roman" w:hAnsi="Times New Roman"/>
          <w:b w:val="0"/>
          <w:i/>
          <w:sz w:val="15"/>
          <w:u w:val="none"/>
        </w:rPr>
        <w:t>v</w:t>
      </w:r>
      <w:r>
        <w:rPr>
          <w:rFonts w:ascii="Times New Roman" w:hAnsi="Times New Roman"/>
          <w:b w:val="0"/>
          <w:i w:val="0"/>
          <w:sz w:val="15"/>
          <w:u w:val="none"/>
          <w:vertAlign w:val="subscript"/>
        </w:rPr>
        <w:t>x</w:t>
      </w:r>
      <w:r>
        <w:rPr>
          <w:rFonts w:ascii="Times New Roman" w:hAnsi="Times New Roman"/>
          <w:b w:val="0"/>
          <w:i w:val="0"/>
          <w:sz w:val="15"/>
          <w:u w:val="none"/>
        </w:rPr>
        <w:t xml:space="preserve"> leaves the imaging plane invariant among the plane-preserving axes. (b) The lateral displacement on one B-mode frame: </w:t>
      </w:r>
      <w:r>
        <w:rPr>
          <w:rFonts w:ascii="Times New Roman" w:hAnsi="Times New Roman"/>
          <w:b w:val="0"/>
          <w:i/>
          <w:sz w:val="15"/>
          <w:u w:val="none"/>
        </w:rPr>
        <w:t>A</w:t>
      </w:r>
      <w:r>
        <w:rPr>
          <w:rFonts w:ascii="Times New Roman" w:hAnsi="Times New Roman"/>
          <w:b w:val="0"/>
          <w:i w:val="0"/>
          <w:sz w:val="15"/>
          <w:u w:val="none"/>
        </w:rPr>
        <w:t xml:space="preserve"> is the beam axis, </w:t>
      </w:r>
      <w:r>
        <w:rPr>
          <w:rFonts w:ascii="Times New Roman" w:hAnsi="Times New Roman"/>
          <w:b w:val="0"/>
          <w:i/>
          <w:sz w:val="15"/>
          <w:u w:val="none"/>
        </w:rPr>
        <w:t>c</w:t>
      </w:r>
      <w:r>
        <w:rPr>
          <w:rFonts w:ascii="Times New Roman" w:hAnsi="Times New Roman"/>
          <w:b w:val="0"/>
          <w:i w:val="0"/>
          <w:sz w:val="15"/>
          <w:u w:val="none"/>
        </w:rPr>
        <w:t xml:space="preserve"> the lumen centroid, </w:t>
      </w:r>
      <w:r>
        <w:rPr>
          <w:rFonts w:ascii="Times New Roman" w:hAnsi="Times New Roman"/>
          <w:b w:val="0"/>
          <w:i/>
          <w:sz w:val="15"/>
          <w:u w:val="none"/>
        </w:rPr>
        <w:t>e</w:t>
      </w:r>
      <w:r>
        <w:rPr>
          <w:rFonts w:ascii="Times New Roman" w:hAnsi="Times New Roman"/>
          <w:b w:val="0"/>
          <w:i w:val="0"/>
          <w:sz w:val="15"/>
          <w:u w:val="none"/>
        </w:rPr>
        <w:t xml:space="preserve"> = </w:t>
      </w:r>
      <w:r>
        <w:rPr>
          <w:rFonts w:ascii="Times New Roman" w:hAnsi="Times New Roman"/>
          <w:b w:val="0"/>
          <w:i/>
          <w:sz w:val="15"/>
          <w:u w:val="none"/>
        </w:rPr>
        <w:t>A</w:t>
      </w:r>
      <w:r>
        <w:rPr>
          <w:rFonts w:ascii="Times New Roman" w:hAnsi="Times New Roman"/>
          <w:b w:val="0"/>
          <w:i w:val="0"/>
          <w:sz w:val="15"/>
          <w:u w:val="none"/>
        </w:rPr>
        <w:t xml:space="preserve"> − </w:t>
      </w:r>
      <w:r>
        <w:rPr>
          <w:rFonts w:ascii="Times New Roman" w:hAnsi="Times New Roman"/>
          <w:b w:val="0"/>
          <w:i/>
          <w:sz w:val="15"/>
          <w:u w:val="none"/>
        </w:rPr>
        <w:t>c</w:t>
      </w:r>
      <w:r>
        <w:rPr>
          <w:rFonts w:ascii="Times New Roman" w:hAnsi="Times New Roman"/>
          <w:b w:val="0"/>
          <w:i w:val="0"/>
          <w:sz w:val="15"/>
          <w:u w:val="none"/>
        </w:rPr>
        <w:t>.</w:t>
      </w:r>
    </w:p>
    <w:p>
      <w:pPr>
        <w:sectPr>
          <w:type w:val="continuous"/>
          <w:pgSz w:w="11906" w:h="16838"/>
          <w:pgMar w:top="567" w:right="1417" w:bottom="567" w:left="1417" w:header="567" w:footer="567" w:gutter="0"/>
          <w:cols w:space="396" w:num="1"/>
          <w:docGrid w:linePitch="360"/>
        </w:sectPr>
      </w:pPr>
    </w:p>
    <w:p>
      <w:pPr>
        <w:keepNext/>
        <w:spacing w:before="170" w:after="0"/>
        <w:ind w:left="0"/>
        <w:jc w:val="center"/>
      </w:pPr>
      <w:r>
        <w:rPr>
          <w:rFonts w:ascii="Times New Roman" w:hAnsi="Times New Roman"/>
          <w:b/>
          <w:i w:val="0"/>
          <w:sz w:val="20"/>
          <w:u w:val="none"/>
        </w:rPr>
        <w:t>III. Results</w:t>
      </w:r>
    </w:p>
    <w:p>
      <w:pPr>
        <w:spacing w:before="0" w:after="64"/>
        <w:ind w:left="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In the distended-bladder working domain Dice reaches 0.882 / 0.892 (val / test). </w:t>
      </w:r>
      <w:r>
        <w:rPr>
          <w:rFonts w:ascii="Times New Roman" w:hAnsi="Times New Roman"/>
          <w:b w:val="0"/>
          <w:i/>
          <w:sz w:val="20"/>
          <w:u w:val="none"/>
        </w:rPr>
        <w:t>Q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is defined on [0, 1] but attains only [0.14, 0.78] and, against a frame-to-frame jitter of 0.0095, separates 47 distinguishable states within its central operating range (Table 1). On 1,936 laterally translated held-out frames the discrete action state is classified at 85.2% (0.10% direction error) and the continuous displacement at slope 0.993 (median 3.15 px); wrong directions occur only near the axis and follow the Gaussian tail Φ(−|</w:t>
      </w:r>
      <w:r>
        <w:rPr>
          <w:rFonts w:ascii="Times New Roman" w:hAnsi="Times New Roman"/>
          <w:b w:val="0"/>
          <w:i/>
          <w:sz w:val="20"/>
          <w:u w:val="none"/>
        </w:rPr>
        <w:t>e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|/σ), licensing the derived 8.1 px </w:t>
      </w:r>
      <w:r>
        <w:rPr>
          <w:rFonts w:ascii="Times New Roman" w:hAnsi="Times New Roman"/>
          <w:b w:val="0"/>
          <w:i/>
          <w:sz w:val="20"/>
          <w:u w:val="none"/>
        </w:rPr>
        <w:t>hold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deadband. Quantising magnitude into graded classes lowers accuracy to 76.5% and 70.7%, so displacement is kept continuous.</w:t>
      </w:r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sz w:val="15"/>
          <w:u w:val="none"/>
        </w:rPr>
        <w:t>Table 1.</w:t>
      </w:r>
      <w:r>
        <w:rPr>
          <w:rFonts w:ascii="Times New Roman" w:hAnsi="Times New Roman"/>
          <w:b w:val="0"/>
          <w:i w:val="0"/>
          <w:sz w:val="15"/>
          <w:u w:val="none"/>
        </w:rPr>
        <w:t xml:space="preserve"> Main quantitative results on the held-out and laterally translated frames.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4309" w:type="dxa"/>
      </w:tblPr>
      <w:tblGrid>
        <w:gridCol w:w="2872"/>
        <w:gridCol w:w="1436"/>
      </w:tblGrid>
      <w:tr>
        <w:trPr>
          <w:cantSplit/>
        </w:trPr>
        <w:tc>
          <w:tcPr>
            <w:tcW w:type="dxa" w:w="2872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pPr>
              <w:spacing w:after="10"/>
              <w:keepNext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  <w:t>Metric</w:t>
            </w:r>
          </w:p>
        </w:tc>
        <w:tc>
          <w:tcPr>
            <w:tcW w:type="dxa" w:w="1436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pPr>
              <w:spacing w:after="10"/>
              <w:keepNext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  <w:t>Value</w:t>
            </w:r>
          </w:p>
        </w:tc>
      </w:tr>
      <w:tr>
        <w:trPr>
          <w:cantSplit/>
        </w:trPr>
        <w:tc>
          <w:tcPr>
            <w:tcW w:type="dxa" w:w="2872"/>
            <w:tcBorders>
              <w:top w:val="single" w:sz="4" w:color="808080"/>
              <w:bottom w:val="single" w:sz="4" w:color="808080"/>
              <w:left w:val="nil"/>
              <w:right w:val="nil"/>
            </w:tcBorders>
          </w:tcPr>
          <w:p>
            <w:pPr>
              <w:spacing w:after="10"/>
              <w:keepNext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Segmentation Dice, working domain (val / test)</w:t>
            </w:r>
          </w:p>
        </w:tc>
        <w:tc>
          <w:tcPr>
            <w:tcW w:type="dxa" w:w="1436"/>
            <w:tcBorders>
              <w:top w:val="single" w:sz="4" w:color="808080"/>
              <w:bottom w:val="single" w:sz="4" w:color="808080"/>
              <w:left w:val="nil"/>
              <w:right w:val="nil"/>
            </w:tcBorders>
          </w:tcPr>
          <w:p>
            <w:pPr>
              <w:spacing w:after="10"/>
              <w:keepNext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0.882 / 0.892</w:t>
            </w:r>
          </w:p>
        </w:tc>
      </w:tr>
      <w:tr>
        <w:trPr>
          <w:cantSplit/>
        </w:trPr>
        <w:tc>
          <w:tcPr>
            <w:tcW w:type="dxa" w:w="2872"/>
            <w:tcBorders>
              <w:top w:val="single" w:sz="4" w:color="808080"/>
              <w:bottom w:val="single" w:sz="4" w:color="808080"/>
              <w:left w:val="nil"/>
              <w:right w:val="nil"/>
            </w:tcBorders>
          </w:tcPr>
          <w:p>
            <w:pPr>
              <w:spacing w:after="10"/>
              <w:keepNext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Attained </w:t>
            </w:r>
            <w:r>
              <w:rPr>
                <w:rFonts w:ascii="Times New Roman" w:hAnsi="Times New Roman"/>
                <w:b w:val="0"/>
                <w:i/>
                <w:sz w:val="15"/>
                <w:u w:val="none"/>
              </w:rPr>
              <w:t>Q</w:t>
            </w: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 range (width; central 80%)</w:t>
            </w:r>
          </w:p>
        </w:tc>
        <w:tc>
          <w:tcPr>
            <w:tcW w:type="dxa" w:w="1436"/>
            <w:tcBorders>
              <w:top w:val="single" w:sz="4" w:color="808080"/>
              <w:bottom w:val="single" w:sz="4" w:color="808080"/>
              <w:left w:val="nil"/>
              <w:right w:val="nil"/>
            </w:tcBorders>
          </w:tcPr>
          <w:p>
            <w:pPr>
              <w:spacing w:after="10"/>
              <w:keepNext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0.64; 0.45</w:t>
            </w:r>
          </w:p>
        </w:tc>
      </w:tr>
      <w:tr>
        <w:trPr>
          <w:cantSplit/>
        </w:trPr>
        <w:tc>
          <w:tcPr>
            <w:tcW w:type="dxa" w:w="2872"/>
            <w:tcBorders>
              <w:top w:val="single" w:sz="4" w:color="808080"/>
              <w:bottom w:val="single" w:sz="4" w:color="808080"/>
              <w:left w:val="nil"/>
              <w:right w:val="nil"/>
            </w:tcBorders>
          </w:tcPr>
          <w:p>
            <w:pPr>
              <w:spacing w:after="10"/>
              <w:keepNext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Distinguishable states (full; central 80%)</w:t>
            </w:r>
          </w:p>
        </w:tc>
        <w:tc>
          <w:tcPr>
            <w:tcW w:type="dxa" w:w="1436"/>
            <w:tcBorders>
              <w:top w:val="single" w:sz="4" w:color="808080"/>
              <w:bottom w:val="single" w:sz="4" w:color="808080"/>
              <w:left w:val="nil"/>
              <w:right w:val="nil"/>
            </w:tcBorders>
          </w:tcPr>
          <w:p>
            <w:pPr>
              <w:spacing w:after="10"/>
              <w:keepNext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67; 47</w:t>
            </w:r>
          </w:p>
        </w:tc>
      </w:tr>
      <w:tr>
        <w:trPr>
          <w:cantSplit/>
        </w:trPr>
        <w:tc>
          <w:tcPr>
            <w:tcW w:type="dxa" w:w="2872"/>
            <w:tcBorders>
              <w:top w:val="single" w:sz="4" w:color="808080"/>
              <w:bottom w:val="single" w:sz="4" w:color="808080"/>
              <w:left w:val="nil"/>
              <w:right w:val="nil"/>
            </w:tcBorders>
          </w:tcPr>
          <w:p>
            <w:pPr>
              <w:spacing w:after="10"/>
              <w:keepNext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Action-state accuracy (3 states); direction error</w:t>
            </w:r>
          </w:p>
        </w:tc>
        <w:tc>
          <w:tcPr>
            <w:tcW w:type="dxa" w:w="1436"/>
            <w:tcBorders>
              <w:top w:val="single" w:sz="4" w:color="808080"/>
              <w:bottom w:val="single" w:sz="4" w:color="808080"/>
              <w:left w:val="nil"/>
              <w:right w:val="nil"/>
            </w:tcBorders>
          </w:tcPr>
          <w:p>
            <w:pPr>
              <w:spacing w:after="10"/>
              <w:keepNext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85.2%; 0.10%</w:t>
            </w:r>
          </w:p>
        </w:tc>
      </w:tr>
      <w:tr>
        <w:trPr>
          <w:cantSplit/>
        </w:trPr>
        <w:tc>
          <w:tcPr>
            <w:tcW w:type="dxa" w:w="2872"/>
            <w:tcBorders>
              <w:top w:val="single" w:sz="4" w:color="808080"/>
              <w:bottom w:val="single" w:sz="4" w:color="808080"/>
              <w:left w:val="nil"/>
              <w:right w:val="nil"/>
            </w:tcBorders>
          </w:tcPr>
          <w:p>
            <w:pPr>
              <w:spacing w:after="10"/>
              <w:keepNext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Displacement estimate (slope; median error)</w:t>
            </w:r>
          </w:p>
        </w:tc>
        <w:tc>
          <w:tcPr>
            <w:tcW w:type="dxa" w:w="1436"/>
            <w:tcBorders>
              <w:top w:val="single" w:sz="4" w:color="808080"/>
              <w:bottom w:val="single" w:sz="4" w:color="808080"/>
              <w:left w:val="nil"/>
              <w:right w:val="nil"/>
            </w:tcBorders>
          </w:tcPr>
          <w:p>
            <w:pPr>
              <w:spacing w:after="10"/>
              <w:keepNext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0.993; 3.15 px</w:t>
            </w:r>
          </w:p>
        </w:tc>
      </w:tr>
      <w:tr>
        <w:trPr>
          <w:cantSplit/>
        </w:trPr>
        <w:tc>
          <w:tcPr>
            <w:tcW w:type="dxa" w:w="2872"/>
            <w:tcBorders>
              <w:top w:val="single" w:sz="4" w:color="808080"/>
              <w:bottom w:val="single" w:sz="4" w:color="808080"/>
              <w:left w:val="nil"/>
              <w:right w:val="nil"/>
            </w:tcBorders>
          </w:tcPr>
          <w:p>
            <w:pPr>
              <w:spacing w:after="10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Graded-magnitude accuracy (5; 7 states)</w:t>
            </w:r>
          </w:p>
        </w:tc>
        <w:tc>
          <w:tcPr>
            <w:tcW w:type="dxa" w:w="1436"/>
            <w:tcBorders>
              <w:top w:val="single" w:sz="4" w:color="808080"/>
              <w:bottom w:val="single" w:sz="4" w:color="808080"/>
              <w:left w:val="nil"/>
              <w:right w:val="nil"/>
            </w:tcBorders>
          </w:tcPr>
          <w:p>
            <w:pPr>
              <w:spacing w:after="10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76.5%; 70.7%</w:t>
            </w:r>
          </w:p>
        </w:tc>
      </w:tr>
    </w:tbl>
    <w:p>
      <w:pPr>
        <w:spacing w:after="60"/>
      </w:pPr>
    </w:p>
    <w:p>
      <w:pPr>
        <w:keepNext/>
        <w:spacing w:before="170" w:after="0"/>
        <w:ind w:left="0"/>
        <w:jc w:val="center"/>
      </w:pPr>
      <w:r>
        <w:rPr>
          <w:rFonts w:ascii="Times New Roman" w:hAnsi="Times New Roman"/>
          <w:b/>
          <w:i w:val="0"/>
          <w:sz w:val="20"/>
          <w:u w:val="none"/>
        </w:rPr>
        <w:t>IV. Conclusion</w:t>
      </w:r>
    </w:p>
    <w:p>
      <w:pPr>
        <w:spacing w:before="0" w:after="64"/>
        <w:ind w:left="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An explainable, quality-aware action-token layer bridges bladder ultrasound segmentation and structured downstream action handling, its </w:t>
      </w:r>
      <w:r>
        <w:rPr>
          <w:rFonts w:ascii="Times New Roman" w:hAnsi="Times New Roman"/>
          <w:b w:val="0"/>
          <w:i/>
          <w:sz w:val="20"/>
          <w:u w:val="none"/>
        </w:rPr>
        <w:t>hold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and </w:t>
      </w:r>
      <w:r>
        <w:rPr>
          <w:rFonts w:ascii="Times New Roman" w:hAnsi="Times New Roman"/>
          <w:b w:val="0"/>
          <w:i/>
          <w:sz w:val="20"/>
          <w:u w:val="none"/>
        </w:rPr>
        <w:t>check-filling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states providing an uncertainty deadband and a physics-based gate that a downstream system can interpret deterministically. The study validates image-to-token generation, not closed-loop control or clinical deployment; re-estimating the constants on intraoperative suprapubic HoLEP imaging and evaluating downstream integration remain future work.</w:t>
      </w:r>
    </w:p>
    <w:p>
      <w:pPr>
        <w:keepNext/>
        <w:spacing w:before="170" w:after="0"/>
        <w:ind w:left="0"/>
        <w:jc w:val="center"/>
      </w:pPr>
      <w:r>
        <w:rPr>
          <w:rFonts w:ascii="Times New Roman" w:hAnsi="Times New Roman"/>
          <w:b/>
          <w:i w:val="0"/>
          <w:sz w:val="20"/>
          <w:u w:val="none"/>
        </w:rPr>
        <w:t>References</w:t>
      </w:r>
    </w:p>
    <w:p>
      <w:pPr>
        <w:spacing w:before="0" w:after="12"/>
        <w:ind w:left="0"/>
        <w:jc w:val="both"/>
      </w:pPr>
      <w:r>
        <w:rPr>
          <w:rFonts w:ascii="Times New Roman" w:hAnsi="Times New Roman"/>
          <w:b w:val="0"/>
          <w:i w:val="0"/>
          <w:sz w:val="18"/>
          <w:u w:val="none"/>
        </w:rPr>
        <w:t>1. T. Jang, H.-J. Kong, C. Baek, J. Kim, M. S. Choo, S.-J. Oh. Effect of Self-Training Using Virtual Reality Head-Mounted Display Simulator on the Acquisition of Holmium Laser Enucleation of the Prostate Surgical Skills. International Neurourology Journal 2024;28(2):138–146.</w:t>
      </w:r>
    </w:p>
    <w:p>
      <w:pPr>
        <w:spacing w:before="0" w:after="12"/>
        <w:ind w:left="0"/>
        <w:jc w:val="both"/>
      </w:pPr>
      <w:r>
        <w:rPr>
          <w:rFonts w:ascii="Times New Roman" w:hAnsi="Times New Roman"/>
          <w:b w:val="0"/>
          <w:i w:val="0"/>
          <w:sz w:val="18"/>
          <w:u w:val="none"/>
        </w:rPr>
        <w:t>2. O. Ronneberger, P. Fischer, T. Brox. U-Net: Convolutional Networks for Biomedical Image Segmentation. In: MICCAI 2015, LNCS 9351, Springer, 2015, pp. 234–241.</w:t>
      </w:r>
    </w:p>
    <w:p>
      <w:pPr>
        <w:spacing w:before="0" w:after="12"/>
        <w:ind w:left="0"/>
        <w:jc w:val="both"/>
      </w:pPr>
      <w:r>
        <w:rPr>
          <w:rFonts w:ascii="Times New Roman" w:hAnsi="Times New Roman"/>
          <w:b w:val="0"/>
          <w:i w:val="0"/>
          <w:sz w:val="18"/>
          <w:u w:val="none"/>
        </w:rPr>
        <w:t>3. M. Saini, Y. Jiang, T. Gangopadhyay, D. P. Rosen, A. Alizad, M. Fatemi. BWS-Net: An Optimal Deep Learning Architecture for the Anterior Bladder Wall Segmentation using Ultrasound Imaging. IEEE J. Biomed. Health Inform. 2026. doi:10.1109/JBHI.2026.3675965.</w:t>
      </w:r>
    </w:p>
    <w:p>
      <w:pPr>
        <w:spacing w:before="0" w:after="12"/>
        <w:ind w:left="0"/>
        <w:jc w:val="both"/>
      </w:pPr>
      <w:r>
        <w:rPr>
          <w:rFonts w:ascii="Times New Roman" w:hAnsi="Times New Roman"/>
          <w:b w:val="0"/>
          <w:i w:val="0"/>
          <w:sz w:val="18"/>
          <w:u w:val="none"/>
        </w:rPr>
        <w:t>4. Z. Song, M. Asiedu, S. Wang, et al. Memory-efficient low-compute segmentation algorithms for bladder-monitoring smart ultrasound devices. Scientific Reports 2023;13:16450.</w:t>
      </w:r>
    </w:p>
    <w:p>
      <w:pPr>
        <w:spacing w:before="0" w:after="12"/>
        <w:ind w:left="0"/>
        <w:jc w:val="both"/>
      </w:pPr>
      <w:r>
        <w:rPr>
          <w:rFonts w:ascii="Times New Roman" w:hAnsi="Times New Roman"/>
          <w:b w:val="0"/>
          <w:i w:val="0"/>
          <w:sz w:val="18"/>
          <w:u w:val="none"/>
        </w:rPr>
        <w:t>5. H.-L. Hsu, M. Zahiri, G. Y. Li, et al. Active guidance in ultrasound bladder scanning using reinforcement learning. Scientific Reports 2026;16:5273.</w:t>
      </w:r>
    </w:p>
    <w:p>
      <w:pPr>
        <w:spacing w:before="0" w:after="12"/>
        <w:ind w:left="0"/>
        <w:jc w:val="both"/>
      </w:pPr>
      <w:r>
        <w:rPr>
          <w:rFonts w:ascii="Times New Roman" w:hAnsi="Times New Roman"/>
          <w:b w:val="0"/>
          <w:i w:val="0"/>
          <w:sz w:val="18"/>
          <w:u w:val="none"/>
        </w:rPr>
        <w:t>6. D. Solís-Martín, J. A. Sainz, J. Galán-Páez, J. Borrego-Díaz, J. A. García-Mejido. PFUS1: Premier pelvic floor ultrasound segmentation dataset. Data in Brief 2026;64:112346.</w:t>
      </w:r>
    </w:p>
    <w:p>
      <w:pPr>
        <w:spacing w:before="0" w:after="12"/>
        <w:ind w:left="0"/>
        <w:jc w:val="both"/>
      </w:pPr>
      <w:r>
        <w:rPr>
          <w:rFonts w:ascii="Times New Roman" w:hAnsi="Times New Roman"/>
          <w:b w:val="0"/>
          <w:i w:val="0"/>
          <w:sz w:val="18"/>
          <w:u w:val="none"/>
        </w:rPr>
        <w:t>7. J. A. García-Mejido, D. Solís-Martín, M. Martín-Morán, et al. Applicability of deep learning to dynamically identify the different organs of the pelvic floor in the midsagittal plane. Int. Urogynecol. J. 2024;35(12):2285–2293.</w:t>
      </w:r>
    </w:p>
    <w:p>
      <w:pPr>
        <w:spacing w:before="0" w:after="12"/>
        <w:ind w:left="0"/>
        <w:jc w:val="both"/>
      </w:pPr>
      <w:r>
        <w:rPr>
          <w:rFonts w:ascii="Times New Roman" w:hAnsi="Times New Roman"/>
          <w:b w:val="0"/>
          <w:i w:val="0"/>
          <w:sz w:val="18"/>
          <w:u w:val="none"/>
        </w:rPr>
        <w:t>8. Trinkler, Dietrich. Ultrasound of the Urinary Bladder. In: EFSUMB Course Book, European Federation of Societies for Ultrasound in Medicine and Biology, 2019.</w:t>
      </w:r>
    </w:p>
    <w:p>
      <w:pPr>
        <w:spacing w:before="0" w:after="64"/>
        <w:ind w:left="0"/>
        <w:jc w:val="both"/>
      </w:pPr>
      <w:r>
        <w:rPr>
          <w:rFonts w:ascii="Times New Roman" w:hAnsi="Times New Roman"/>
          <w:b w:val="0"/>
          <w:i/>
          <w:sz w:val="18"/>
          <w:u w:val="none"/>
        </w:rPr>
        <w:t>[TO BE COMPLETED] HoLEP-morcellation, visual-servoing and IQA citations to be added before submission.</w:t>
      </w:r>
    </w:p>
    <w:sectPr w:rsidR="00FC693F" w:rsidRPr="0006063C" w:rsidSect="00034616">
      <w:type w:val="continuous"/>
      <w:pgSz w:w="11906" w:h="16838"/>
      <w:pgMar w:top="567" w:right="1417" w:bottom="567" w:left="1417" w:header="567" w:footer="567" w:gutter="0"/>
      <w:cols w:space="396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336" w:lineRule="auto"/>
    </w:pPr>
    <w:rPr>
      <w:rFonts w:ascii="Times New Roman" w:hAnsi="Times New Roman" w:eastAsia="신명조"/>
      <w:sz w:val="20"/>
      <w:w w:val="95"/>
      <w:spacing w:val="-1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