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ind w:left="0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An Explainable Action-Token Generation Framework Based on Bladder Ultrasound Segmentation and Image Quality Assessment</w:t>
      </w:r>
    </w:p>
    <w:p>
      <w:pPr>
        <w:spacing w:before="0" w:after="60"/>
        <w:ind w:left="0"/>
        <w:jc w:val="center"/>
      </w:pPr>
      <w:r>
        <w:rPr>
          <w:rFonts w:ascii="Times New Roman" w:hAnsi="Times New Roman"/>
          <w:b w:val="0"/>
          <w:i w:val="0"/>
          <w:sz w:val="20"/>
          <w:u w:val="single"/>
        </w:rPr>
        <w:t>Seong Jeong</w:t>
      </w:r>
      <w:r>
        <w:rPr>
          <w:rFonts w:ascii="Times New Roman" w:hAnsi="Times New Roman"/>
          <w:b w:val="0"/>
          <w:i w:val="0"/>
          <w:sz w:val="20"/>
          <w:u w:val="none"/>
          <w:vertAlign w:val="superscript"/>
        </w:rPr>
        <w:t>1, 2, 5</w:t>
      </w:r>
      <w:r>
        <w:rPr>
          <w:rFonts w:ascii="Times New Roman" w:hAnsi="Times New Roman"/>
          <w:b w:val="0"/>
          <w:i w:val="0"/>
          <w:sz w:val="20"/>
          <w:u w:val="none"/>
        </w:rPr>
        <w:t>, Minsung Kim</w:t>
      </w:r>
      <w:r>
        <w:rPr>
          <w:rFonts w:ascii="Times New Roman" w:hAnsi="Times New Roman"/>
          <w:b w:val="0"/>
          <w:i w:val="0"/>
          <w:sz w:val="20"/>
          <w:u w:val="none"/>
          <w:vertAlign w:val="superscript"/>
        </w:rPr>
        <w:t>1,2,4</w:t>
      </w:r>
      <w:r>
        <w:rPr>
          <w:rFonts w:ascii="Times New Roman" w:hAnsi="Times New Roman"/>
          <w:b w:val="0"/>
          <w:i w:val="0"/>
          <w:sz w:val="20"/>
          <w:u w:val="none"/>
        </w:rPr>
        <w:t>, Dongho Yee</w:t>
      </w:r>
      <w:r>
        <w:rPr>
          <w:rFonts w:ascii="Times New Roman" w:hAnsi="Times New Roman"/>
          <w:b w:val="0"/>
          <w:i w:val="0"/>
          <w:sz w:val="20"/>
          <w:u w:val="none"/>
          <w:vertAlign w:val="superscript"/>
        </w:rPr>
        <w:t>1,2,4</w:t>
      </w:r>
      <w:r>
        <w:rPr>
          <w:rFonts w:ascii="Times New Roman" w:hAnsi="Times New Roman"/>
          <w:b w:val="0"/>
          <w:i w:val="0"/>
          <w:sz w:val="20"/>
          <w:u w:val="none"/>
        </w:rPr>
        <w:t>, Yechan Seo</w:t>
      </w:r>
      <w:r>
        <w:rPr>
          <w:rFonts w:ascii="Times New Roman" w:hAnsi="Times New Roman"/>
          <w:b w:val="0"/>
          <w:i w:val="0"/>
          <w:sz w:val="20"/>
          <w:u w:val="none"/>
          <w:vertAlign w:val="superscript"/>
        </w:rPr>
        <w:t>1,2,5</w:t>
      </w:r>
      <w:r>
        <w:rPr>
          <w:rFonts w:ascii="Times New Roman" w:hAnsi="Times New Roman"/>
          <w:b w:val="0"/>
          <w:i w:val="0"/>
          <w:sz w:val="20"/>
          <w:u w:val="none"/>
        </w:rPr>
        <w:t>, Juahn Oh</w:t>
      </w:r>
      <w:r>
        <w:rPr>
          <w:rFonts w:ascii="Times New Roman" w:hAnsi="Times New Roman"/>
          <w:b w:val="0"/>
          <w:i w:val="0"/>
          <w:sz w:val="20"/>
          <w:u w:val="none"/>
          <w:vertAlign w:val="superscript"/>
        </w:rPr>
        <w:t>1,2,3</w:t>
      </w:r>
      <w:r>
        <w:rPr>
          <w:rFonts w:ascii="Times New Roman" w:hAnsi="Times New Roman"/>
          <w:b w:val="0"/>
          <w:i w:val="0"/>
          <w:sz w:val="20"/>
          <w:u w:val="none"/>
        </w:rPr>
        <w:t>, Hyoun-Joong Kong</w:t>
      </w:r>
      <w:r>
        <w:rPr>
          <w:rFonts w:ascii="Times New Roman" w:hAnsi="Times New Roman"/>
          <w:b w:val="0"/>
          <w:i w:val="0"/>
          <w:sz w:val="20"/>
          <w:u w:val="none"/>
          <w:vertAlign w:val="superscript"/>
        </w:rPr>
        <w:t>1,2,5,*</w:t>
      </w:r>
    </w:p>
    <w:p>
      <w:pPr>
        <w:spacing w:before="0" w:after="8"/>
        <w:ind w:left="0"/>
        <w:jc w:val="center"/>
      </w:pPr>
      <w:r>
        <w:rPr>
          <w:rFonts w:ascii="Times New Roman" w:hAnsi="Times New Roman"/>
          <w:b w:val="0"/>
          <w:i w:val="0"/>
          <w:sz w:val="16"/>
          <w:u w:val="none"/>
          <w:vertAlign w:val="superscript"/>
        </w:rPr>
        <w:t>1</w:t>
      </w:r>
      <w:r>
        <w:rPr>
          <w:rFonts w:ascii="Times New Roman" w:hAnsi="Times New Roman"/>
          <w:b w:val="0"/>
          <w:i w:val="0"/>
          <w:sz w:val="16"/>
          <w:u w:val="none"/>
        </w:rPr>
        <w:t xml:space="preserve"> Department of Transdisciplinary Medicine, Seoul National University Hospital, Seoul, Republic of Korea</w:t>
      </w:r>
    </w:p>
    <w:p>
      <w:pPr>
        <w:spacing w:before="0" w:after="8"/>
        <w:ind w:left="0"/>
        <w:jc w:val="center"/>
      </w:pPr>
      <w:r>
        <w:rPr>
          <w:rFonts w:ascii="Times New Roman" w:hAnsi="Times New Roman"/>
          <w:b w:val="0"/>
          <w:i w:val="0"/>
          <w:sz w:val="16"/>
          <w:u w:val="none"/>
          <w:vertAlign w:val="superscript"/>
        </w:rPr>
        <w:t>2</w:t>
      </w:r>
      <w:r>
        <w:rPr>
          <w:rFonts w:ascii="Times New Roman" w:hAnsi="Times New Roman"/>
          <w:b w:val="0"/>
          <w:i w:val="0"/>
          <w:sz w:val="16"/>
          <w:u w:val="none"/>
        </w:rPr>
        <w:t xml:space="preserve"> Rosota Inc., Seoul, Republic of Korea</w:t>
      </w:r>
    </w:p>
    <w:p>
      <w:pPr>
        <w:spacing w:before="0" w:after="8"/>
        <w:ind w:left="0"/>
        <w:jc w:val="center"/>
      </w:pPr>
      <w:r>
        <w:rPr>
          <w:rFonts w:ascii="Times New Roman" w:hAnsi="Times New Roman"/>
          <w:b w:val="0"/>
          <w:i w:val="0"/>
          <w:sz w:val="16"/>
          <w:u w:val="none"/>
          <w:vertAlign w:val="superscript"/>
        </w:rPr>
        <w:t>3</w:t>
      </w:r>
      <w:r>
        <w:rPr>
          <w:rFonts w:ascii="Times New Roman" w:hAnsi="Times New Roman"/>
          <w:b w:val="0"/>
          <w:i w:val="0"/>
          <w:sz w:val="16"/>
          <w:u w:val="none"/>
        </w:rPr>
        <w:t xml:space="preserve"> Eulji University College of Medicine, Daejeon, Republic of Korea</w:t>
      </w:r>
    </w:p>
    <w:p>
      <w:pPr>
        <w:spacing w:before="0" w:after="8"/>
        <w:ind w:left="0"/>
        <w:jc w:val="center"/>
      </w:pPr>
      <w:r>
        <w:rPr>
          <w:rFonts w:ascii="Times New Roman" w:hAnsi="Times New Roman"/>
          <w:b w:val="0"/>
          <w:i w:val="0"/>
          <w:sz w:val="16"/>
          <w:u w:val="none"/>
          <w:vertAlign w:val="superscript"/>
        </w:rPr>
        <w:t>4</w:t>
      </w:r>
      <w:r>
        <w:rPr>
          <w:rFonts w:ascii="Times New Roman" w:hAnsi="Times New Roman"/>
          <w:b w:val="0"/>
          <w:i w:val="0"/>
          <w:sz w:val="16"/>
          <w:u w:val="none"/>
        </w:rPr>
        <w:t xml:space="preserve"> Department of Mechanical Engineering, Seoul National University, Seoul, Republic of Korea</w:t>
      </w:r>
    </w:p>
    <w:p>
      <w:pPr>
        <w:spacing w:before="0" w:after="8"/>
        <w:ind w:left="0"/>
        <w:jc w:val="center"/>
      </w:pPr>
      <w:r>
        <w:rPr>
          <w:rFonts w:ascii="Times New Roman" w:hAnsi="Times New Roman"/>
          <w:b w:val="0"/>
          <w:i w:val="0"/>
          <w:sz w:val="16"/>
          <w:u w:val="none"/>
          <w:vertAlign w:val="superscript"/>
        </w:rPr>
        <w:t>5</w:t>
      </w:r>
      <w:r>
        <w:rPr>
          <w:rFonts w:ascii="Times New Roman" w:hAnsi="Times New Roman"/>
          <w:b w:val="0"/>
          <w:i w:val="0"/>
          <w:sz w:val="16"/>
          <w:u w:val="none"/>
        </w:rPr>
        <w:t xml:space="preserve"> Department of Medicine, Seoul National University, Seoul, Republic of Korea</w:t>
      </w:r>
    </w:p>
    <w:p>
      <w:pPr>
        <w:spacing w:before="0" w:after="8"/>
        <w:ind w:left="0"/>
        <w:jc w:val="center"/>
      </w:pPr>
      <w:r>
        <w:rPr>
          <w:rFonts w:ascii="Times New Roman" w:hAnsi="Times New Roman"/>
          <w:b w:val="0"/>
          <w:i/>
          <w:sz w:val="16"/>
          <w:u w:val="none"/>
        </w:rPr>
        <w:t>*Corresponding Author</w:t>
      </w:r>
    </w:p>
    <w:p>
      <w:pPr>
        <w:spacing w:after="60"/>
      </w:pPr>
    </w:p>
    <w:p>
      <w:pPr>
        <w:spacing w:before="0" w:after="64" w:line="288" w:lineRule="auto"/>
        <w:ind w:left="0"/>
        <w:jc w:val="both"/>
      </w:pPr>
      <w:r>
        <w:rPr>
          <w:rFonts w:ascii="Times New Roman" w:hAnsi="Times New Roman"/>
          <w:b/>
          <w:i w:val="0"/>
          <w:sz w:val="20"/>
          <w:u w:val="none"/>
        </w:rPr>
        <w:t>Abstract: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During the morcellation phase of holmium laser enucleation of the prostate (HoLEP), a suprapubic ultrasound probe must be kept over the bladder lumen. Automating that view requires an explicit, auditable representation mapping image-derived states to actionable outputs; a segmentation mask alone is not such a representation. We present an explainable framework that converts bladder ultrasound segmentation and image-quality assessment into a safety-constrained, machine-readable action token. A U-Net segments the bladder lumen; a transparent image-quality function </w:t>
      </w:r>
      <w:r>
        <w:rPr>
          <w:rFonts w:ascii="Times New Roman" w:hAnsi="Times New Roman"/>
          <w:b w:val="0"/>
          <w:i/>
          <w:sz w:val="20"/>
          <w:u w:val="none"/>
        </w:rPr>
        <w:t>Q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, computed from interpretable image and mask features, summarises the frame; and the system emits a structured token pairing a discrete action state, one of </w:t>
      </w:r>
      <w:r>
        <w:rPr>
          <w:rFonts w:ascii="Times New Roman" w:hAnsi="Times New Roman"/>
          <w:b w:val="0"/>
          <w:i/>
          <w:sz w:val="20"/>
          <w:u w:val="none"/>
        </w:rPr>
        <w:t>move-left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, </w:t>
      </w:r>
      <w:r>
        <w:rPr>
          <w:rFonts w:ascii="Times New Roman" w:hAnsi="Times New Roman"/>
          <w:b w:val="0"/>
          <w:i/>
          <w:sz w:val="20"/>
          <w:u w:val="none"/>
        </w:rPr>
        <w:t>move-right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, </w:t>
      </w:r>
      <w:r>
        <w:rPr>
          <w:rFonts w:ascii="Times New Roman" w:hAnsi="Times New Roman"/>
          <w:b w:val="0"/>
          <w:i/>
          <w:sz w:val="20"/>
          <w:u w:val="none"/>
        </w:rPr>
        <w:t>hold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, or </w:t>
      </w:r>
      <w:r>
        <w:rPr>
          <w:rFonts w:ascii="Times New Roman" w:hAnsi="Times New Roman"/>
          <w:b w:val="0"/>
          <w:i/>
          <w:sz w:val="20"/>
          <w:u w:val="none"/>
        </w:rPr>
        <w:t>check-filling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, with a continuous lateral displacement estimate </w:t>
      </w:r>
      <w:r>
        <w:rPr>
          <w:rFonts w:ascii="Times New Roman" w:hAnsi="Times New Roman"/>
          <w:b w:val="0"/>
          <w:i/>
          <w:sz w:val="20"/>
          <w:u w:val="none"/>
        </w:rPr>
        <w:t>ê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, designed for deterministic decoding rather than natural-language recommendation. The vocabulary is bounded by what </w:t>
      </w:r>
      <w:r>
        <w:rPr>
          <w:rFonts w:ascii="Times New Roman" w:hAnsi="Times New Roman"/>
          <w:b w:val="0"/>
          <w:i/>
          <w:sz w:val="20"/>
          <w:u w:val="none"/>
        </w:rPr>
        <w:t>Q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can distinguish: </w:t>
      </w:r>
      <w:r>
        <w:rPr>
          <w:rFonts w:ascii="Times New Roman" w:hAnsi="Times New Roman"/>
          <w:b w:val="0"/>
          <w:i/>
          <w:sz w:val="20"/>
          <w:u w:val="none"/>
        </w:rPr>
        <w:t>Q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attains [0.14, 0.78] of its nominal domain and, against frame-to-frame jitter, separates </w:t>
      </w:r>
      <w:r>
        <w:rPr>
          <w:rFonts w:ascii="Times New Roman" w:hAnsi="Times New Roman"/>
          <w:b/>
          <w:i w:val="0"/>
          <w:sz w:val="20"/>
          <w:u w:val="none"/>
        </w:rPr>
        <w:t>47 distinguishable states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, the ceiling on safe action states. Two boundaries are derived, not tuned. A physical gate assigns </w:t>
      </w:r>
      <w:r>
        <w:rPr>
          <w:rFonts w:ascii="Times New Roman" w:hAnsi="Times New Roman"/>
          <w:b w:val="0"/>
          <w:i/>
          <w:sz w:val="20"/>
          <w:u w:val="none"/>
        </w:rPr>
        <w:t>check-filling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because a non-anechoic lumen cannot be a filled bladder, and a statistical deadband assigns </w:t>
      </w:r>
      <w:r>
        <w:rPr>
          <w:rFonts w:ascii="Times New Roman" w:hAnsi="Times New Roman"/>
          <w:b w:val="0"/>
          <w:i/>
          <w:sz w:val="20"/>
          <w:u w:val="none"/>
        </w:rPr>
        <w:t>hold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because an offset below 1.64σ of the centroid noise, σ = 4.92 px, cannot be signed. On 1,936 laterally translated held-out frames the action state is correct on 85.2% of frames at 0.10% direction error; the displacement stays continuous (slope 0.993), since quantising it into graded classes drops accuracy to 76.5% and 70.7%. The framework supplies an explainable action-token layer for HoLEP probe guidance; closed-loop validation on intraoperative imaging remains future work.</w:t>
      </w:r>
    </w:p>
    <w:p>
      <w:pPr>
        <w:spacing w:before="20" w:after="40"/>
        <w:ind w:left="0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Keywords: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bladder ultrasound segmentation, image quality assessment, explainable artificial intelligence, action token, robotic probe control, HoLEP morcellation</w:t>
      </w:r>
    </w:p>
    <w:p>
      <w:pPr>
        <w:spacing w:after="80"/>
      </w:pPr>
    </w:p>
    <w:p>
      <w:pPr>
        <w:sectPr>
          <w:footerReference w:type="default" r:id="rId9"/>
          <w:pgSz w:w="11906" w:h="16838"/>
          <w:pgMar w:top="567" w:right="1417" w:bottom="567" w:left="1417" w:header="567" w:footer="567" w:gutter="0"/>
          <w:cols w:space="396" w:num="1"/>
          <w:docGrid w:linePitch="360"/>
        </w:sectPr>
      </w:pPr>
    </w:p>
    <w:p>
      <w:pPr>
        <w:keepNext/>
        <w:spacing w:before="170" w:after="0"/>
        <w:ind w:left="0"/>
        <w:jc w:val="center"/>
      </w:pPr>
      <w:r>
        <w:rPr>
          <w:rFonts w:ascii="Times New Roman" w:hAnsi="Times New Roman"/>
          <w:b/>
          <w:i w:val="0"/>
          <w:sz w:val="20"/>
          <w:u w:val="none"/>
        </w:rPr>
        <w:t>I. Introduction</w:t>
      </w:r>
    </w:p>
    <w:p>
      <w:pPr>
        <w:spacing w:before="0" w:after="64"/>
        <w:ind w:left="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During the morcellation phase of holmium laser enucleation of the prostate (HoLEP), a suprapubic ultrasound probe must be kept over the bladder lumen [1]. Automated analysis of that view needs an explicit representation of what the current image implies for an actionable state; a segmentation mask alone is not such a representation. Deep networks already segment the bladder accurately and cheaply [3, 4] and guidance systems can steer toward a standard view [5], but a mask is not something a downstream module can act on. An end-to-end learned mapping would produce motion directly yet hide </w:t>
      </w:r>
      <w:r>
        <w:rPr>
          <w:rFonts w:ascii="Times New Roman" w:hAnsi="Times New Roman"/>
          <w:b w:val="0"/>
          <w:i/>
          <w:sz w:val="20"/>
          <w:u w:val="none"/>
        </w:rPr>
        <w:t>why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an action was issued and is hard to audit under segmentation uncertainty, whereas a raw geometric rule acts on the mask with no account of when the image is too degraded to act on at all. What is wanted instead is a structured layer that encodes the direction to move, withholds motion when the estimate is untrustworthy, and flags failures upstream of any probe motion.</w:t>
      </w:r>
    </w:p>
    <w:p>
      <w:pPr>
        <w:spacing w:before="0" w:after="64"/>
        <w:ind w:left="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We build that layer as an explainable </w:t>
      </w:r>
      <w:r>
        <w:rPr>
          <w:rFonts w:ascii="Times New Roman" w:hAnsi="Times New Roman"/>
          <w:b/>
          <w:i w:val="0"/>
          <w:sz w:val="20"/>
          <w:u w:val="none"/>
        </w:rPr>
        <w:t>action-token generation framework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of three stages (Figure 1): a U-Net segments the bladder lumen; a transparent image-quality function </w:t>
      </w:r>
      <w:r>
        <w:rPr>
          <w:rFonts w:ascii="Times New Roman" w:hAnsi="Times New Roman"/>
          <w:b w:val="0"/>
          <w:i/>
          <w:sz w:val="20"/>
          <w:u w:val="none"/>
        </w:rPr>
        <w:t>Q</w:t>
      </w:r>
      <w:r>
        <w:rPr>
          <w:rFonts w:ascii="Times New Roman" w:hAnsi="Times New Roman"/>
          <w:b w:val="0"/>
          <w:i w:val="0"/>
          <w:sz w:val="20"/>
          <w:u w:val="none"/>
        </w:rPr>
        <w:t>, computed from interpretable image and mask features, summarises whether and how the frame falls short; and the state is emitted as a structured token pairing a discrete action state (</w:t>
      </w:r>
      <w:r>
        <w:rPr>
          <w:rFonts w:ascii="Times New Roman" w:hAnsi="Times New Roman"/>
          <w:b w:val="0"/>
          <w:i/>
          <w:sz w:val="20"/>
          <w:u w:val="none"/>
        </w:rPr>
        <w:t>move-left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, </w:t>
      </w:r>
      <w:r>
        <w:rPr>
          <w:rFonts w:ascii="Times New Roman" w:hAnsi="Times New Roman"/>
          <w:b w:val="0"/>
          <w:i/>
          <w:sz w:val="20"/>
          <w:u w:val="none"/>
        </w:rPr>
        <w:t>move-right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, </w:t>
      </w:r>
      <w:r>
        <w:rPr>
          <w:rFonts w:ascii="Times New Roman" w:hAnsi="Times New Roman"/>
          <w:b w:val="0"/>
          <w:i/>
          <w:sz w:val="20"/>
          <w:u w:val="none"/>
        </w:rPr>
        <w:t>hold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, or </w:t>
      </w:r>
      <w:r>
        <w:rPr>
          <w:rFonts w:ascii="Times New Roman" w:hAnsi="Times New Roman"/>
          <w:b w:val="0"/>
          <w:i/>
          <w:sz w:val="20"/>
          <w:u w:val="none"/>
        </w:rPr>
        <w:t>check-filling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) with a continuous lateral displacement estimate </w:t>
      </w:r>
      <w:r>
        <w:rPr>
          <w:rFonts w:ascii="Times New Roman" w:hAnsi="Times New Roman"/>
          <w:b w:val="0"/>
          <w:i/>
          <w:sz w:val="20"/>
          <w:u w:val="none"/>
        </w:rPr>
        <w:t>ê</w:t>
      </w:r>
      <w:r>
        <w:rPr>
          <w:rFonts w:ascii="Times New Roman" w:hAnsi="Times New Roman"/>
          <w:b w:val="0"/>
          <w:i w:val="0"/>
          <w:sz w:val="20"/>
          <w:u w:val="none"/>
        </w:rPr>
        <w:t>. The token is designed for deterministic decoding, with the identical human-readable wording retained only as an optional monitoring layer for oversight. The framework is confined to the lateral, image-preserving axis — the one axis presenting a measurable image-domain displacement that can be simulated from single-plane frames. This study validates the pipeline up to token generation; the token-to-command mapping is a design specification for future integration (Section IV), not a closed-loop result.</w:t>
      </w:r>
    </w:p>
    <w:p>
      <w:pPr>
        <w:sectPr>
          <w:type w:val="continuous"/>
          <w:pgSz w:w="11906" w:h="16838"/>
          <w:pgMar w:top="567" w:right="1417" w:bottom="567" w:left="1417" w:header="567" w:footer="567" w:gutter="0"/>
          <w:cols w:space="396" w:num="2"/>
          <w:docGrid w:linePitch="360"/>
        </w:sectPr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19792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79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sz w:val="15"/>
          <w:u w:val="none"/>
        </w:rPr>
        <w:t>Figure 1.</w:t>
      </w:r>
      <w:r>
        <w:rPr>
          <w:rFonts w:ascii="Times New Roman" w:hAnsi="Times New Roman"/>
          <w:b w:val="0"/>
          <w:i w:val="0"/>
          <w:sz w:val="15"/>
          <w:u w:val="none"/>
        </w:rPr>
        <w:t xml:space="preserve"> The action-token generation framework: an ultrasound frame is segmented (U-Net), summarised by the image-quality function </w:t>
      </w:r>
      <w:r>
        <w:rPr>
          <w:rFonts w:ascii="Times New Roman" w:hAnsi="Times New Roman"/>
          <w:b w:val="0"/>
          <w:i/>
          <w:sz w:val="15"/>
          <w:u w:val="none"/>
        </w:rPr>
        <w:t>Q</w:t>
      </w:r>
      <w:r>
        <w:rPr>
          <w:rFonts w:ascii="Times New Roman" w:hAnsi="Times New Roman"/>
          <w:b w:val="0"/>
          <w:i w:val="0"/>
          <w:sz w:val="15"/>
          <w:u w:val="none"/>
        </w:rPr>
        <w:t>, and emitted as a structured action token (</w:t>
      </w:r>
      <w:r>
        <w:rPr>
          <w:rFonts w:ascii="Times New Roman" w:hAnsi="Times New Roman"/>
          <w:b w:val="0"/>
          <w:i/>
          <w:sz w:val="15"/>
          <w:u w:val="none"/>
        </w:rPr>
        <w:t>a</w:t>
      </w:r>
      <w:r>
        <w:rPr>
          <w:rFonts w:ascii="Times New Roman" w:hAnsi="Times New Roman"/>
          <w:b w:val="0"/>
          <w:i w:val="0"/>
          <w:sz w:val="15"/>
          <w:u w:val="none"/>
        </w:rPr>
        <w:t xml:space="preserve">, </w:t>
      </w:r>
      <w:r>
        <w:rPr>
          <w:rFonts w:ascii="Times New Roman" w:hAnsi="Times New Roman"/>
          <w:b w:val="0"/>
          <w:i/>
          <w:sz w:val="15"/>
          <w:u w:val="none"/>
        </w:rPr>
        <w:t>ê</w:t>
      </w:r>
      <w:r>
        <w:rPr>
          <w:rFonts w:ascii="Times New Roman" w:hAnsi="Times New Roman"/>
          <w:b w:val="0"/>
          <w:i w:val="0"/>
          <w:sz w:val="15"/>
          <w:u w:val="none"/>
        </w:rPr>
        <w:t xml:space="preserve">, </w:t>
      </w:r>
      <w:r>
        <w:rPr>
          <w:rFonts w:ascii="Times New Roman" w:hAnsi="Times New Roman"/>
          <w:b w:val="0"/>
          <w:i/>
          <w:sz w:val="15"/>
          <w:u w:val="none"/>
        </w:rPr>
        <w:t>Q</w:t>
      </w:r>
      <w:r>
        <w:rPr>
          <w:rFonts w:ascii="Times New Roman" w:hAnsi="Times New Roman"/>
          <w:b w:val="0"/>
          <w:i w:val="0"/>
          <w:sz w:val="15"/>
          <w:u w:val="none"/>
        </w:rPr>
        <w:t>) that a fixed decoder maps to a potential downstream system output. Stages 1–3 are validated; the dashed downstream execution (a potential future robotic-control integration) is not validated (Section IV).</w:t>
      </w:r>
    </w:p>
    <w:p>
      <w:pPr>
        <w:sectPr>
          <w:type w:val="continuous"/>
          <w:pgSz w:w="11906" w:h="16838"/>
          <w:pgMar w:top="567" w:right="1417" w:bottom="567" w:left="1417" w:header="567" w:footer="567" w:gutter="0"/>
          <w:cols w:space="396" w:num="1"/>
          <w:docGrid w:linePitch="360"/>
        </w:sectPr>
      </w:pPr>
    </w:p>
    <w:p>
      <w:pPr>
        <w:keepNext/>
        <w:spacing w:before="170" w:after="0"/>
        <w:ind w:left="0"/>
        <w:jc w:val="center"/>
      </w:pPr>
      <w:r>
        <w:rPr>
          <w:rFonts w:ascii="Times New Roman" w:hAnsi="Times New Roman"/>
          <w:b/>
          <w:i w:val="0"/>
          <w:sz w:val="20"/>
          <w:u w:val="none"/>
        </w:rPr>
        <w:t>II. Methods</w:t>
      </w:r>
    </w:p>
    <w:p>
      <w:pPr>
        <w:keepNext/>
        <w:spacing w:before="114" w:after="0"/>
        <w:ind w:left="0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1. Segmentation, Image State, and Quality Assessment</w:t>
      </w:r>
    </w:p>
    <w:p>
      <w:pPr>
        <w:spacing w:before="0" w:after="64"/>
        <w:ind w:left="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A U-Net [2] maps a 256 × 256 B-mode frame to a lumen probability map, thresholded at 0.5 and reduced to its largest hole-filled connected component. Frames come from PFUS1 [6], a public transperineal pelvic-floor dataset (101 women, midsagittal, rest and Valsalva, one scanner) whose eight annotated organs include the bladder [6, 7]; </w:t>
      </w:r>
      <w:r>
        <w:rPr>
          <w:rFonts w:ascii="Times New Roman" w:hAnsi="Times New Roman"/>
          <w:b/>
          <w:i w:val="0"/>
          <w:sz w:val="20"/>
          <w:u w:val="none"/>
        </w:rPr>
        <w:t>it is not intraoperative HoLEP imaging</w:t>
      </w:r>
      <w:r>
        <w:rPr>
          <w:rFonts w:ascii="Times New Roman" w:hAnsi="Times New Roman"/>
          <w:b w:val="0"/>
          <w:i w:val="0"/>
          <w:sz w:val="20"/>
          <w:u w:val="none"/>
        </w:rPr>
        <w:t>. The model was trained on a patient-disjoint split and used unchanged; all measurements use two held-out sets (1,661 and 1,292 frames) that share no patient. From the mask we compute an interpretable image state — centroid, area, boundary statistics, and lumen-to-surround contrast — every ratio taken over the insonified sector rather than the image rectangle.</w:t>
      </w:r>
    </w:p>
    <w:p>
      <w:pPr>
        <w:spacing w:before="0" w:after="64"/>
        <w:ind w:left="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The quality score is a weighted geometric mean of sub-scores </w:t>
      </w:r>
      <w:r>
        <w:rPr>
          <w:rFonts w:ascii="Times New Roman" w:hAnsi="Times New Roman"/>
          <w:b w:val="0"/>
          <w:i/>
          <w:sz w:val="20"/>
          <w:u w:val="none"/>
        </w:rPr>
        <w:t>s</w:t>
      </w:r>
      <w:r>
        <w:rPr>
          <w:rFonts w:ascii="Times New Roman" w:hAnsi="Times New Roman"/>
          <w:b w:val="0"/>
          <w:i w:val="0"/>
          <w:sz w:val="20"/>
          <w:u w:val="none"/>
          <w:vertAlign w:val="subscript"/>
        </w:rPr>
        <w:t>i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∈ [0, 1], every term and weight logged so a value is traceable to its components:</w:t>
      </w:r>
    </w:p>
    <w:p>
      <w:pPr>
        <w:tabs>
          <w:tab w:pos="4337" w:val="right"/>
        </w:tabs>
        <w:spacing w:before="80" w:after="80"/>
        <w:jc w:val="left"/>
      </w:pPr>
      <w:r>
        <w:rPr>
          <w:rFonts w:ascii="Times New Roman" w:hAnsi="Times New Roman"/>
          <w:b w:val="0"/>
          <w:i/>
          <w:sz w:val="20"/>
          <w:u w:val="none"/>
        </w:rPr>
        <w:t>Q = exp( Σ w</w:t>
      </w:r>
      <w:r>
        <w:rPr>
          <w:rFonts w:ascii="Times New Roman" w:hAnsi="Times New Roman"/>
          <w:b w:val="0"/>
          <w:i/>
          <w:sz w:val="20"/>
          <w:u w:val="none"/>
          <w:vertAlign w:val="subscript"/>
        </w:rPr>
        <w:t>i</w:t>
      </w:r>
      <w:r>
        <w:rPr>
          <w:rFonts w:ascii="Times New Roman" w:hAnsi="Times New Roman"/>
          <w:b w:val="0"/>
          <w:i/>
          <w:sz w:val="20"/>
          <w:u w:val="none"/>
        </w:rPr>
        <w:t xml:space="preserve"> ln s</w:t>
      </w:r>
      <w:r>
        <w:rPr>
          <w:rFonts w:ascii="Times New Roman" w:hAnsi="Times New Roman"/>
          <w:b w:val="0"/>
          <w:i/>
          <w:sz w:val="20"/>
          <w:u w:val="none"/>
          <w:vertAlign w:val="subscript"/>
        </w:rPr>
        <w:t>i</w:t>
      </w:r>
      <w:r>
        <w:rPr>
          <w:rFonts w:ascii="Times New Roman" w:hAnsi="Times New Roman"/>
          <w:b w:val="0"/>
          <w:i/>
          <w:sz w:val="20"/>
          <w:u w:val="none"/>
        </w:rPr>
        <w:t xml:space="preserve"> / Σ w</w:t>
      </w:r>
      <w:r>
        <w:rPr>
          <w:rFonts w:ascii="Times New Roman" w:hAnsi="Times New Roman"/>
          <w:b w:val="0"/>
          <w:i/>
          <w:sz w:val="20"/>
          <w:u w:val="none"/>
          <w:vertAlign w:val="subscript"/>
        </w:rPr>
        <w:t>i</w:t>
      </w:r>
      <w:r>
        <w:rPr>
          <w:rFonts w:ascii="Times New Roman" w:hAnsi="Times New Roman"/>
          <w:b w:val="0"/>
          <w:i/>
          <w:sz w:val="20"/>
          <w:u w:val="none"/>
        </w:rPr>
        <w:t xml:space="preserve"> )</w:t>
      </w:r>
      <w:r>
        <w:tab/>
      </w:r>
      <w:r>
        <w:rPr>
          <w:rFonts w:ascii="Times New Roman" w:hAnsi="Times New Roman"/>
          <w:b w:val="0"/>
          <w:i w:val="0"/>
          <w:sz w:val="20"/>
          <w:u w:val="none"/>
        </w:rPr>
        <w:t>(1)</w:t>
      </w:r>
    </w:p>
    <w:p>
      <w:pPr>
        <w:spacing w:before="0" w:after="64"/>
        <w:ind w:left="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Dominated by its smallest term, </w:t>
      </w:r>
      <w:r>
        <w:rPr>
          <w:rFonts w:ascii="Times New Roman" w:hAnsi="Times New Roman"/>
          <w:b w:val="0"/>
          <w:i/>
          <w:sz w:val="20"/>
          <w:u w:val="none"/>
        </w:rPr>
        <w:t>Q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cannot let one collapsed property hide inside an average; three image-reading terms (lumen contrast, centring, boundary sharpness) carry the top weight, and weights are tiered by rule, not fitted. As these are static examinations, the change in </w:t>
      </w:r>
      <w:r>
        <w:rPr>
          <w:rFonts w:ascii="Times New Roman" w:hAnsi="Times New Roman"/>
          <w:b w:val="0"/>
          <w:i/>
          <w:sz w:val="20"/>
          <w:u w:val="none"/>
        </w:rPr>
        <w:t>Q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between adjacent frames estimates its own frame-to-frame jitter; the attained range divided by that jitter counts the states </w:t>
      </w:r>
      <w:r>
        <w:rPr>
          <w:rFonts w:ascii="Times New Roman" w:hAnsi="Times New Roman"/>
          <w:b w:val="0"/>
          <w:i/>
          <w:sz w:val="20"/>
          <w:u w:val="none"/>
        </w:rPr>
        <w:t>Q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can distinguish — the ceiling on the number of reliable action states.</w:t>
      </w:r>
    </w:p>
    <w:p>
      <w:pPr>
        <w:keepNext/>
        <w:spacing w:before="114" w:after="0"/>
        <w:ind w:left="0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2. Action Token and Safety Boundaries</w:t>
      </w:r>
    </w:p>
    <w:p>
      <w:pPr>
        <w:spacing w:before="0" w:after="64"/>
        <w:ind w:left="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The token acts on the lateral, image-preserving axis </w:t>
      </w:r>
      <w:r>
        <w:rPr>
          <w:rFonts w:ascii="Times New Roman" w:hAnsi="Times New Roman"/>
          <w:b w:val="0"/>
          <w:i/>
          <w:sz w:val="20"/>
          <w:u w:val="none"/>
        </w:rPr>
        <w:t>v</w:t>
      </w:r>
      <w:r>
        <w:rPr>
          <w:rFonts w:ascii="Times New Roman" w:hAnsi="Times New Roman"/>
          <w:b w:val="0"/>
          <w:i w:val="0"/>
          <w:sz w:val="20"/>
          <w:u w:val="none"/>
          <w:vertAlign w:val="subscript"/>
        </w:rPr>
        <w:t>x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, the only plane-preserving axis presenting a measurable image-domain displacement. At frame </w:t>
      </w:r>
      <w:r>
        <w:rPr>
          <w:rFonts w:ascii="Times New Roman" w:hAnsi="Times New Roman"/>
          <w:b w:val="0"/>
          <w:i/>
          <w:sz w:val="20"/>
          <w:u w:val="none"/>
        </w:rPr>
        <w:t>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the framework emits a structured action token</w:t>
      </w:r>
    </w:p>
    <w:p>
      <w:pPr>
        <w:tabs>
          <w:tab w:pos="4337" w:val="right"/>
        </w:tabs>
        <w:spacing w:before="80" w:after="80"/>
        <w:jc w:val="left"/>
      </w:pPr>
      <w:r>
        <w:rPr>
          <w:rFonts w:ascii="Times New Roman" w:hAnsi="Times New Roman"/>
          <w:b w:val="0"/>
          <w:i/>
          <w:sz w:val="20"/>
          <w:u w:val="none"/>
        </w:rPr>
        <w:t>τ</w:t>
      </w:r>
      <w:r>
        <w:rPr>
          <w:rFonts w:ascii="Times New Roman" w:hAnsi="Times New Roman"/>
          <w:b w:val="0"/>
          <w:i/>
          <w:sz w:val="20"/>
          <w:u w:val="none"/>
          <w:vertAlign w:val="subscript"/>
        </w:rPr>
        <w:t>t</w:t>
      </w:r>
      <w:r>
        <w:rPr>
          <w:rFonts w:ascii="Times New Roman" w:hAnsi="Times New Roman"/>
          <w:b w:val="0"/>
          <w:i/>
          <w:sz w:val="20"/>
          <w:u w:val="none"/>
        </w:rPr>
        <w:t xml:space="preserve"> = ( a</w:t>
      </w:r>
      <w:r>
        <w:rPr>
          <w:rFonts w:ascii="Times New Roman" w:hAnsi="Times New Roman"/>
          <w:b w:val="0"/>
          <w:i/>
          <w:sz w:val="20"/>
          <w:u w:val="none"/>
          <w:vertAlign w:val="subscript"/>
        </w:rPr>
        <w:t>t</w:t>
      </w:r>
      <w:r>
        <w:rPr>
          <w:rFonts w:ascii="Times New Roman" w:hAnsi="Times New Roman"/>
          <w:b w:val="0"/>
          <w:i/>
          <w:sz w:val="20"/>
          <w:u w:val="none"/>
        </w:rPr>
        <w:t>, ê</w:t>
      </w:r>
      <w:r>
        <w:rPr>
          <w:rFonts w:ascii="Times New Roman" w:hAnsi="Times New Roman"/>
          <w:b w:val="0"/>
          <w:i/>
          <w:sz w:val="20"/>
          <w:u w:val="none"/>
          <w:vertAlign w:val="subscript"/>
        </w:rPr>
        <w:t>t</w:t>
      </w:r>
      <w:r>
        <w:rPr>
          <w:rFonts w:ascii="Times New Roman" w:hAnsi="Times New Roman"/>
          <w:b w:val="0"/>
          <w:i/>
          <w:sz w:val="20"/>
          <w:u w:val="none"/>
        </w:rPr>
        <w:t>, Q</w:t>
      </w:r>
      <w:r>
        <w:rPr>
          <w:rFonts w:ascii="Times New Roman" w:hAnsi="Times New Roman"/>
          <w:b w:val="0"/>
          <w:i/>
          <w:sz w:val="20"/>
          <w:u w:val="none"/>
          <w:vertAlign w:val="subscript"/>
        </w:rPr>
        <w:t>t</w:t>
      </w:r>
      <w:r>
        <w:rPr>
          <w:rFonts w:ascii="Times New Roman" w:hAnsi="Times New Roman"/>
          <w:b w:val="0"/>
          <w:i/>
          <w:sz w:val="20"/>
          <w:u w:val="none"/>
        </w:rPr>
        <w:t xml:space="preserve"> )</w:t>
      </w:r>
      <w:r>
        <w:tab/>
      </w:r>
      <w:r>
        <w:rPr>
          <w:rFonts w:ascii="Times New Roman" w:hAnsi="Times New Roman"/>
          <w:b w:val="0"/>
          <w:i w:val="0"/>
          <w:sz w:val="20"/>
          <w:u w:val="none"/>
        </w:rPr>
        <w:t>(2)</w:t>
      </w:r>
    </w:p>
    <w:p>
      <w:pPr>
        <w:spacing w:before="0" w:after="64"/>
        <w:ind w:left="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where </w:t>
      </w:r>
      <w:r>
        <w:rPr>
          <w:rFonts w:ascii="Times New Roman" w:hAnsi="Times New Roman"/>
          <w:b w:val="0"/>
          <w:i/>
          <w:sz w:val="20"/>
          <w:u w:val="none"/>
        </w:rPr>
        <w:t>a</w:t>
      </w:r>
      <w:r>
        <w:rPr>
          <w:rFonts w:ascii="Times New Roman" w:hAnsi="Times New Roman"/>
          <w:b w:val="0"/>
          <w:i w:val="0"/>
          <w:sz w:val="20"/>
          <w:u w:val="none"/>
          <w:vertAlign w:val="subscript"/>
        </w:rPr>
        <w:t>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∈ {move-left, move-right, hold, check-filling} is the discrete action state, </w:t>
      </w:r>
      <w:r>
        <w:rPr>
          <w:rFonts w:ascii="Times New Roman" w:hAnsi="Times New Roman"/>
          <w:b w:val="0"/>
          <w:i/>
          <w:sz w:val="20"/>
          <w:u w:val="none"/>
        </w:rPr>
        <w:t>ê</w:t>
      </w:r>
      <w:r>
        <w:rPr>
          <w:rFonts w:ascii="Times New Roman" w:hAnsi="Times New Roman"/>
          <w:b w:val="0"/>
          <w:i w:val="0"/>
          <w:sz w:val="20"/>
          <w:u w:val="none"/>
          <w:vertAlign w:val="subscript"/>
        </w:rPr>
        <w:t>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= </w:t>
      </w:r>
      <w:r>
        <w:rPr>
          <w:rFonts w:ascii="Times New Roman" w:hAnsi="Times New Roman"/>
          <w:b w:val="0"/>
          <w:i/>
          <w:sz w:val="20"/>
          <w:u w:val="none"/>
        </w:rPr>
        <w:t>A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− </w:t>
      </w:r>
      <w:r>
        <w:rPr>
          <w:rFonts w:ascii="Times New Roman" w:hAnsi="Times New Roman"/>
          <w:b w:val="0"/>
          <w:i/>
          <w:sz w:val="20"/>
          <w:u w:val="none"/>
        </w:rPr>
        <w:t>ĉ</w:t>
      </w:r>
      <w:r>
        <w:rPr>
          <w:rFonts w:ascii="Times New Roman" w:hAnsi="Times New Roman"/>
          <w:b w:val="0"/>
          <w:i w:val="0"/>
          <w:sz w:val="20"/>
          <w:u w:val="none"/>
          <w:vertAlign w:val="subscript"/>
        </w:rPr>
        <w:t>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is the continuous lateral displacement (beam axis </w:t>
      </w:r>
      <w:r>
        <w:rPr>
          <w:rFonts w:ascii="Times New Roman" w:hAnsi="Times New Roman"/>
          <w:b w:val="0"/>
          <w:i/>
          <w:sz w:val="20"/>
          <w:u w:val="none"/>
        </w:rPr>
        <w:t>A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minus predicted lumen-centroid abscissa </w:t>
      </w:r>
      <w:r>
        <w:rPr>
          <w:rFonts w:ascii="Times New Roman" w:hAnsi="Times New Roman"/>
          <w:b w:val="0"/>
          <w:i/>
          <w:sz w:val="20"/>
          <w:u w:val="none"/>
        </w:rPr>
        <w:t>ĉ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), and </w:t>
      </w:r>
      <w:r>
        <w:rPr>
          <w:rFonts w:ascii="Times New Roman" w:hAnsi="Times New Roman"/>
          <w:b w:val="0"/>
          <w:i/>
          <w:sz w:val="20"/>
          <w:u w:val="none"/>
        </w:rPr>
        <w:t>Q</w:t>
      </w:r>
      <w:r>
        <w:rPr>
          <w:rFonts w:ascii="Times New Roman" w:hAnsi="Times New Roman"/>
          <w:b w:val="0"/>
          <w:i w:val="0"/>
          <w:sz w:val="20"/>
          <w:u w:val="none"/>
          <w:vertAlign w:val="subscript"/>
        </w:rPr>
        <w:t>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is the score of Equation (1). A fixed and auditable rule can decode the token for downstream use: the state selects an action mode, </w:t>
      </w:r>
      <w:r>
        <w:rPr>
          <w:rFonts w:ascii="Times New Roman" w:hAnsi="Times New Roman"/>
          <w:b w:val="0"/>
          <w:i/>
          <w:sz w:val="20"/>
          <w:u w:val="none"/>
        </w:rPr>
        <w:t>ê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supplies the continuous lateral scaling variable, and </w:t>
      </w:r>
      <w:r>
        <w:rPr>
          <w:rFonts w:ascii="Times New Roman" w:hAnsi="Times New Roman"/>
          <w:b w:val="0"/>
          <w:i/>
          <w:sz w:val="20"/>
          <w:u w:val="none"/>
        </w:rPr>
        <w:t>Q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is available for conservative confidence-aware scaling, with no learned policy between the token and its downstream interpretation. A robotic lateral-velocity command is one potential future implementation of this decoding rule, but no hardware integration or closed-loop execution is evaluated in this study. Two derived, untuned boundaries fix the states (Table 1). The </w:t>
      </w:r>
      <w:r>
        <w:rPr>
          <w:rFonts w:ascii="Times New Roman" w:hAnsi="Times New Roman"/>
          <w:b/>
          <w:i w:val="0"/>
          <w:sz w:val="20"/>
          <w:u w:val="none"/>
        </w:rPr>
        <w:t>physical gate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is exact: a urine-filled lumen is anechoic [8], so a non-positive lumen-to-surround contrast cannot be a filled bladder, and lateral motion cannot remedy insufficient filling. The </w:t>
      </w:r>
      <w:r>
        <w:rPr>
          <w:rFonts w:ascii="Times New Roman" w:hAnsi="Times New Roman"/>
          <w:b/>
          <w:i w:val="0"/>
          <w:sz w:val="20"/>
          <w:u w:val="none"/>
        </w:rPr>
        <w:t>uncertainty deadband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follows from the centroid error δ = </w:t>
      </w:r>
      <w:r>
        <w:rPr>
          <w:rFonts w:ascii="Times New Roman" w:hAnsi="Times New Roman"/>
          <w:b w:val="0"/>
          <w:i/>
          <w:sz w:val="20"/>
          <w:u w:val="none"/>
        </w:rPr>
        <w:t>ê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− </w:t>
      </w:r>
      <w:r>
        <w:rPr>
          <w:rFonts w:ascii="Times New Roman" w:hAnsi="Times New Roman"/>
          <w:b w:val="0"/>
          <w:i/>
          <w:sz w:val="20"/>
          <w:u w:val="none"/>
        </w:rPr>
        <w:t>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(σ = 4.92 px, bias +0.11 px): the estimated direction is wrong when δ opposes and exceeds </w:t>
      </w:r>
      <w:r>
        <w:rPr>
          <w:rFonts w:ascii="Times New Roman" w:hAnsi="Times New Roman"/>
          <w:b w:val="0"/>
          <w:i/>
          <w:sz w:val="20"/>
          <w:u w:val="none"/>
        </w:rPr>
        <w:t>e</w:t>
      </w:r>
      <w:r>
        <w:rPr>
          <w:rFonts w:ascii="Times New Roman" w:hAnsi="Times New Roman"/>
          <w:b w:val="0"/>
          <w:i w:val="0"/>
          <w:sz w:val="20"/>
          <w:u w:val="none"/>
        </w:rPr>
        <w:t>, a Gaussian-tail probability Φ(−|</w:t>
      </w:r>
      <w:r>
        <w:rPr>
          <w:rFonts w:ascii="Times New Roman" w:hAnsi="Times New Roman"/>
          <w:b w:val="0"/>
          <w:i/>
          <w:sz w:val="20"/>
          <w:u w:val="none"/>
        </w:rPr>
        <w:t>e</w:t>
      </w:r>
      <w:r>
        <w:rPr>
          <w:rFonts w:ascii="Times New Roman" w:hAnsi="Times New Roman"/>
          <w:b w:val="0"/>
          <w:i w:val="0"/>
          <w:sz w:val="20"/>
          <w:u w:val="none"/>
        </w:rPr>
        <w:t>|/σ); requiring the modelled error below 5% withholds motion under 1.64σ = 8.1 px.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sz w:val="15"/>
          <w:u w:val="none"/>
        </w:rPr>
        <w:t>Table 1.</w:t>
      </w:r>
      <w:r>
        <w:rPr>
          <w:rFonts w:ascii="Times New Roman" w:hAnsi="Times New Roman"/>
          <w:b w:val="0"/>
          <w:i w:val="0"/>
          <w:sz w:val="15"/>
          <w:u w:val="none"/>
        </w:rPr>
        <w:t xml:space="preserve"> Action-token specification: trigger, safety rationale, and deterministic control interpretation for each state (both boundaries derived, not tuned).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4309" w:type="dxa"/>
      </w:tblPr>
      <w:tblGrid>
        <w:gridCol w:w="936"/>
        <w:gridCol w:w="1030"/>
        <w:gridCol w:w="1170"/>
        <w:gridCol w:w="1170"/>
      </w:tblGrid>
      <w:tr>
        <w:trPr>
          <w:cantSplit/>
        </w:trPr>
        <w:tc>
          <w:tcPr>
            <w:tcW w:type="dxa" w:w="937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Action state</w:t>
            </w:r>
          </w:p>
        </w:tc>
        <w:tc>
          <w:tcPr>
            <w:tcW w:type="dxa" w:w="1030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Trigger</w:t>
            </w:r>
          </w:p>
        </w:tc>
        <w:tc>
          <w:tcPr>
            <w:tcW w:type="dxa" w:w="1171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Safety rationale</w:t>
            </w:r>
          </w:p>
        </w:tc>
        <w:tc>
          <w:tcPr>
            <w:tcW w:type="dxa" w:w="1171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Control interpretation</w:t>
            </w:r>
          </w:p>
        </w:tc>
      </w:tr>
      <w:tr>
        <w:trPr>
          <w:cantSplit/>
        </w:trPr>
        <w:tc>
          <w:tcPr>
            <w:tcW w:type="dxa" w:w="937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/>
                <w:sz w:val="15"/>
                <w:u w:val="none"/>
              </w:rPr>
              <w:t>check-filling</w:t>
            </w:r>
          </w:p>
        </w:tc>
        <w:tc>
          <w:tcPr>
            <w:tcW w:type="dxa" w:w="1030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contrast ≤ 0</w:t>
            </w:r>
          </w:p>
        </w:tc>
        <w:tc>
          <w:tcPr>
            <w:tcW w:type="dxa" w:w="1171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image failure, not a pose error</w:t>
            </w:r>
          </w:p>
        </w:tc>
        <w:tc>
          <w:tcPr>
            <w:tcW w:type="dxa" w:w="1171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gate: no lateral motion</w:t>
            </w:r>
          </w:p>
        </w:tc>
      </w:tr>
      <w:tr>
        <w:trPr>
          <w:cantSplit/>
        </w:trPr>
        <w:tc>
          <w:tcPr>
            <w:tcW w:type="dxa" w:w="937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/>
                <w:sz w:val="15"/>
                <w:u w:val="none"/>
              </w:rPr>
              <w:t>move-left</w:t>
            </w: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 / </w:t>
            </w:r>
            <w:r>
              <w:rPr>
                <w:rFonts w:ascii="Times New Roman" w:hAnsi="Times New Roman"/>
                <w:b w:val="0"/>
                <w:i/>
                <w:sz w:val="15"/>
                <w:u w:val="none"/>
              </w:rPr>
              <w:t>move-right</w:t>
            </w:r>
          </w:p>
        </w:tc>
        <w:tc>
          <w:tcPr>
            <w:tcW w:type="dxa" w:w="1030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contrast &gt; 0, |</w:t>
            </w:r>
            <w:r>
              <w:rPr>
                <w:rFonts w:ascii="Times New Roman" w:hAnsi="Times New Roman"/>
                <w:b w:val="0"/>
                <w:i/>
                <w:sz w:val="15"/>
                <w:u w:val="none"/>
              </w:rPr>
              <w:t>ê</w:t>
            </w: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| ≥ 8.1 px</w:t>
            </w:r>
          </w:p>
        </w:tc>
        <w:tc>
          <w:tcPr>
            <w:tcW w:type="dxa" w:w="1171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direction reliable above noise</w:t>
            </w:r>
          </w:p>
        </w:tc>
        <w:tc>
          <w:tcPr>
            <w:tcW w:type="dxa" w:w="1171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/>
                <w:sz w:val="15"/>
                <w:u w:val="none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15"/>
                <w:u w:val="none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 ∝ </w:t>
            </w:r>
            <w:r>
              <w:rPr>
                <w:rFonts w:ascii="Times New Roman" w:hAnsi="Times New Roman"/>
                <w:b w:val="0"/>
                <w:i/>
                <w:sz w:val="15"/>
                <w:u w:val="none"/>
              </w:rPr>
              <w:t>ê</w:t>
            </w: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, other axes zero</w:t>
            </w:r>
          </w:p>
        </w:tc>
      </w:tr>
      <w:tr>
        <w:trPr>
          <w:cantSplit/>
        </w:trPr>
        <w:tc>
          <w:tcPr>
            <w:tcW w:type="dxa" w:w="937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</w:pPr>
            <w:r>
              <w:rPr>
                <w:rFonts w:ascii="Times New Roman" w:hAnsi="Times New Roman"/>
                <w:b w:val="0"/>
                <w:i/>
                <w:sz w:val="15"/>
                <w:u w:val="none"/>
              </w:rPr>
              <w:t>hold</w:t>
            </w:r>
          </w:p>
        </w:tc>
        <w:tc>
          <w:tcPr>
            <w:tcW w:type="dxa" w:w="1030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contrast &gt; 0, |</w:t>
            </w:r>
            <w:r>
              <w:rPr>
                <w:rFonts w:ascii="Times New Roman" w:hAnsi="Times New Roman"/>
                <w:b w:val="0"/>
                <w:i/>
                <w:sz w:val="15"/>
                <w:u w:val="none"/>
              </w:rPr>
              <w:t>ê</w:t>
            </w: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| &lt; 8.1 px</w:t>
            </w:r>
          </w:p>
        </w:tc>
        <w:tc>
          <w:tcPr>
            <w:tcW w:type="dxa" w:w="1171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direction within noise</w:t>
            </w:r>
          </w:p>
        </w:tc>
        <w:tc>
          <w:tcPr>
            <w:tcW w:type="dxa" w:w="1171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deadband: zero lateral twist</w:t>
            </w:r>
          </w:p>
        </w:tc>
      </w:tr>
    </w:tbl>
    <w:p>
      <w:pPr>
        <w:spacing w:after="60"/>
      </w:pPr>
    </w:p>
    <w:p>
      <w:pPr>
        <w:keepNext/>
        <w:spacing w:before="114" w:after="0"/>
        <w:ind w:left="0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3. Validation by Lateral Translation</w:t>
      </w:r>
    </w:p>
    <w:p>
      <w:pPr>
        <w:spacing w:before="0" w:after="64"/>
        <w:ind w:left="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In every recorded frame the lumen lies on one side of the beam axis, so </w:t>
      </w:r>
      <w:r>
        <w:rPr>
          <w:rFonts w:ascii="Times New Roman" w:hAnsi="Times New Roman"/>
          <w:b w:val="0"/>
          <w:i/>
          <w:sz w:val="20"/>
          <w:u w:val="none"/>
        </w:rPr>
        <w:t>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never changes sign and a constant output would score 99.3%. We therefore translate each frame laterally — the one probe motion single-plane frames reproduce faithfully — to place </w:t>
      </w:r>
      <w:r>
        <w:rPr>
          <w:rFonts w:ascii="Times New Roman" w:hAnsi="Times New Roman"/>
          <w:b w:val="0"/>
          <w:i/>
          <w:sz w:val="20"/>
          <w:u w:val="none"/>
        </w:rPr>
        <w:t>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on prescribed targets, sampled densely near the axis crossing; fabricated margin is edge-replicated, never black. Segmentation is unaffected across the sweep (Dice 0.858), yielding 1,936 frames, 43% with </w:t>
      </w:r>
      <w:r>
        <w:rPr>
          <w:rFonts w:ascii="Times New Roman" w:hAnsi="Times New Roman"/>
          <w:b w:val="0"/>
          <w:i/>
          <w:sz w:val="20"/>
          <w:u w:val="none"/>
        </w:rPr>
        <w:t>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&lt; 0.</w:t>
      </w:r>
    </w:p>
    <w:p>
      <w:pPr>
        <w:keepNext/>
        <w:spacing w:before="170" w:after="0"/>
        <w:ind w:left="0"/>
        <w:jc w:val="center"/>
      </w:pPr>
      <w:r>
        <w:rPr>
          <w:rFonts w:ascii="Times New Roman" w:hAnsi="Times New Roman"/>
          <w:b/>
          <w:i w:val="0"/>
          <w:sz w:val="20"/>
          <w:u w:val="none"/>
        </w:rPr>
        <w:t>III. Results</w:t>
      </w:r>
    </w:p>
    <w:p>
      <w:pPr>
        <w:keepNext/>
        <w:spacing w:before="114" w:after="0"/>
        <w:ind w:left="0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1. Segmentation and Quality Discrimination</w:t>
      </w:r>
    </w:p>
    <w:p>
      <w:pPr>
        <w:spacing w:before="0" w:after="64"/>
        <w:ind w:left="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Segmentation improves with bladder filling; in the working domain (annotated lumen ≥ 5.7% of the sector, the state morcellation irrigation is meant to maintain) Dice reaches 0.882 (val) and 0.892 (test), and the lateral centroid error the token's displacement rests on has a median of 3.85 and 3.65 px (Table 2). Below that domain segmentation degrades — exactly the population the </w:t>
      </w:r>
      <w:r>
        <w:rPr>
          <w:rFonts w:ascii="Times New Roman" w:hAnsi="Times New Roman"/>
          <w:b w:val="0"/>
          <w:i/>
          <w:sz w:val="20"/>
          <w:u w:val="none"/>
        </w:rPr>
        <w:t>check-filling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state gates.</w:t>
      </w:r>
    </w:p>
    <w:p>
      <w:pPr>
        <w:spacing w:before="0" w:after="64"/>
        <w:ind w:left="0"/>
        <w:jc w:val="both"/>
      </w:pPr>
      <w:r>
        <w:rPr>
          <w:rFonts w:ascii="Times New Roman" w:hAnsi="Times New Roman"/>
          <w:b w:val="0"/>
          <w:i/>
          <w:sz w:val="20"/>
          <w:u w:val="none"/>
        </w:rPr>
        <w:t>Q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is defined on [0, 1] but attains only [0.14, 0.78] (width 0.64, central 80% 0.45); against a frame-to-frame jitter of 0.0095 this separates 67 states over the full range and </w:t>
      </w:r>
      <w:r>
        <w:rPr>
          <w:rFonts w:ascii="Times New Roman" w:hAnsi="Times New Roman"/>
          <w:b/>
          <w:i w:val="0"/>
          <w:sz w:val="20"/>
          <w:u w:val="none"/>
        </w:rPr>
        <w:t>47 within the central 80%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— the ceiling on the number of reliable action states (Figure 2). Two image-reading terms carry 92.4% of the range, confirming that the discriminating information is image-derived rather than mask-derived.</w:t>
      </w:r>
    </w:p>
    <w:p>
      <w:pPr>
        <w:sectPr>
          <w:type w:val="continuous"/>
          <w:pgSz w:w="11906" w:h="16838"/>
          <w:pgMar w:top="567" w:right="1417" w:bottom="567" w:left="1417" w:header="567" w:footer="567" w:gutter="0"/>
          <w:cols w:space="396" w:num="2"/>
          <w:docGrid w:linePitch="360"/>
        </w:sectPr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36000" cy="14821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an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1482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sz w:val="15"/>
          <w:u w:val="none"/>
        </w:rPr>
        <w:t>Figure 2.</w:t>
      </w:r>
      <w:r>
        <w:rPr>
          <w:rFonts w:ascii="Times New Roman" w:hAnsi="Times New Roman"/>
          <w:b w:val="0"/>
          <w:i w:val="0"/>
          <w:sz w:val="15"/>
          <w:u w:val="none"/>
        </w:rPr>
        <w:t xml:space="preserve"> Quality-function discrimination: (a) the interval </w:t>
      </w:r>
      <w:r>
        <w:rPr>
          <w:rFonts w:ascii="Times New Roman" w:hAnsi="Times New Roman"/>
          <w:b w:val="0"/>
          <w:i/>
          <w:sz w:val="15"/>
          <w:u w:val="none"/>
        </w:rPr>
        <w:t>Q</w:t>
      </w:r>
      <w:r>
        <w:rPr>
          <w:rFonts w:ascii="Times New Roman" w:hAnsi="Times New Roman"/>
          <w:b w:val="0"/>
          <w:i w:val="0"/>
          <w:sz w:val="15"/>
          <w:u w:val="none"/>
        </w:rPr>
        <w:t xml:space="preserve"> attains within its nominal [0, 1] domain, with the central-80% operating band; (b) each active sub-score's attained interval and share of the range.</w:t>
      </w:r>
    </w:p>
    <w:p>
      <w:pPr>
        <w:sectPr>
          <w:type w:val="continuous"/>
          <w:pgSz w:w="11906" w:h="16838"/>
          <w:pgMar w:top="567" w:right="1417" w:bottom="567" w:left="1417" w:header="567" w:footer="567" w:gutter="0"/>
          <w:cols w:space="396" w:num="1"/>
          <w:docGrid w:linePitch="360"/>
        </w:sectPr>
      </w:pPr>
    </w:p>
    <w:p>
      <w:pPr>
        <w:keepNext/>
        <w:spacing w:before="114" w:after="0"/>
        <w:ind w:left="0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2. Action-Token Validation</w:t>
      </w:r>
    </w:p>
    <w:p>
      <w:pPr>
        <w:spacing w:before="0" w:after="64"/>
        <w:ind w:left="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On the 1,936-frame sweep the discrete action state is classified correctly on 85.2% of frames with a 0.10% direction error, and the continuous displacement is estimated at slope 0.993, </w:t>
      </w:r>
      <w:r>
        <w:rPr>
          <w:rFonts w:ascii="Times New Roman" w:hAnsi="Times New Roman"/>
          <w:b w:val="0"/>
          <w:i/>
          <w:sz w:val="20"/>
          <w:u w:val="none"/>
        </w:rPr>
        <w:t>r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= 0.970, median error 3.15 px (Table 2, Figure 3). Wrong directions occur only near the axis — median required displacement 7.9 px against 15.8 px for correct ones — and their rate follows the Gaussian tail Φ(−|</w:t>
      </w:r>
      <w:r>
        <w:rPr>
          <w:rFonts w:ascii="Times New Roman" w:hAnsi="Times New Roman"/>
          <w:b w:val="0"/>
          <w:i/>
          <w:sz w:val="20"/>
          <w:u w:val="none"/>
        </w:rPr>
        <w:t>e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|/σ), which is what licenses deriving the 8.1 px </w:t>
      </w:r>
      <w:r>
        <w:rPr>
          <w:rFonts w:ascii="Times New Roman" w:hAnsi="Times New Roman"/>
          <w:b w:val="0"/>
          <w:i/>
          <w:sz w:val="20"/>
          <w:u w:val="none"/>
        </w:rPr>
        <w:t>hold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deadband from the model rather than reading it off the data (Figure 3).</w:t>
      </w:r>
    </w:p>
    <w:p>
      <w:pPr>
        <w:spacing w:before="0" w:after="64"/>
        <w:ind w:left="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>Direction is thus robustly discretisable, whereas quantising the magnitude into graded action classes narrower than 2σ ≈ 9.8 px lowers classification accuracy to 76.5% (five states) and 70.7% (seven states) at unchanged direction error; the displacement is therefore kept as a continuous control variable rather than a class.</w:t>
      </w:r>
    </w:p>
    <w:p>
      <w:pPr>
        <w:sectPr>
          <w:type w:val="continuous"/>
          <w:pgSz w:w="11906" w:h="16838"/>
          <w:pgMar w:top="567" w:right="1417" w:bottom="567" w:left="1417" w:header="567" w:footer="567" w:gutter="0"/>
          <w:cols w:space="396" w:num="2"/>
          <w:docGrid w:linePitch="360"/>
        </w:sectPr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46357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alid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635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sz w:val="15"/>
          <w:u w:val="none"/>
        </w:rPr>
        <w:t>Figure 3.</w:t>
      </w:r>
      <w:r>
        <w:rPr>
          <w:rFonts w:ascii="Times New Roman" w:hAnsi="Times New Roman"/>
          <w:b w:val="0"/>
          <w:i w:val="0"/>
          <w:sz w:val="15"/>
          <w:u w:val="none"/>
        </w:rPr>
        <w:t xml:space="preserve"> Action-token validation: (a) estimated versus ground-truth lateral displacement per held-out set (shaded quadrants are wrong-direction outcomes); (b) wrong-direction rate versus required displacement against the Gaussian-tail model Φ(−|</w:t>
      </w:r>
      <w:r>
        <w:rPr>
          <w:rFonts w:ascii="Times New Roman" w:hAnsi="Times New Roman"/>
          <w:b w:val="0"/>
          <w:i/>
          <w:sz w:val="15"/>
          <w:u w:val="none"/>
        </w:rPr>
        <w:t>e</w:t>
      </w:r>
      <w:r>
        <w:rPr>
          <w:rFonts w:ascii="Times New Roman" w:hAnsi="Times New Roman"/>
          <w:b w:val="0"/>
          <w:i w:val="0"/>
          <w:sz w:val="15"/>
          <w:u w:val="none"/>
        </w:rPr>
        <w:t>|/σ), with the modelled 5% and 1% boundaries marked.</w:t>
      </w:r>
    </w:p>
    <w:p>
      <w:pPr>
        <w:sectPr>
          <w:type w:val="continuous"/>
          <w:pgSz w:w="11906" w:h="16838"/>
          <w:pgMar w:top="567" w:right="1417" w:bottom="567" w:left="1417" w:header="567" w:footer="567" w:gutter="0"/>
          <w:cols w:space="396" w:num="1"/>
          <w:docGrid w:linePitch="360"/>
        </w:sectPr>
      </w:pP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sz w:val="15"/>
          <w:u w:val="none"/>
        </w:rPr>
        <w:t>Table 2.</w:t>
      </w:r>
      <w:r>
        <w:rPr>
          <w:rFonts w:ascii="Times New Roman" w:hAnsi="Times New Roman"/>
          <w:b w:val="0"/>
          <w:i w:val="0"/>
          <w:sz w:val="15"/>
          <w:u w:val="none"/>
        </w:rPr>
        <w:t xml:space="preserve"> Main quantitative results: segmentation and action-token performance on the held-out and laterally translated frames.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4309" w:type="dxa"/>
      </w:tblPr>
      <w:tblGrid>
        <w:gridCol w:w="2872"/>
        <w:gridCol w:w="1436"/>
      </w:tblGrid>
      <w:tr>
        <w:trPr>
          <w:cantSplit/>
        </w:trPr>
        <w:tc>
          <w:tcPr>
            <w:tcW w:type="dxa" w:w="2872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Metric</w:t>
            </w:r>
          </w:p>
        </w:tc>
        <w:tc>
          <w:tcPr>
            <w:tcW w:type="dxa" w:w="1436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/>
                <w:i w:val="0"/>
                <w:sz w:val="15"/>
                <w:u w:val="none"/>
              </w:rPr>
              <w:t>Value</w:t>
            </w:r>
          </w:p>
        </w:tc>
      </w:tr>
      <w:tr>
        <w:trPr>
          <w:cantSplit/>
        </w:trPr>
        <w:tc>
          <w:tcPr>
            <w:tcW w:type="dxa" w:w="2872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Segmentation Dice, all frames (val / test)</w:t>
            </w:r>
          </w:p>
        </w:tc>
        <w:tc>
          <w:tcPr>
            <w:tcW w:type="dxa" w:w="1436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0.825 / 0.807</w:t>
            </w:r>
          </w:p>
        </w:tc>
      </w:tr>
      <w:tr>
        <w:trPr>
          <w:cantSplit/>
        </w:trPr>
        <w:tc>
          <w:tcPr>
            <w:tcW w:type="dxa" w:w="2872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Segmentation Dice, working domain (val / test)</w:t>
            </w:r>
          </w:p>
        </w:tc>
        <w:tc>
          <w:tcPr>
            <w:tcW w:type="dxa" w:w="1436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0.882 / 0.892</w:t>
            </w:r>
          </w:p>
        </w:tc>
      </w:tr>
      <w:tr>
        <w:trPr>
          <w:cantSplit/>
        </w:trPr>
        <w:tc>
          <w:tcPr>
            <w:tcW w:type="dxa" w:w="2872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Lateral centroid error, working domain, median (val / test)</w:t>
            </w:r>
          </w:p>
        </w:tc>
        <w:tc>
          <w:tcPr>
            <w:tcW w:type="dxa" w:w="1436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3.85 / 3.65 px</w:t>
            </w:r>
          </w:p>
        </w:tc>
      </w:tr>
      <w:tr>
        <w:trPr>
          <w:cantSplit/>
        </w:trPr>
        <w:tc>
          <w:tcPr>
            <w:tcW w:type="dxa" w:w="2872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Attained </w:t>
            </w:r>
            <w:r>
              <w:rPr>
                <w:rFonts w:ascii="Times New Roman" w:hAnsi="Times New Roman"/>
                <w:b w:val="0"/>
                <w:i/>
                <w:sz w:val="15"/>
                <w:u w:val="none"/>
              </w:rPr>
              <w:t>Q</w:t>
            </w: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 xml:space="preserve"> range (width; central 80%)</w:t>
            </w:r>
          </w:p>
        </w:tc>
        <w:tc>
          <w:tcPr>
            <w:tcW w:type="dxa" w:w="1436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0.64; 0.45</w:t>
            </w:r>
          </w:p>
        </w:tc>
      </w:tr>
      <w:tr>
        <w:trPr>
          <w:cantSplit/>
        </w:trPr>
        <w:tc>
          <w:tcPr>
            <w:tcW w:type="dxa" w:w="2872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Distinguishable states (full; central 80%)</w:t>
            </w:r>
          </w:p>
        </w:tc>
        <w:tc>
          <w:tcPr>
            <w:tcW w:type="dxa" w:w="1436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67; 47</w:t>
            </w:r>
          </w:p>
        </w:tc>
      </w:tr>
      <w:tr>
        <w:trPr>
          <w:cantSplit/>
        </w:trPr>
        <w:tc>
          <w:tcPr>
            <w:tcW w:type="dxa" w:w="2872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Action-state accuracy (3 states); direction error</w:t>
            </w:r>
          </w:p>
        </w:tc>
        <w:tc>
          <w:tcPr>
            <w:tcW w:type="dxa" w:w="1436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85.2%; 0.10%</w:t>
            </w:r>
          </w:p>
        </w:tc>
      </w:tr>
      <w:tr>
        <w:trPr>
          <w:cantSplit/>
        </w:trPr>
        <w:tc>
          <w:tcPr>
            <w:tcW w:type="dxa" w:w="2872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Displacement estimate (slope; median error)</w:t>
            </w:r>
          </w:p>
        </w:tc>
        <w:tc>
          <w:tcPr>
            <w:tcW w:type="dxa" w:w="1436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  <w:keepNext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0.993; 3.15 px</w:t>
            </w:r>
          </w:p>
        </w:tc>
      </w:tr>
      <w:tr>
        <w:trPr>
          <w:cantSplit/>
        </w:trPr>
        <w:tc>
          <w:tcPr>
            <w:tcW w:type="dxa" w:w="2872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Graded-magnitude accuracy (5; 7 states)</w:t>
            </w:r>
          </w:p>
        </w:tc>
        <w:tc>
          <w:tcPr>
            <w:tcW w:type="dxa" w:w="1436"/>
            <w:tcBorders>
              <w:top w:val="single" w:sz="4" w:color="808080"/>
              <w:bottom w:val="single" w:sz="4" w:color="808080"/>
              <w:left w:val="nil"/>
              <w:right w:val="nil"/>
            </w:tcBorders>
          </w:tcPr>
          <w:p>
            <w:pPr>
              <w:spacing w:after="10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76.5%; 70.7%</w:t>
            </w:r>
          </w:p>
        </w:tc>
      </w:tr>
    </w:tbl>
    <w:p>
      <w:pPr>
        <w:spacing w:after="60"/>
      </w:pPr>
    </w:p>
    <w:p>
      <w:pPr>
        <w:keepNext/>
        <w:spacing w:before="170" w:after="0"/>
        <w:ind w:left="0"/>
        <w:jc w:val="center"/>
      </w:pPr>
      <w:r>
        <w:rPr>
          <w:rFonts w:ascii="Times New Roman" w:hAnsi="Times New Roman"/>
          <w:b/>
          <w:i w:val="0"/>
          <w:sz w:val="20"/>
          <w:u w:val="none"/>
        </w:rPr>
        <w:t>IV. Discussion</w:t>
      </w:r>
    </w:p>
    <w:p>
      <w:pPr>
        <w:spacing w:before="0" w:after="64"/>
        <w:ind w:left="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>An image-quality function intended to support structured downstream action handling should be judged by its attained range relative to its noise, because that ratio — not correlation with a segmentation metric — sets the number of safely distinguishable action states. A score can rank frames respectably while supporting fewer distinctions than a controller needs, a failure invisible to any accuracy figure; range and range-over-noise are cheap to compute and we suggest reporting them for any score intended to support downstream action handling.</w:t>
      </w:r>
    </w:p>
    <w:p>
      <w:pPr>
        <w:spacing w:before="0" w:after="64"/>
        <w:ind w:left="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The contribution is deliberately not to automate a judgment a trained observer makes by inspection — </w:t>
      </w:r>
      <w:r>
        <w:rPr>
          <w:rFonts w:ascii="Times New Roman" w:hAnsi="Times New Roman"/>
          <w:b w:val="0"/>
          <w:i/>
          <w:sz w:val="20"/>
          <w:u w:val="none"/>
        </w:rPr>
        <w:t>move-left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, </w:t>
      </w:r>
      <w:r>
        <w:rPr>
          <w:rFonts w:ascii="Times New Roman" w:hAnsi="Times New Roman"/>
          <w:b w:val="0"/>
          <w:i/>
          <w:sz w:val="20"/>
          <w:u w:val="none"/>
        </w:rPr>
        <w:t>move-right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, </w:t>
      </w:r>
      <w:r>
        <w:rPr>
          <w:rFonts w:ascii="Times New Roman" w:hAnsi="Times New Roman"/>
          <w:b w:val="0"/>
          <w:i/>
          <w:sz w:val="20"/>
          <w:u w:val="none"/>
        </w:rPr>
        <w:t>hold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, and </w:t>
      </w:r>
      <w:r>
        <w:rPr>
          <w:rFonts w:ascii="Times New Roman" w:hAnsi="Times New Roman"/>
          <w:b w:val="0"/>
          <w:i/>
          <w:sz w:val="20"/>
          <w:u w:val="none"/>
        </w:rPr>
        <w:t>check-filling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are visually obvious on screen, and we claim no diagnostic insight or improvement to human performance. It is to turn image-derived information into a structured, explainable, safety-constrained representation that can be interpreted deterministically by a downstream system, each token traceable to explicit features, segmentation geometry, a physical constraint, and measured uncertainty. The two non-motion states are the safety core: </w:t>
      </w:r>
      <w:r>
        <w:rPr>
          <w:rFonts w:ascii="Times New Roman" w:hAnsi="Times New Roman"/>
          <w:b w:val="0"/>
          <w:i/>
          <w:sz w:val="20"/>
          <w:u w:val="none"/>
        </w:rPr>
        <w:t>hold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is an uncertainty-aware deadband that stops a controller from servoing its own segmentation noise near the axis, and </w:t>
      </w:r>
      <w:r>
        <w:rPr>
          <w:rFonts w:ascii="Times New Roman" w:hAnsi="Times New Roman"/>
          <w:b w:val="0"/>
          <w:i/>
          <w:sz w:val="20"/>
          <w:u w:val="none"/>
        </w:rPr>
        <w:t>check-filling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is a physics-based motion-inhibition gate marking that lateral repositioning is the wrong remedy — keeping an unreliable estimate, an upstream image failure, and a safety decision out of a black-box policy. The fixed decoding rule is an auditable integration specification for potential future systems, including robotic-control implementations, rather than a validated controller or hardware system.</w:t>
      </w:r>
    </w:p>
    <w:p>
      <w:pPr>
        <w:spacing w:before="0" w:after="64"/>
        <w:ind w:left="0"/>
        <w:jc w:val="both"/>
      </w:pPr>
      <w:r>
        <w:rPr>
          <w:rFonts w:ascii="Times New Roman" w:hAnsi="Times New Roman"/>
          <w:b/>
          <w:i w:val="0"/>
          <w:sz w:val="20"/>
          <w:u w:val="none"/>
        </w:rPr>
        <w:t>Limitations.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PFUS1 is transperineal pelvic-floor imaging, not intraoperative suprapubic HoLEP data; actual probe motion and closed-loop control were not validated, so the token-to-command mapping is a specification; and all target-domain constants — the segmentation uncertainty </w:t>
      </w:r>
      <w:r>
        <w:rPr>
          <w:rFonts w:ascii="Times New Roman" w:hAnsi="Times New Roman"/>
          <w:b w:val="0"/>
          <w:i/>
          <w:sz w:val="20"/>
          <w:u w:val="none"/>
        </w:rPr>
        <w:t>σ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and its derived boundaries — must be re-estimated before use in theatre.</w:t>
      </w:r>
    </w:p>
    <w:p>
      <w:pPr>
        <w:keepNext/>
        <w:spacing w:before="170" w:after="0"/>
        <w:ind w:left="0"/>
        <w:jc w:val="center"/>
      </w:pPr>
      <w:r>
        <w:rPr>
          <w:rFonts w:ascii="Times New Roman" w:hAnsi="Times New Roman"/>
          <w:b/>
          <w:i w:val="0"/>
          <w:sz w:val="20"/>
          <w:u w:val="none"/>
        </w:rPr>
        <w:t>V. Conclusion</w:t>
      </w:r>
    </w:p>
    <w:p>
      <w:pPr>
        <w:spacing w:before="0" w:after="64"/>
        <w:ind w:left="0"/>
        <w:jc w:val="both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An explainable, quality-aware action-token layer can bridge bladder ultrasound segmentation and structured downstream action handling. Its vocabulary is bounded by the measurable discrimination capacity of the image-quality function, and its </w:t>
      </w:r>
      <w:r>
        <w:rPr>
          <w:rFonts w:ascii="Times New Roman" w:hAnsi="Times New Roman"/>
          <w:b w:val="0"/>
          <w:i/>
          <w:sz w:val="20"/>
          <w:u w:val="none"/>
        </w:rPr>
        <w:t>hold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and </w:t>
      </w:r>
      <w:r>
        <w:rPr>
          <w:rFonts w:ascii="Times New Roman" w:hAnsi="Times New Roman"/>
          <w:b w:val="0"/>
          <w:i/>
          <w:sz w:val="20"/>
          <w:u w:val="none"/>
        </w:rPr>
        <w:t>check-filling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states supply explicit safety logic — an uncertainty-aware deadband and a physics-based gate — that a downstream system can interpret deterministically without a black-box policy. The study validates action-token generation and continuous displacement estimation on translated held-out frames; it does not validate closed-loop control or clinical deployment. Re-estimating the constants on intraoperative suprapubic HoLEP imaging and evaluating downstream integration remain future work.</w:t>
      </w:r>
    </w:p>
    <w:p>
      <w:pPr>
        <w:keepNext/>
        <w:spacing w:before="170" w:after="0"/>
        <w:ind w:left="0"/>
        <w:jc w:val="center"/>
      </w:pPr>
      <w:r>
        <w:rPr>
          <w:rFonts w:ascii="Times New Roman" w:hAnsi="Times New Roman"/>
          <w:b/>
          <w:i w:val="0"/>
          <w:sz w:val="20"/>
          <w:u w:val="none"/>
        </w:rPr>
        <w:t>References</w:t>
      </w:r>
    </w:p>
    <w:p>
      <w:pPr>
        <w:spacing w:before="0" w:after="40"/>
        <w:ind w:left="0"/>
        <w:jc w:val="both"/>
      </w:pPr>
      <w:r>
        <w:rPr>
          <w:rFonts w:ascii="Times New Roman" w:hAnsi="Times New Roman"/>
          <w:b w:val="0"/>
          <w:i w:val="0"/>
          <w:sz w:val="18"/>
          <w:u w:val="none"/>
        </w:rPr>
        <w:t>1. T. Jang, H.-J. Kong, C. Baek, J. Kim, M. S. Choo, S.-J. Oh. Effect of Self-Training Using Virtual Reality Head-Mounted Display Simulator on the Acquisition of Holmium Laser Enucleation of the Prostate Surgical Skills. International Neurourology Journal 2024;28(2):138–146.</w:t>
      </w:r>
    </w:p>
    <w:p>
      <w:pPr>
        <w:spacing w:before="0" w:after="40"/>
        <w:ind w:left="0"/>
        <w:jc w:val="both"/>
      </w:pPr>
      <w:r>
        <w:rPr>
          <w:rFonts w:ascii="Times New Roman" w:hAnsi="Times New Roman"/>
          <w:b w:val="0"/>
          <w:i w:val="0"/>
          <w:sz w:val="18"/>
          <w:u w:val="none"/>
        </w:rPr>
        <w:t>2. O. Ronneberger, P. Fischer, T. Brox. U-Net: Convolutional Networks for Biomedical Image Segmentation. In: Medical Image Computing and Computer-Assisted Intervention (MICCAI 2015), LNCS 9351, Springer, 2015, pp. 234–241.</w:t>
      </w:r>
    </w:p>
    <w:p>
      <w:pPr>
        <w:spacing w:before="0" w:after="40"/>
        <w:ind w:left="0"/>
        <w:jc w:val="both"/>
      </w:pPr>
      <w:r>
        <w:rPr>
          <w:rFonts w:ascii="Times New Roman" w:hAnsi="Times New Roman"/>
          <w:b w:val="0"/>
          <w:i w:val="0"/>
          <w:sz w:val="18"/>
          <w:u w:val="none"/>
        </w:rPr>
        <w:t>3. M. Saini, Y. Jiang, T. Gangopadhyay, D. P. Rosen, A. Alizad, M. Fatemi. BWS-Net: An Optimal Deep Learning Architecture for the Anterior Bladder Wall Segmentation using Ultrasound Imaging. IEEE Journal of Biomedical and Health Informatics 2026. doi:10.1109/JBHI.2026.3675965.</w:t>
      </w:r>
    </w:p>
    <w:p>
      <w:pPr>
        <w:spacing w:before="0" w:after="40"/>
        <w:ind w:left="0"/>
        <w:jc w:val="both"/>
      </w:pPr>
      <w:r>
        <w:rPr>
          <w:rFonts w:ascii="Times New Roman" w:hAnsi="Times New Roman"/>
          <w:b w:val="0"/>
          <w:i w:val="0"/>
          <w:sz w:val="18"/>
          <w:u w:val="none"/>
        </w:rPr>
        <w:t>4. Z. Song, M. Asiedu, S. Wang, Q. Li, A. Ozturk, V. Mittal, S. Schoen Jr., S. Ramaswamy, T. T. Pierce, A. E. Samir, Y. C. Eldar, A. Chandrakasan, V. Kumar. Memory-efficient low-compute segmentation algorithms for bladder-monitoring smart ultrasound devices. Scientific Reports 2023;13:16450.</w:t>
      </w:r>
    </w:p>
    <w:p>
      <w:pPr>
        <w:spacing w:before="0" w:after="40"/>
        <w:ind w:left="0"/>
        <w:jc w:val="both"/>
      </w:pPr>
      <w:r>
        <w:rPr>
          <w:rFonts w:ascii="Times New Roman" w:hAnsi="Times New Roman"/>
          <w:b w:val="0"/>
          <w:i w:val="0"/>
          <w:sz w:val="18"/>
          <w:u w:val="none"/>
        </w:rPr>
        <w:t>5. H.-L. Hsu, M. Zahiri, G. Y. Li, R. Al Mukaddim, H. Lee, M. G. Wilson, J. Grube, S. Schmidt, G. Ghoshal, B. Raju. Active guidance in ultrasound bladder scanning using reinforcement learning. Scientific Reports 2026;16:5273.</w:t>
      </w:r>
    </w:p>
    <w:p>
      <w:pPr>
        <w:spacing w:before="0" w:after="40"/>
        <w:ind w:left="0"/>
        <w:jc w:val="both"/>
      </w:pPr>
      <w:r>
        <w:rPr>
          <w:rFonts w:ascii="Times New Roman" w:hAnsi="Times New Roman"/>
          <w:b w:val="0"/>
          <w:i w:val="0"/>
          <w:sz w:val="18"/>
          <w:u w:val="none"/>
        </w:rPr>
        <w:t>6. D. Solís-Martín, J. A. Sainz, J. Galán-Páez, J. Borrego-Díaz, J. A. García-Mejido. PFUS1: Premier pelvic floor ultrasound segmentation dataset. A resource for advancing research. Data in Brief 2026;64:112346.</w:t>
      </w:r>
    </w:p>
    <w:p>
      <w:pPr>
        <w:spacing w:before="0" w:after="40"/>
        <w:ind w:left="0"/>
        <w:jc w:val="both"/>
      </w:pPr>
      <w:r>
        <w:rPr>
          <w:rFonts w:ascii="Times New Roman" w:hAnsi="Times New Roman"/>
          <w:b w:val="0"/>
          <w:i w:val="0"/>
          <w:sz w:val="18"/>
          <w:u w:val="none"/>
        </w:rPr>
        <w:t>7. J. A. García-Mejido, D. Solís-Martín, M. Martín-Morán, C. Fernández-Conde, F. Fernández-Palacín, J. A. Sainz-Bueno. Applicability of deep learning to dynamically identify the different organs of the pelvic floor in the midsagittal plane. International Urogynecology Journal 2024;35(12):2285–2293.</w:t>
      </w:r>
    </w:p>
    <w:p>
      <w:pPr>
        <w:spacing w:before="0" w:after="40"/>
        <w:ind w:left="0"/>
        <w:jc w:val="both"/>
      </w:pPr>
      <w:r>
        <w:rPr>
          <w:rFonts w:ascii="Times New Roman" w:hAnsi="Times New Roman"/>
          <w:b w:val="0"/>
          <w:i w:val="0"/>
          <w:sz w:val="18"/>
          <w:u w:val="none"/>
        </w:rPr>
        <w:t>8. Trinkler, Dietrich. Ultrasound of the Urinary Bladder. In: EFSUMB Course Book, European Federation of Societies for Ultrasound in Medicine and Biology, 2019.</w:t>
      </w:r>
    </w:p>
    <w:p>
      <w:pPr>
        <w:spacing w:before="0" w:after="64"/>
        <w:ind w:left="0"/>
        <w:jc w:val="both"/>
      </w:pPr>
      <w:r>
        <w:rPr>
          <w:rFonts w:ascii="Times New Roman" w:hAnsi="Times New Roman"/>
          <w:b w:val="0"/>
          <w:i/>
          <w:sz w:val="18"/>
          <w:u w:val="none"/>
        </w:rPr>
        <w:t>[TO BE COMPLETED] Citations for HoLEP morcellation, ultrasound visual servoing and image-quality assessment are to be added before submission.</w:t>
      </w:r>
    </w:p>
    <w:sectPr w:rsidR="00FC693F" w:rsidRPr="0006063C" w:rsidSect="00034616">
      <w:type w:val="continuous"/>
      <w:pgSz w:w="11906" w:h="16838"/>
      <w:pgMar w:top="567" w:right="1417" w:bottom="567" w:left="1417" w:header="567" w:footer="567" w:gutter="0"/>
      <w:cols w:space="396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336" w:lineRule="auto"/>
    </w:pPr>
    <w:rPr>
      <w:rFonts w:ascii="Times New Roman" w:hAnsi="Times New Roman" w:eastAsia="신명조"/>
      <w:sz w:val="20"/>
      <w:w w:val="95"/>
      <w:spacing w:val="-1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