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 w:ascii="Calibri" w:hAnsi="Calibri"/>
          <w:b/>
          <w:color w:val="1F3A5F"/>
          <w:sz w:val="38"/>
        </w:rPr>
        <w:t>Force-controlled contact: first validation</w:t>
      </w:r>
    </w:p>
    <w:p>
      <w:pPr>
        <w:spacing w:before="280" w:after="120"/>
      </w:pPr>
      <w:r>
        <w:rPr>
          <w:rFonts w:ascii="Calibri" w:hAnsi="Calibri"/>
          <w:b/>
          <w:color w:val="1F3A5F"/>
          <w:sz w:val="25"/>
        </w:rPr>
        <w:t>1. Method</w:t>
      </w:r>
    </w:p>
    <w:p>
      <w:pPr>
        <w:spacing w:after="140"/>
      </w:pPr>
      <w:r>
        <w:rPr>
          <w:rFonts w:ascii="Calibri" w:hAnsi="Calibri"/>
          <w:b w:val="0"/>
          <w:color w:val="1A1F26"/>
          <w:sz w:val="20"/>
        </w:rPr>
        <w:t>A convex ultrasound probe on an FR5 arm was brought into contact with an abdominal phantom whose internal volume is set by a 500 mL syringe. The control stack (</w:t>
      </w:r>
      <w:r>
        <w:rPr>
          <w:rFonts w:ascii="Consolas" w:hAnsi="Consolas"/>
          <w:b w:val="0"/>
          <w:color w:val="5A6068"/>
          <w:sz w:val="19"/>
        </w:rPr>
        <w:t>us_diff_ik</w:t>
      </w:r>
      <w:r>
        <w:rPr>
          <w:rFonts w:ascii="Calibri" w:hAnsi="Calibri"/>
          <w:b w:val="0"/>
          <w:color w:val="1A1F26"/>
          <w:sz w:val="20"/>
        </w:rPr>
        <w:t>) closes an admittance loop on the probe penetration axis: once the contact force crosses an entry threshold the arm switches to contact velocity limits and holds the force itself, leaving the operator no axis.</w:t>
      </w:r>
    </w:p>
    <w:p>
      <w:pPr>
        <w:spacing w:after="140"/>
      </w:pPr>
      <w:r>
        <w:rPr>
          <w:rFonts w:ascii="Calibri" w:hAnsi="Calibri"/>
          <w:b w:val="0"/>
          <w:color w:val="1A1F26"/>
          <w:sz w:val="20"/>
        </w:rPr>
        <w:t xml:space="preserve">All forces are the </w:t>
      </w:r>
      <w:r>
        <w:rPr>
          <w:rFonts w:ascii="Calibri" w:hAnsi="Calibri"/>
          <w:b/>
          <w:color w:val="1A1F26"/>
          <w:sz w:val="20"/>
        </w:rPr>
        <w:t>contact-force magnitude</w:t>
      </w:r>
      <w:r>
        <w:rPr>
          <w:rFonts w:ascii="Calibri" w:hAnsi="Calibri"/>
          <w:b w:val="0"/>
          <w:color w:val="1A1F26"/>
          <w:sz w:val="20"/>
        </w:rPr>
        <w:t xml:space="preserve"> </w:t>
      </w:r>
      <w:r>
        <w:rPr>
          <w:rFonts w:ascii="Consolas" w:hAnsi="Consolas"/>
          <w:b w:val="0"/>
          <w:color w:val="5A6068"/>
          <w:sz w:val="19"/>
        </w:rPr>
        <w:t>‖F‖ = √(Fx²+Fy²+Fz²)</w:t>
      </w:r>
      <w:r>
        <w:rPr>
          <w:rFonts w:ascii="Calibri" w:hAnsi="Calibri"/>
          <w:b w:val="0"/>
          <w:color w:val="1A1F26"/>
          <w:sz w:val="20"/>
        </w:rPr>
        <w:t xml:space="preserve"> in the compensated probe frame — the same scalar the controller compares against its setpoint and its limits. Force is read from the PX6D six-axis sensor over its own USB link at 1 kHz, gravity- and payload-compensated, and referenced to the probe contact point. Every sample the controller acted on was recorded; nothing was filtered before analysis.</w:t>
      </w:r>
    </w:p>
    <w:p>
      <w:pPr>
        <w:spacing w:after="140"/>
      </w:pPr>
      <w:r>
        <w:rPr>
          <w:rFonts w:ascii="Calibri" w:hAnsi="Calibri"/>
          <w:b w:val="0"/>
          <w:color w:val="1A1F26"/>
          <w:sz w:val="20"/>
        </w:rPr>
        <w:t>Three measurements were made:</w:t>
      </w:r>
    </w:p>
    <w:p>
      <w:pPr>
        <w:pStyle w:val="ListBullet"/>
        <w:spacing w:after="80"/>
      </w:pPr>
      <w:r>
        <w:rPr>
          <w:rFonts w:ascii="Calibri" w:hAnsi="Calibri"/>
          <w:b/>
          <w:color w:val="1A1F26"/>
          <w:sz w:val="20"/>
        </w:rPr>
        <w:t>Hold.</w:t>
      </w:r>
      <w:r>
        <w:rPr>
          <w:rFonts w:ascii="Calibri" w:hAnsi="Calibri"/>
          <w:b w:val="0"/>
          <w:color w:val="1A1F26"/>
          <w:sz w:val="20"/>
        </w:rPr>
        <w:t xml:space="preserve"> The probe was settled on the phantom and held for 60 s at each setpoint, with no operator input and no volume change.</w:t>
      </w:r>
    </w:p>
    <w:p>
      <w:pPr>
        <w:pStyle w:val="ListBullet"/>
        <w:spacing w:after="80"/>
      </w:pPr>
      <w:r>
        <w:rPr>
          <w:rFonts w:ascii="Calibri" w:hAnsi="Calibri"/>
          <w:b/>
          <w:color w:val="1A1F26"/>
          <w:sz w:val="20"/>
        </w:rPr>
        <w:t>Disturbance.</w:t>
      </w:r>
      <w:r>
        <w:rPr>
          <w:rFonts w:ascii="Calibri" w:hAnsi="Calibri"/>
          <w:b w:val="0"/>
          <w:color w:val="1A1F26"/>
          <w:sz w:val="20"/>
        </w:rPr>
        <w:t xml:space="preserve"> With the force loop closed, 150 mL was injected and withdrawn repeatedly while recording. Each syringe action was timestamped at its onset.</w:t>
      </w:r>
    </w:p>
    <w:p>
      <w:pPr>
        <w:pStyle w:val="ListBullet"/>
        <w:spacing w:after="80"/>
      </w:pPr>
      <w:r>
        <w:rPr>
          <w:rFonts w:ascii="Calibri" w:hAnsi="Calibri"/>
          <w:b/>
          <w:color w:val="1A1F26"/>
          <w:sz w:val="20"/>
        </w:rPr>
        <w:t>Exposure.</w:t>
      </w:r>
      <w:r>
        <w:rPr>
          <w:rFonts w:ascii="Calibri" w:hAnsi="Calibri"/>
          <w:b w:val="0"/>
          <w:color w:val="1A1F26"/>
          <w:sz w:val="20"/>
        </w:rPr>
        <w:t xml:space="preserve"> Every interval in which the force left the intended band was measured, together with the time taken to return.</w:t>
      </w:r>
    </w:p>
    <w:p>
      <w:pPr>
        <w:spacing w:after="140"/>
      </w:pPr>
      <w:r>
        <w:rPr>
          <w:rFonts w:ascii="Calibri" w:hAnsi="Calibri"/>
          <w:b w:val="0"/>
          <w:color w:val="1A1F26"/>
          <w:sz w:val="20"/>
        </w:rPr>
        <w:t>Probe pose was logged alongside force at the flange, and axial travel is the displacement projected onto the probe penetration axis.</w:t>
      </w:r>
    </w:p>
    <w:p>
      <w:pPr>
        <w:keepNext/>
        <w:spacing w:after="140" w:before="120"/>
      </w:pPr>
      <w:r>
        <w:rPr>
          <w:rFonts w:ascii="Calibri" w:hAnsi="Calibri"/>
          <w:b/>
          <w:color w:val="1A1F26"/>
          <w:sz w:val="20"/>
        </w:rPr>
        <w:t>Table 1 — Configuration</w:t>
      </w:r>
    </w:p>
    <w:tbl>
      <w:tblPr>
        <w:tblW w:type="auto" w:w="0"/>
        <w:jc w:val="center"/>
        <w:tblLayout w:type="fixed"/>
        <w:tblLook w:firstColumn="1" w:firstRow="1" w:lastColumn="0" w:lastRow="0" w:noHBand="0" w:noVBand="1" w:val="04A0"/>
        <w:tblBorders>
          <w:top w:val="single" w:sz="8" w:color="1A1F26"/>
          <w:bottom w:val="single" w:sz="8" w:color="1A1F26"/>
          <w:insideH w:val="single" w:sz="4" w:color="C7CCD1"/>
          <w:left w:val="none"/>
          <w:right w:val="none"/>
          <w:insideV w:val="none"/>
        </w:tblBorders>
        <w:tblLayout w:type="fixed"/>
      </w:tblPr>
      <w:tblGrid>
        <w:gridCol w:w="1568"/>
        <w:gridCol w:w="1568"/>
        <w:gridCol w:w="1568"/>
        <w:gridCol w:w="1568"/>
        <w:gridCol w:w="1568"/>
        <w:gridCol w:w="1568"/>
      </w:tblGrid>
      <w:tr>
        <w:trPr>
          <w:cantSplit/>
        </w:trPr>
        <w:tc>
          <w:tcPr>
            <w:tcW w:type="dxa" w:w="1569"/>
            <w:shd w:val="clear" w:fill="E8EEF4"/>
          </w:tcPr>
          <w:p>
            <w:pPr>
              <w:jc w:val="right"/>
            </w:pPr>
            <w:r/>
            <w:r>
              <w:rPr>
                <w:rFonts w:ascii="Calibri" w:hAnsi="Calibri"/>
                <w:b/>
                <w:color w:val="1F3A5F"/>
                <w:sz w:val="17"/>
              </w:rPr>
              <w:t>Setpoint [N]</w:t>
            </w:r>
          </w:p>
        </w:tc>
        <w:tc>
          <w:tcPr>
            <w:tcW w:type="dxa" w:w="1569"/>
            <w:shd w:val="clear" w:fill="E8EEF4"/>
          </w:tcPr>
          <w:p>
            <w:pPr>
              <w:jc w:val="right"/>
            </w:pPr>
            <w:r/>
            <w:r>
              <w:rPr>
                <w:rFonts w:ascii="Calibri" w:hAnsi="Calibri"/>
                <w:b/>
                <w:color w:val="1F3A5F"/>
                <w:sz w:val="17"/>
              </w:rPr>
              <w:t>Deadband [N]</w:t>
            </w:r>
          </w:p>
        </w:tc>
        <w:tc>
          <w:tcPr>
            <w:tcW w:type="dxa" w:w="1569"/>
            <w:shd w:val="clear" w:fill="E8EEF4"/>
          </w:tcPr>
          <w:p>
            <w:pPr>
              <w:jc w:val="right"/>
            </w:pPr>
            <w:r/>
            <w:r>
              <w:rPr>
                <w:rFonts w:ascii="Calibri" w:hAnsi="Calibri"/>
                <w:b/>
                <w:color w:val="1F3A5F"/>
                <w:sz w:val="17"/>
              </w:rPr>
              <w:t>Entry [N]</w:t>
            </w:r>
          </w:p>
        </w:tc>
        <w:tc>
          <w:tcPr>
            <w:tcW w:type="dxa" w:w="1569"/>
            <w:shd w:val="clear" w:fill="E8EEF4"/>
          </w:tcPr>
          <w:p>
            <w:pPr>
              <w:jc w:val="right"/>
            </w:pPr>
            <w:r/>
            <w:r>
              <w:rPr>
                <w:rFonts w:ascii="Calibri" w:hAnsi="Calibri"/>
                <w:b/>
                <w:color w:val="1F3A5F"/>
                <w:sz w:val="17"/>
              </w:rPr>
              <w:t>Release [N]</w:t>
            </w:r>
          </w:p>
        </w:tc>
        <w:tc>
          <w:tcPr>
            <w:tcW w:type="dxa" w:w="1569"/>
            <w:shd w:val="clear" w:fill="E8EEF4"/>
          </w:tcPr>
          <w:p>
            <w:pPr>
              <w:jc w:val="right"/>
            </w:pPr>
            <w:r/>
            <w:r>
              <w:rPr>
                <w:rFonts w:ascii="Calibri" w:hAnsi="Calibri"/>
                <w:b/>
                <w:color w:val="1F3A5F"/>
                <w:sz w:val="17"/>
              </w:rPr>
              <w:t>Operating point [N]</w:t>
            </w:r>
          </w:p>
        </w:tc>
        <w:tc>
          <w:tcPr>
            <w:tcW w:type="dxa" w:w="1569"/>
            <w:shd w:val="clear" w:fill="E8EEF4"/>
          </w:tcPr>
          <w:p>
            <w:pPr>
              <w:jc w:val="right"/>
            </w:pPr>
            <w:r/>
            <w:r>
              <w:rPr>
                <w:rFonts w:ascii="Calibri" w:hAnsi="Calibri"/>
                <w:b/>
                <w:color w:val="1F3A5F"/>
                <w:sz w:val="17"/>
              </w:rPr>
              <w:t>Warn / Limit [N]</w:t>
            </w:r>
          </w:p>
        </w:tc>
      </w:tr>
      <w:tr>
        <w:trPr>
          <w:cantSplit/>
        </w:trPr>
        <w:tc>
          <w:tcPr>
            <w:tcW w:type="dxa" w:w="1569"/>
          </w:tcPr>
          <w:p>
            <w:pPr>
              <w:jc w:val="right"/>
            </w:pPr>
            <w:r>
              <w:rPr>
                <w:rFonts w:ascii="Calibri" w:hAnsi="Calibri"/>
                <w:b w:val="0"/>
                <w:color w:val="1A1F26"/>
                <w:sz w:val="19"/>
              </w:rPr>
              <w:t>0.5</w:t>
            </w:r>
          </w:p>
        </w:tc>
        <w:tc>
          <w:tcPr>
            <w:tcW w:type="dxa" w:w="1569"/>
          </w:tcPr>
          <w:p>
            <w:pPr>
              <w:jc w:val="right"/>
            </w:pPr>
            <w:r>
              <w:rPr>
                <w:rFonts w:ascii="Calibri" w:hAnsi="Calibri"/>
                <w:b w:val="0"/>
                <w:color w:val="1A1F26"/>
                <w:sz w:val="19"/>
              </w:rPr>
              <w:t>±0.15</w:t>
            </w:r>
          </w:p>
        </w:tc>
        <w:tc>
          <w:tcPr>
            <w:tcW w:type="dxa" w:w="1569"/>
          </w:tcPr>
          <w:p>
            <w:pPr>
              <w:jc w:val="right"/>
            </w:pPr>
            <w:r>
              <w:rPr>
                <w:rFonts w:ascii="Calibri" w:hAnsi="Calibri"/>
                <w:b w:val="0"/>
                <w:color w:val="1A1F26"/>
                <w:sz w:val="19"/>
              </w:rPr>
              <w:t>0.40</w:t>
            </w:r>
          </w:p>
        </w:tc>
        <w:tc>
          <w:tcPr>
            <w:tcW w:type="dxa" w:w="1569"/>
          </w:tcPr>
          <w:p>
            <w:pPr>
              <w:jc w:val="right"/>
            </w:pPr>
            <w:r>
              <w:rPr>
                <w:rFonts w:ascii="Calibri" w:hAnsi="Calibri"/>
                <w:b w:val="0"/>
                <w:color w:val="1A1F26"/>
                <w:sz w:val="19"/>
              </w:rPr>
              <w:t>0.20</w:t>
            </w:r>
          </w:p>
        </w:tc>
        <w:tc>
          <w:tcPr>
            <w:tcW w:type="dxa" w:w="1569"/>
          </w:tcPr>
          <w:p>
            <w:pPr>
              <w:jc w:val="right"/>
            </w:pPr>
            <w:r>
              <w:rPr>
                <w:rFonts w:ascii="Calibri" w:hAnsi="Calibri"/>
                <w:b w:val="0"/>
                <w:color w:val="1A1F26"/>
                <w:sz w:val="19"/>
              </w:rPr>
              <w:t>0.40</w:t>
            </w:r>
          </w:p>
        </w:tc>
        <w:tc>
          <w:tcPr>
            <w:tcW w:type="dxa" w:w="1569"/>
          </w:tcPr>
          <w:p>
            <w:pPr>
              <w:jc w:val="right"/>
            </w:pPr>
            <w:r>
              <w:rPr>
                <w:rFonts w:ascii="Calibri" w:hAnsi="Calibri"/>
                <w:b w:val="0"/>
                <w:color w:val="1A1F26"/>
                <w:sz w:val="19"/>
              </w:rPr>
              <w:t>4.5 / 5.0</w:t>
            </w:r>
          </w:p>
        </w:tc>
      </w:tr>
      <w:tr>
        <w:trPr>
          <w:cantSplit/>
        </w:trPr>
        <w:tc>
          <w:tcPr>
            <w:tcW w:type="dxa" w:w="1569"/>
          </w:tcPr>
          <w:p>
            <w:pPr>
              <w:jc w:val="right"/>
            </w:pPr>
            <w:r>
              <w:rPr>
                <w:rFonts w:ascii="Calibri" w:hAnsi="Calibri"/>
                <w:b w:val="0"/>
                <w:color w:val="1A1F26"/>
                <w:sz w:val="19"/>
              </w:rPr>
              <w:t>2.0</w:t>
            </w:r>
          </w:p>
        </w:tc>
        <w:tc>
          <w:tcPr>
            <w:tcW w:type="dxa" w:w="1569"/>
          </w:tcPr>
          <w:p>
            <w:pPr>
              <w:jc w:val="right"/>
            </w:pPr>
            <w:r>
              <w:rPr>
                <w:rFonts w:ascii="Calibri" w:hAnsi="Calibri"/>
                <w:b w:val="0"/>
                <w:color w:val="1A1F26"/>
                <w:sz w:val="19"/>
              </w:rPr>
              <w:t>±0.50</w:t>
            </w:r>
          </w:p>
        </w:tc>
        <w:tc>
          <w:tcPr>
            <w:tcW w:type="dxa" w:w="1569"/>
          </w:tcPr>
          <w:p>
            <w:pPr>
              <w:jc w:val="right"/>
            </w:pPr>
            <w:r>
              <w:rPr>
                <w:rFonts w:ascii="Calibri" w:hAnsi="Calibri"/>
                <w:b w:val="0"/>
                <w:color w:val="1A1F26"/>
                <w:sz w:val="19"/>
              </w:rPr>
              <w:t>2.00</w:t>
            </w:r>
          </w:p>
        </w:tc>
        <w:tc>
          <w:tcPr>
            <w:tcW w:type="dxa" w:w="1569"/>
          </w:tcPr>
          <w:p>
            <w:pPr>
              <w:jc w:val="right"/>
            </w:pPr>
            <w:r>
              <w:rPr>
                <w:rFonts w:ascii="Calibri" w:hAnsi="Calibri"/>
                <w:b w:val="0"/>
                <w:color w:val="1A1F26"/>
                <w:sz w:val="19"/>
              </w:rPr>
              <w:t>0.30</w:t>
            </w:r>
          </w:p>
        </w:tc>
        <w:tc>
          <w:tcPr>
            <w:tcW w:type="dxa" w:w="1569"/>
          </w:tcPr>
          <w:p>
            <w:pPr>
              <w:jc w:val="right"/>
            </w:pPr>
            <w:r>
              <w:rPr>
                <w:rFonts w:ascii="Calibri" w:hAnsi="Calibri"/>
                <w:b w:val="0"/>
                <w:color w:val="1A1F26"/>
                <w:sz w:val="19"/>
              </w:rPr>
              <w:t>2.00</w:t>
            </w:r>
          </w:p>
        </w:tc>
        <w:tc>
          <w:tcPr>
            <w:tcW w:type="dxa" w:w="1569"/>
          </w:tcPr>
          <w:p>
            <w:pPr>
              <w:jc w:val="right"/>
            </w:pPr>
            <w:r>
              <w:rPr>
                <w:rFonts w:ascii="Calibri" w:hAnsi="Calibri"/>
                <w:b w:val="0"/>
                <w:color w:val="1A1F26"/>
                <w:sz w:val="19"/>
              </w:rPr>
              <w:t>4.5 / 5.0</w:t>
            </w:r>
          </w:p>
        </w:tc>
      </w:tr>
      <w:tr>
        <w:trPr>
          <w:cantSplit/>
        </w:trPr>
        <w:tc>
          <w:tcPr>
            <w:tcW w:type="dxa" w:w="1569"/>
          </w:tcPr>
          <w:p>
            <w:pPr>
              <w:jc w:val="right"/>
            </w:pPr>
            <w:r>
              <w:rPr>
                <w:rFonts w:ascii="Calibri" w:hAnsi="Calibri"/>
                <w:b w:val="0"/>
                <w:color w:val="1A1F26"/>
                <w:sz w:val="19"/>
              </w:rPr>
              <w:t>3.0</w:t>
            </w:r>
          </w:p>
        </w:tc>
        <w:tc>
          <w:tcPr>
            <w:tcW w:type="dxa" w:w="1569"/>
          </w:tcPr>
          <w:p>
            <w:pPr>
              <w:jc w:val="right"/>
            </w:pPr>
            <w:r>
              <w:rPr>
                <w:rFonts w:ascii="Calibri" w:hAnsi="Calibri"/>
                <w:b w:val="0"/>
                <w:color w:val="1A1F26"/>
                <w:sz w:val="19"/>
              </w:rPr>
              <w:t>±0.50</w:t>
            </w:r>
          </w:p>
        </w:tc>
        <w:tc>
          <w:tcPr>
            <w:tcW w:type="dxa" w:w="1569"/>
          </w:tcPr>
          <w:p>
            <w:pPr>
              <w:jc w:val="right"/>
            </w:pPr>
            <w:r>
              <w:rPr>
                <w:rFonts w:ascii="Calibri" w:hAnsi="Calibri"/>
                <w:b w:val="0"/>
                <w:color w:val="1A1F26"/>
                <w:sz w:val="19"/>
              </w:rPr>
              <w:t>2.00</w:t>
            </w:r>
          </w:p>
        </w:tc>
        <w:tc>
          <w:tcPr>
            <w:tcW w:type="dxa" w:w="1569"/>
          </w:tcPr>
          <w:p>
            <w:pPr>
              <w:jc w:val="right"/>
            </w:pPr>
            <w:r>
              <w:rPr>
                <w:rFonts w:ascii="Calibri" w:hAnsi="Calibri"/>
                <w:b w:val="0"/>
                <w:color w:val="1A1F26"/>
                <w:sz w:val="19"/>
              </w:rPr>
              <w:t>0.30</w:t>
            </w:r>
          </w:p>
        </w:tc>
        <w:tc>
          <w:tcPr>
            <w:tcW w:type="dxa" w:w="1569"/>
          </w:tcPr>
          <w:p>
            <w:pPr>
              <w:jc w:val="right"/>
            </w:pPr>
            <w:r>
              <w:rPr>
                <w:rFonts w:ascii="Calibri" w:hAnsi="Calibri"/>
                <w:b w:val="0"/>
                <w:color w:val="1A1F26"/>
                <w:sz w:val="19"/>
              </w:rPr>
              <w:t>2.50</w:t>
            </w:r>
          </w:p>
        </w:tc>
        <w:tc>
          <w:tcPr>
            <w:tcW w:type="dxa" w:w="1569"/>
          </w:tcPr>
          <w:p>
            <w:pPr>
              <w:jc w:val="right"/>
            </w:pPr>
            <w:r>
              <w:rPr>
                <w:rFonts w:ascii="Calibri" w:hAnsi="Calibri"/>
                <w:b w:val="0"/>
                <w:color w:val="1A1F26"/>
                <w:sz w:val="19"/>
              </w:rPr>
              <w:t>4.5 / 5.0</w:t>
            </w:r>
          </w:p>
        </w:tc>
      </w:tr>
      <w:tr>
        <w:trPr>
          <w:cantSplit/>
        </w:trPr>
        <w:tc>
          <w:tcPr>
            <w:tcW w:type="dxa" w:w="1569"/>
          </w:tcPr>
          <w:p>
            <w:pPr>
              <w:jc w:val="right"/>
            </w:pPr>
            <w:r>
              <w:rPr>
                <w:rFonts w:ascii="Calibri" w:hAnsi="Calibri"/>
                <w:b w:val="0"/>
                <w:color w:val="1A1F26"/>
                <w:sz w:val="19"/>
              </w:rPr>
              <w:t>4.0</w:t>
            </w:r>
          </w:p>
        </w:tc>
        <w:tc>
          <w:tcPr>
            <w:tcW w:type="dxa" w:w="1569"/>
          </w:tcPr>
          <w:p>
            <w:pPr>
              <w:jc w:val="right"/>
            </w:pPr>
            <w:r>
              <w:rPr>
                <w:rFonts w:ascii="Calibri" w:hAnsi="Calibri"/>
                <w:b w:val="0"/>
                <w:color w:val="1A1F26"/>
                <w:sz w:val="19"/>
              </w:rPr>
              <w:t>±0.50</w:t>
            </w:r>
          </w:p>
        </w:tc>
        <w:tc>
          <w:tcPr>
            <w:tcW w:type="dxa" w:w="1569"/>
          </w:tcPr>
          <w:p>
            <w:pPr>
              <w:jc w:val="right"/>
            </w:pPr>
            <w:r>
              <w:rPr>
                <w:rFonts w:ascii="Calibri" w:hAnsi="Calibri"/>
                <w:b w:val="0"/>
                <w:color w:val="1A1F26"/>
                <w:sz w:val="19"/>
              </w:rPr>
              <w:t>2.00</w:t>
            </w:r>
          </w:p>
        </w:tc>
        <w:tc>
          <w:tcPr>
            <w:tcW w:type="dxa" w:w="1569"/>
          </w:tcPr>
          <w:p>
            <w:pPr>
              <w:jc w:val="right"/>
            </w:pPr>
            <w:r>
              <w:rPr>
                <w:rFonts w:ascii="Calibri" w:hAnsi="Calibri"/>
                <w:b w:val="0"/>
                <w:color w:val="1A1F26"/>
                <w:sz w:val="19"/>
              </w:rPr>
              <w:t>0.30</w:t>
            </w:r>
          </w:p>
        </w:tc>
        <w:tc>
          <w:tcPr>
            <w:tcW w:type="dxa" w:w="1569"/>
          </w:tcPr>
          <w:p>
            <w:pPr>
              <w:jc w:val="right"/>
            </w:pPr>
            <w:r>
              <w:rPr>
                <w:rFonts w:ascii="Calibri" w:hAnsi="Calibri"/>
                <w:b w:val="0"/>
                <w:color w:val="1A1F26"/>
                <w:sz w:val="19"/>
              </w:rPr>
              <w:t>3.50</w:t>
            </w:r>
          </w:p>
        </w:tc>
        <w:tc>
          <w:tcPr>
            <w:tcW w:type="dxa" w:w="1569"/>
          </w:tcPr>
          <w:p>
            <w:pPr>
              <w:jc w:val="right"/>
            </w:pPr>
            <w:r>
              <w:rPr>
                <w:rFonts w:ascii="Calibri" w:hAnsi="Calibri"/>
                <w:b w:val="0"/>
                <w:color w:val="1A1F26"/>
                <w:sz w:val="19"/>
              </w:rPr>
              <w:t>4.5 / 5.0</w:t>
            </w:r>
          </w:p>
        </w:tc>
      </w:tr>
    </w:tbl>
    <w:p/>
    <w:p>
      <w:pPr>
        <w:spacing w:before="280" w:after="120"/>
      </w:pPr>
      <w:r>
        <w:rPr>
          <w:rFonts w:ascii="Calibri" w:hAnsi="Calibri"/>
          <w:b/>
          <w:color w:val="1F3A5F"/>
          <w:sz w:val="25"/>
        </w:rPr>
        <w:t>2. Force holding</w:t>
      </w:r>
    </w:p>
    <w:p>
      <w:pPr>
        <w:spacing w:after="140"/>
      </w:pPr>
      <w:r>
        <w:rPr>
          <w:rFonts w:ascii="Calibri" w:hAnsi="Calibri"/>
          <w:b w:val="0"/>
          <w:color w:val="1A1F26"/>
          <w:sz w:val="20"/>
        </w:rPr>
        <w:t>The regulator holds a band rather than a point: inside the deadband it commands zero velocity, so the force settles where it first enters the band and stays there. The operating point in Table 1 is that entry force. Deviation from it is the tracking quality; standard deviation is independent of band width and is therefore the figure that compares setpoints directly.</w:t>
      </w:r>
    </w:p>
    <w:p>
      <w:pPr>
        <w:keepNext/>
        <w:spacing w:after="140" w:before="120"/>
      </w:pPr>
      <w:r>
        <w:rPr>
          <w:rFonts w:ascii="Calibri" w:hAnsi="Calibri"/>
          <w:b/>
          <w:color w:val="1A1F26"/>
          <w:sz w:val="20"/>
        </w:rPr>
        <w:t>Figure 1</w:t>
      </w:r>
      <w:r>
        <w:rPr>
          <w:rFonts w:ascii="Calibri" w:hAnsi="Calibri"/>
          <w:b w:val="0"/>
          <w:color w:val="1A1F26"/>
          <w:sz w:val="20"/>
        </w:rPr>
        <w:t xml:space="preserve"> — 60 s of held force at each setpoint.</w:t>
      </w:r>
    </w:p>
    <w:p>
      <w:pPr>
        <w:jc w:val="center"/>
      </w:pPr>
      <w:r>
        <w:drawing>
          <wp:inline xmlns:a="http://schemas.openxmlformats.org/drawingml/2006/main" xmlns:pic="http://schemas.openxmlformats.org/drawingml/2006/picture">
            <wp:extent cx="5940000" cy="1522455"/>
            <wp:docPr id="1" name="Picture 1"/>
            <wp:cNvGraphicFramePr>
              <a:graphicFrameLocks noChangeAspect="1"/>
            </wp:cNvGraphicFramePr>
            <a:graphic>
              <a:graphicData uri="http://schemas.openxmlformats.org/drawingml/2006/picture">
                <pic:pic>
                  <pic:nvPicPr>
                    <pic:cNvPr id="0" name="fig1_hold_traces.png"/>
                    <pic:cNvPicPr/>
                  </pic:nvPicPr>
                  <pic:blipFill>
                    <a:blip r:embed="rId9"/>
                    <a:stretch>
                      <a:fillRect/>
                    </a:stretch>
                  </pic:blipFill>
                  <pic:spPr>
                    <a:xfrm>
                      <a:off x="0" y="0"/>
                      <a:ext cx="5940000" cy="1522455"/>
                    </a:xfrm>
                    <a:prstGeom prst="rect"/>
                  </pic:spPr>
                </pic:pic>
              </a:graphicData>
            </a:graphic>
          </wp:inline>
        </w:drawing>
      </w:r>
    </w:p>
    <w:p/>
    <w:p>
      <w:pPr>
        <w:keepNext/>
        <w:spacing w:after="140" w:before="120"/>
      </w:pPr>
      <w:r>
        <w:rPr>
          <w:rFonts w:ascii="Calibri" w:hAnsi="Calibri"/>
          <w:b/>
          <w:color w:val="1A1F26"/>
          <w:sz w:val="20"/>
        </w:rPr>
        <w:t>Table 2 — Hold quality</w:t>
      </w:r>
    </w:p>
    <w:tbl>
      <w:tblPr>
        <w:tblW w:type="auto" w:w="0"/>
        <w:jc w:val="center"/>
        <w:tblLayout w:type="fixed"/>
        <w:tblLook w:firstColumn="1" w:firstRow="1" w:lastColumn="0" w:lastRow="0" w:noHBand="0" w:noVBand="1" w:val="04A0"/>
        <w:tblBorders>
          <w:top w:val="single" w:sz="8" w:color="1A1F26"/>
          <w:bottom w:val="single" w:sz="8" w:color="1A1F26"/>
          <w:insideH w:val="single" w:sz="4" w:color="C7CCD1"/>
          <w:left w:val="none"/>
          <w:right w:val="none"/>
          <w:insideV w:val="none"/>
        </w:tblBorders>
        <w:tblLayout w:type="fixed"/>
      </w:tblPr>
      <w:tblGrid>
        <w:gridCol w:w="1344"/>
        <w:gridCol w:w="1344"/>
        <w:gridCol w:w="1344"/>
        <w:gridCol w:w="1344"/>
        <w:gridCol w:w="1344"/>
        <w:gridCol w:w="1344"/>
        <w:gridCol w:w="1344"/>
      </w:tblGrid>
      <w:tr>
        <w:trPr>
          <w:cantSplit/>
        </w:trPr>
        <w:tc>
          <w:tcPr>
            <w:tcW w:type="dxa" w:w="1344"/>
            <w:shd w:val="clear" w:fill="E8EEF4"/>
          </w:tcPr>
          <w:p>
            <w:pPr>
              <w:jc w:val="right"/>
            </w:pPr>
            <w:r/>
            <w:r>
              <w:rPr>
                <w:rFonts w:ascii="Calibri" w:hAnsi="Calibri"/>
                <w:b/>
                <w:color w:val="1F3A5F"/>
                <w:sz w:val="17"/>
              </w:rPr>
              <w:t>Setpoint [N]</w:t>
            </w:r>
          </w:p>
        </w:tc>
        <w:tc>
          <w:tcPr>
            <w:tcW w:type="dxa" w:w="1344"/>
            <w:shd w:val="clear" w:fill="E8EEF4"/>
          </w:tcPr>
          <w:p>
            <w:pPr>
              <w:jc w:val="right"/>
            </w:pPr>
            <w:r/>
            <w:r>
              <w:rPr>
                <w:rFonts w:ascii="Calibri" w:hAnsi="Calibri"/>
                <w:b/>
                <w:color w:val="1F3A5F"/>
                <w:sz w:val="17"/>
              </w:rPr>
              <w:t>Duration [s]</w:t>
            </w:r>
          </w:p>
        </w:tc>
        <w:tc>
          <w:tcPr>
            <w:tcW w:type="dxa" w:w="1344"/>
            <w:shd w:val="clear" w:fill="E8EEF4"/>
          </w:tcPr>
          <w:p>
            <w:pPr>
              <w:jc w:val="right"/>
            </w:pPr>
            <w:r/>
            <w:r>
              <w:rPr>
                <w:rFonts w:ascii="Calibri" w:hAnsi="Calibri"/>
                <w:b/>
                <w:color w:val="1F3A5F"/>
                <w:sz w:val="17"/>
              </w:rPr>
              <w:t>Samples</w:t>
            </w:r>
          </w:p>
        </w:tc>
        <w:tc>
          <w:tcPr>
            <w:tcW w:type="dxa" w:w="1344"/>
            <w:shd w:val="clear" w:fill="E8EEF4"/>
          </w:tcPr>
          <w:p>
            <w:pPr>
              <w:jc w:val="right"/>
            </w:pPr>
            <w:r/>
            <w:r>
              <w:rPr>
                <w:rFonts w:ascii="Calibri" w:hAnsi="Calibri"/>
                <w:b/>
                <w:color w:val="1F3A5F"/>
                <w:sz w:val="17"/>
              </w:rPr>
              <w:t>SD [N]</w:t>
            </w:r>
          </w:p>
        </w:tc>
        <w:tc>
          <w:tcPr>
            <w:tcW w:type="dxa" w:w="1344"/>
            <w:shd w:val="clear" w:fill="E8EEF4"/>
          </w:tcPr>
          <w:p>
            <w:pPr>
              <w:jc w:val="right"/>
            </w:pPr>
            <w:r/>
            <w:r>
              <w:rPr>
                <w:rFonts w:ascii="Calibri" w:hAnsi="Calibri"/>
                <w:b/>
                <w:color w:val="1F3A5F"/>
                <w:sz w:val="17"/>
              </w:rPr>
              <w:t>Offset [N]</w:t>
            </w:r>
          </w:p>
        </w:tc>
        <w:tc>
          <w:tcPr>
            <w:tcW w:type="dxa" w:w="1344"/>
            <w:shd w:val="clear" w:fill="E8EEF4"/>
          </w:tcPr>
          <w:p>
            <w:pPr>
              <w:jc w:val="right"/>
            </w:pPr>
            <w:r/>
            <w:r>
              <w:rPr>
                <w:rFonts w:ascii="Calibri" w:hAnsi="Calibri"/>
                <w:b/>
                <w:color w:val="1F3A5F"/>
                <w:sz w:val="17"/>
              </w:rPr>
              <w:t>SD / setpoint [%]</w:t>
            </w:r>
          </w:p>
        </w:tc>
        <w:tc>
          <w:tcPr>
            <w:tcW w:type="dxa" w:w="1344"/>
            <w:shd w:val="clear" w:fill="E8EEF4"/>
          </w:tcPr>
          <w:p>
            <w:pPr>
              <w:jc w:val="right"/>
            </w:pPr>
            <w:r/>
            <w:r>
              <w:rPr>
                <w:rFonts w:ascii="Calibri" w:hAnsi="Calibri"/>
                <w:b/>
                <w:color w:val="1F3A5F"/>
                <w:sz w:val="17"/>
              </w:rPr>
              <w:t>In band [%]</w:t>
            </w:r>
          </w:p>
        </w:tc>
      </w:tr>
      <w:tr>
        <w:trPr>
          <w:cantSplit/>
        </w:trPr>
        <w:tc>
          <w:tcPr>
            <w:tcW w:type="dxa" w:w="1344"/>
          </w:tcPr>
          <w:p>
            <w:pPr>
              <w:jc w:val="right"/>
            </w:pPr>
            <w:r>
              <w:rPr>
                <w:rFonts w:ascii="Calibri" w:hAnsi="Calibri"/>
                <w:b w:val="0"/>
                <w:color w:val="1A1F26"/>
                <w:sz w:val="19"/>
              </w:rPr>
              <w:t>0.5</w:t>
            </w:r>
          </w:p>
        </w:tc>
        <w:tc>
          <w:tcPr>
            <w:tcW w:type="dxa" w:w="1344"/>
          </w:tcPr>
          <w:p>
            <w:pPr>
              <w:jc w:val="right"/>
            </w:pPr>
            <w:r>
              <w:rPr>
                <w:rFonts w:ascii="Calibri" w:hAnsi="Calibri"/>
                <w:b w:val="0"/>
                <w:color w:val="1A1F26"/>
                <w:sz w:val="19"/>
              </w:rPr>
              <w:t>57</w:t>
            </w:r>
          </w:p>
        </w:tc>
        <w:tc>
          <w:tcPr>
            <w:tcW w:type="dxa" w:w="1344"/>
          </w:tcPr>
          <w:p>
            <w:pPr>
              <w:jc w:val="right"/>
            </w:pPr>
            <w:r>
              <w:rPr>
                <w:rFonts w:ascii="Calibri" w:hAnsi="Calibri"/>
                <w:b w:val="0"/>
                <w:color w:val="1A1F26"/>
                <w:sz w:val="19"/>
              </w:rPr>
              <w:t>57,118</w:t>
            </w:r>
          </w:p>
        </w:tc>
        <w:tc>
          <w:tcPr>
            <w:tcW w:type="dxa" w:w="1344"/>
          </w:tcPr>
          <w:p>
            <w:pPr>
              <w:jc w:val="right"/>
            </w:pPr>
            <w:r>
              <w:rPr>
                <w:rFonts w:ascii="Calibri" w:hAnsi="Calibri"/>
                <w:b/>
                <w:color w:val="1A1F26"/>
                <w:sz w:val="19"/>
              </w:rPr>
              <w:t>0.065</w:t>
            </w:r>
          </w:p>
        </w:tc>
        <w:tc>
          <w:tcPr>
            <w:tcW w:type="dxa" w:w="1344"/>
          </w:tcPr>
          <w:p>
            <w:pPr>
              <w:jc w:val="right"/>
            </w:pPr>
            <w:r>
              <w:rPr>
                <w:rFonts w:ascii="Calibri" w:hAnsi="Calibri"/>
                <w:b w:val="0"/>
                <w:color w:val="1A1F26"/>
                <w:sz w:val="19"/>
              </w:rPr>
              <w:t>+0.092</w:t>
            </w:r>
          </w:p>
        </w:tc>
        <w:tc>
          <w:tcPr>
            <w:tcW w:type="dxa" w:w="1344"/>
          </w:tcPr>
          <w:p>
            <w:pPr>
              <w:jc w:val="right"/>
            </w:pPr>
            <w:r>
              <w:rPr>
                <w:rFonts w:ascii="Calibri" w:hAnsi="Calibri"/>
                <w:b w:val="0"/>
                <w:color w:val="1A1F26"/>
                <w:sz w:val="19"/>
              </w:rPr>
              <w:t>13.0</w:t>
            </w:r>
          </w:p>
        </w:tc>
        <w:tc>
          <w:tcPr>
            <w:tcW w:type="dxa" w:w="1344"/>
          </w:tcPr>
          <w:p>
            <w:pPr>
              <w:jc w:val="right"/>
            </w:pPr>
            <w:r>
              <w:rPr>
                <w:rFonts w:ascii="Calibri" w:hAnsi="Calibri"/>
                <w:b w:val="0"/>
                <w:color w:val="1A1F26"/>
                <w:sz w:val="19"/>
              </w:rPr>
              <w:t>100.0</w:t>
            </w:r>
          </w:p>
        </w:tc>
      </w:tr>
      <w:tr>
        <w:trPr>
          <w:cantSplit/>
        </w:trPr>
        <w:tc>
          <w:tcPr>
            <w:tcW w:type="dxa" w:w="1344"/>
          </w:tcPr>
          <w:p>
            <w:pPr>
              <w:jc w:val="right"/>
            </w:pPr>
            <w:r>
              <w:rPr>
                <w:rFonts w:ascii="Calibri" w:hAnsi="Calibri"/>
                <w:b w:val="0"/>
                <w:color w:val="1A1F26"/>
                <w:sz w:val="19"/>
              </w:rPr>
              <w:t>2.0</w:t>
            </w:r>
          </w:p>
        </w:tc>
        <w:tc>
          <w:tcPr>
            <w:tcW w:type="dxa" w:w="1344"/>
          </w:tcPr>
          <w:p>
            <w:pPr>
              <w:jc w:val="right"/>
            </w:pPr>
            <w:r>
              <w:rPr>
                <w:rFonts w:ascii="Calibri" w:hAnsi="Calibri"/>
                <w:b w:val="0"/>
                <w:color w:val="1A1F26"/>
                <w:sz w:val="19"/>
              </w:rPr>
              <w:t>57</w:t>
            </w:r>
          </w:p>
        </w:tc>
        <w:tc>
          <w:tcPr>
            <w:tcW w:type="dxa" w:w="1344"/>
          </w:tcPr>
          <w:p>
            <w:pPr>
              <w:jc w:val="right"/>
            </w:pPr>
            <w:r>
              <w:rPr>
                <w:rFonts w:ascii="Calibri" w:hAnsi="Calibri"/>
                <w:b w:val="0"/>
                <w:color w:val="1A1F26"/>
                <w:sz w:val="19"/>
              </w:rPr>
              <w:t>57,113</w:t>
            </w:r>
          </w:p>
        </w:tc>
        <w:tc>
          <w:tcPr>
            <w:tcW w:type="dxa" w:w="1344"/>
          </w:tcPr>
          <w:p>
            <w:pPr>
              <w:jc w:val="right"/>
            </w:pPr>
            <w:r>
              <w:rPr>
                <w:rFonts w:ascii="Calibri" w:hAnsi="Calibri"/>
                <w:b/>
                <w:color w:val="1A1F26"/>
                <w:sz w:val="19"/>
              </w:rPr>
              <w:t>0.022</w:t>
            </w:r>
          </w:p>
        </w:tc>
        <w:tc>
          <w:tcPr>
            <w:tcW w:type="dxa" w:w="1344"/>
          </w:tcPr>
          <w:p>
            <w:pPr>
              <w:jc w:val="right"/>
            </w:pPr>
            <w:r>
              <w:rPr>
                <w:rFonts w:ascii="Calibri" w:hAnsi="Calibri"/>
                <w:b w:val="0"/>
                <w:color w:val="1A1F26"/>
                <w:sz w:val="19"/>
              </w:rPr>
              <w:t>-0.096</w:t>
            </w:r>
          </w:p>
        </w:tc>
        <w:tc>
          <w:tcPr>
            <w:tcW w:type="dxa" w:w="1344"/>
          </w:tcPr>
          <w:p>
            <w:pPr>
              <w:jc w:val="right"/>
            </w:pPr>
            <w:r>
              <w:rPr>
                <w:rFonts w:ascii="Calibri" w:hAnsi="Calibri"/>
                <w:b w:val="0"/>
                <w:color w:val="1A1F26"/>
                <w:sz w:val="19"/>
              </w:rPr>
              <w:t>1.1</w:t>
            </w:r>
          </w:p>
        </w:tc>
        <w:tc>
          <w:tcPr>
            <w:tcW w:type="dxa" w:w="1344"/>
          </w:tcPr>
          <w:p>
            <w:pPr>
              <w:jc w:val="right"/>
            </w:pPr>
            <w:r>
              <w:rPr>
                <w:rFonts w:ascii="Calibri" w:hAnsi="Calibri"/>
                <w:b w:val="0"/>
                <w:color w:val="1A1F26"/>
                <w:sz w:val="19"/>
              </w:rPr>
              <w:t>100.0</w:t>
            </w:r>
          </w:p>
        </w:tc>
      </w:tr>
      <w:tr>
        <w:trPr>
          <w:cantSplit/>
        </w:trPr>
        <w:tc>
          <w:tcPr>
            <w:tcW w:type="dxa" w:w="1344"/>
          </w:tcPr>
          <w:p>
            <w:pPr>
              <w:jc w:val="right"/>
            </w:pPr>
            <w:r>
              <w:rPr>
                <w:rFonts w:ascii="Calibri" w:hAnsi="Calibri"/>
                <w:b w:val="0"/>
                <w:color w:val="1A1F26"/>
                <w:sz w:val="19"/>
              </w:rPr>
              <w:t>3.0</w:t>
            </w:r>
          </w:p>
        </w:tc>
        <w:tc>
          <w:tcPr>
            <w:tcW w:type="dxa" w:w="1344"/>
          </w:tcPr>
          <w:p>
            <w:pPr>
              <w:jc w:val="right"/>
            </w:pPr>
            <w:r>
              <w:rPr>
                <w:rFonts w:ascii="Calibri" w:hAnsi="Calibri"/>
                <w:b w:val="0"/>
                <w:color w:val="1A1F26"/>
                <w:sz w:val="19"/>
              </w:rPr>
              <w:t>57</w:t>
            </w:r>
          </w:p>
        </w:tc>
        <w:tc>
          <w:tcPr>
            <w:tcW w:type="dxa" w:w="1344"/>
          </w:tcPr>
          <w:p>
            <w:pPr>
              <w:jc w:val="right"/>
            </w:pPr>
            <w:r>
              <w:rPr>
                <w:rFonts w:ascii="Calibri" w:hAnsi="Calibri"/>
                <w:b w:val="0"/>
                <w:color w:val="1A1F26"/>
                <w:sz w:val="19"/>
              </w:rPr>
              <w:t>57,116</w:t>
            </w:r>
          </w:p>
        </w:tc>
        <w:tc>
          <w:tcPr>
            <w:tcW w:type="dxa" w:w="1344"/>
          </w:tcPr>
          <w:p>
            <w:pPr>
              <w:jc w:val="right"/>
            </w:pPr>
            <w:r>
              <w:rPr>
                <w:rFonts w:ascii="Calibri" w:hAnsi="Calibri"/>
                <w:b/>
                <w:color w:val="1A1F26"/>
                <w:sz w:val="19"/>
              </w:rPr>
              <w:t>0.041</w:t>
            </w:r>
          </w:p>
        </w:tc>
        <w:tc>
          <w:tcPr>
            <w:tcW w:type="dxa" w:w="1344"/>
          </w:tcPr>
          <w:p>
            <w:pPr>
              <w:jc w:val="right"/>
            </w:pPr>
            <w:r>
              <w:rPr>
                <w:rFonts w:ascii="Calibri" w:hAnsi="Calibri"/>
                <w:b w:val="0"/>
                <w:color w:val="1A1F26"/>
                <w:sz w:val="19"/>
              </w:rPr>
              <w:t>+0.075</w:t>
            </w:r>
          </w:p>
        </w:tc>
        <w:tc>
          <w:tcPr>
            <w:tcW w:type="dxa" w:w="1344"/>
          </w:tcPr>
          <w:p>
            <w:pPr>
              <w:jc w:val="right"/>
            </w:pPr>
            <w:r>
              <w:rPr>
                <w:rFonts w:ascii="Calibri" w:hAnsi="Calibri"/>
                <w:b w:val="0"/>
                <w:color w:val="1A1F26"/>
                <w:sz w:val="19"/>
              </w:rPr>
              <w:t>1.4</w:t>
            </w:r>
          </w:p>
        </w:tc>
        <w:tc>
          <w:tcPr>
            <w:tcW w:type="dxa" w:w="1344"/>
          </w:tcPr>
          <w:p>
            <w:pPr>
              <w:jc w:val="right"/>
            </w:pPr>
            <w:r>
              <w:rPr>
                <w:rFonts w:ascii="Calibri" w:hAnsi="Calibri"/>
                <w:b w:val="0"/>
                <w:color w:val="1A1F26"/>
                <w:sz w:val="19"/>
              </w:rPr>
              <w:t>98.9</w:t>
            </w:r>
          </w:p>
        </w:tc>
      </w:tr>
      <w:tr>
        <w:trPr>
          <w:cantSplit/>
        </w:trPr>
        <w:tc>
          <w:tcPr>
            <w:tcW w:type="dxa" w:w="1344"/>
          </w:tcPr>
          <w:p>
            <w:pPr>
              <w:jc w:val="right"/>
            </w:pPr>
            <w:r>
              <w:rPr>
                <w:rFonts w:ascii="Calibri" w:hAnsi="Calibri"/>
                <w:b w:val="0"/>
                <w:color w:val="1A1F26"/>
                <w:sz w:val="19"/>
              </w:rPr>
              <w:t>4.0</w:t>
            </w:r>
          </w:p>
        </w:tc>
        <w:tc>
          <w:tcPr>
            <w:tcW w:type="dxa" w:w="1344"/>
          </w:tcPr>
          <w:p>
            <w:pPr>
              <w:jc w:val="right"/>
            </w:pPr>
            <w:r>
              <w:rPr>
                <w:rFonts w:ascii="Calibri" w:hAnsi="Calibri"/>
                <w:b w:val="0"/>
                <w:color w:val="1A1F26"/>
                <w:sz w:val="19"/>
              </w:rPr>
              <w:t>57</w:t>
            </w:r>
          </w:p>
        </w:tc>
        <w:tc>
          <w:tcPr>
            <w:tcW w:type="dxa" w:w="1344"/>
          </w:tcPr>
          <w:p>
            <w:pPr>
              <w:jc w:val="right"/>
            </w:pPr>
            <w:r>
              <w:rPr>
                <w:rFonts w:ascii="Calibri" w:hAnsi="Calibri"/>
                <w:b w:val="0"/>
                <w:color w:val="1A1F26"/>
                <w:sz w:val="19"/>
              </w:rPr>
              <w:t>57,111</w:t>
            </w:r>
          </w:p>
        </w:tc>
        <w:tc>
          <w:tcPr>
            <w:tcW w:type="dxa" w:w="1344"/>
          </w:tcPr>
          <w:p>
            <w:pPr>
              <w:jc w:val="right"/>
            </w:pPr>
            <w:r>
              <w:rPr>
                <w:rFonts w:ascii="Calibri" w:hAnsi="Calibri"/>
                <w:b/>
                <w:color w:val="1A1F26"/>
                <w:sz w:val="19"/>
              </w:rPr>
              <w:t>0.040</w:t>
            </w:r>
          </w:p>
        </w:tc>
        <w:tc>
          <w:tcPr>
            <w:tcW w:type="dxa" w:w="1344"/>
          </w:tcPr>
          <w:p>
            <w:pPr>
              <w:jc w:val="right"/>
            </w:pPr>
            <w:r>
              <w:rPr>
                <w:rFonts w:ascii="Calibri" w:hAnsi="Calibri"/>
                <w:b w:val="0"/>
                <w:color w:val="1A1F26"/>
                <w:sz w:val="19"/>
              </w:rPr>
              <w:t>+0.070</w:t>
            </w:r>
          </w:p>
        </w:tc>
        <w:tc>
          <w:tcPr>
            <w:tcW w:type="dxa" w:w="1344"/>
          </w:tcPr>
          <w:p>
            <w:pPr>
              <w:jc w:val="right"/>
            </w:pPr>
            <w:r>
              <w:rPr>
                <w:rFonts w:ascii="Calibri" w:hAnsi="Calibri"/>
                <w:b w:val="0"/>
                <w:color w:val="1A1F26"/>
                <w:sz w:val="19"/>
              </w:rPr>
              <w:t>1.0</w:t>
            </w:r>
          </w:p>
        </w:tc>
        <w:tc>
          <w:tcPr>
            <w:tcW w:type="dxa" w:w="1344"/>
          </w:tcPr>
          <w:p>
            <w:pPr>
              <w:jc w:val="right"/>
            </w:pPr>
            <w:r>
              <w:rPr>
                <w:rFonts w:ascii="Calibri" w:hAnsi="Calibri"/>
                <w:b w:val="0"/>
                <w:color w:val="1A1F26"/>
                <w:sz w:val="19"/>
              </w:rPr>
              <w:t>98.6</w:t>
            </w:r>
          </w:p>
        </w:tc>
      </w:tr>
    </w:tbl>
    <w:p/>
    <w:p>
      <w:pPr>
        <w:keepNext/>
        <w:spacing w:after="140" w:before="120"/>
      </w:pPr>
      <w:r>
        <w:rPr>
          <w:rFonts w:ascii="Calibri" w:hAnsi="Calibri"/>
          <w:b/>
          <w:color w:val="1A1F26"/>
          <w:sz w:val="20"/>
        </w:rPr>
        <w:t>Figure 2</w:t>
      </w:r>
      <w:r>
        <w:rPr>
          <w:rFonts w:ascii="Calibri" w:hAnsi="Calibri"/>
          <w:b w:val="0"/>
          <w:color w:val="1A1F26"/>
          <w:sz w:val="20"/>
        </w:rPr>
        <w:t xml:space="preserve"> — Stability, offset and relative stability against setpoint.</w:t>
      </w:r>
    </w:p>
    <w:p>
      <w:pPr>
        <w:jc w:val="center"/>
      </w:pPr>
      <w:r>
        <w:drawing>
          <wp:inline xmlns:a="http://schemas.openxmlformats.org/drawingml/2006/main" xmlns:pic="http://schemas.openxmlformats.org/drawingml/2006/picture">
            <wp:extent cx="5940000" cy="1629432"/>
            <wp:docPr id="2" name="Picture 2"/>
            <wp:cNvGraphicFramePr>
              <a:graphicFrameLocks noChangeAspect="1"/>
            </wp:cNvGraphicFramePr>
            <a:graphic>
              <a:graphicData uri="http://schemas.openxmlformats.org/drawingml/2006/picture">
                <pic:pic>
                  <pic:nvPicPr>
                    <pic:cNvPr id="0" name="fig2_hold_quality.png"/>
                    <pic:cNvPicPr/>
                  </pic:nvPicPr>
                  <pic:blipFill>
                    <a:blip r:embed="rId10"/>
                    <a:stretch>
                      <a:fillRect/>
                    </a:stretch>
                  </pic:blipFill>
                  <pic:spPr>
                    <a:xfrm>
                      <a:off x="0" y="0"/>
                      <a:ext cx="5940000" cy="1629432"/>
                    </a:xfrm>
                    <a:prstGeom prst="rect"/>
                  </pic:spPr>
                </pic:pic>
              </a:graphicData>
            </a:graphic>
          </wp:inline>
        </w:drawing>
      </w:r>
    </w:p>
    <w:p/>
    <w:p>
      <w:pPr>
        <w:spacing w:after="140"/>
      </w:pPr>
      <w:r>
        <w:rPr>
          <w:rFonts w:ascii="Calibri" w:hAnsi="Calibri"/>
          <w:b w:val="0"/>
          <w:color w:val="1A1F26"/>
          <w:sz w:val="20"/>
        </w:rPr>
        <w:t>Hold SD is 0.022–0.065 N across a setpoint range of 0.5–4.0 N, with no trend against setpoint. In relative terms the loop is tighter at higher forces — 1.0–1.4 % of setpoint above 2 N — because the noise floor is fixed by the sensor rather than by the controller. Tracking offset from the operating point stays within 0.10 N at every setpoint.</w:t>
      </w:r>
    </w:p>
    <w:p>
      <w:pPr>
        <w:spacing w:before="280" w:after="120"/>
      </w:pPr>
      <w:r>
        <w:rPr>
          <w:rFonts w:ascii="Calibri" w:hAnsi="Calibri"/>
          <w:b/>
          <w:color w:val="1F3A5F"/>
          <w:sz w:val="25"/>
        </w:rPr>
        <w:t>3. Disturbance rejection</w:t>
      </w:r>
    </w:p>
    <w:p>
      <w:pPr>
        <w:keepNext/>
        <w:spacing w:after="140" w:before="120"/>
      </w:pPr>
      <w:r>
        <w:rPr>
          <w:rFonts w:ascii="Calibri" w:hAnsi="Calibri"/>
          <w:b/>
          <w:color w:val="1A1F26"/>
          <w:sz w:val="20"/>
        </w:rPr>
        <w:t>Figure 3</w:t>
      </w:r>
      <w:r>
        <w:rPr>
          <w:rFonts w:ascii="Calibri" w:hAnsi="Calibri"/>
          <w:b w:val="0"/>
          <w:color w:val="1A1F26"/>
          <w:sz w:val="20"/>
        </w:rPr>
        <w:t xml:space="preserve"> — Force change aligned on each 150 mL injection, and the time taken to return inside the band.</w:t>
      </w:r>
    </w:p>
    <w:p>
      <w:pPr>
        <w:jc w:val="center"/>
      </w:pPr>
      <w:r>
        <w:drawing>
          <wp:inline xmlns:a="http://schemas.openxmlformats.org/drawingml/2006/main" xmlns:pic="http://schemas.openxmlformats.org/drawingml/2006/picture">
            <wp:extent cx="5580000" cy="1806330"/>
            <wp:docPr id="3" name="Picture 3"/>
            <wp:cNvGraphicFramePr>
              <a:graphicFrameLocks noChangeAspect="1"/>
            </wp:cNvGraphicFramePr>
            <a:graphic>
              <a:graphicData uri="http://schemas.openxmlformats.org/drawingml/2006/picture">
                <pic:pic>
                  <pic:nvPicPr>
                    <pic:cNvPr id="0" name="fig3_disturbance_response.png"/>
                    <pic:cNvPicPr/>
                  </pic:nvPicPr>
                  <pic:blipFill>
                    <a:blip r:embed="rId11"/>
                    <a:stretch>
                      <a:fillRect/>
                    </a:stretch>
                  </pic:blipFill>
                  <pic:spPr>
                    <a:xfrm>
                      <a:off x="0" y="0"/>
                      <a:ext cx="5580000" cy="1806330"/>
                    </a:xfrm>
                    <a:prstGeom prst="rect"/>
                  </pic:spPr>
                </pic:pic>
              </a:graphicData>
            </a:graphic>
          </wp:inline>
        </w:drawing>
      </w:r>
    </w:p>
    <w:p/>
    <w:p>
      <w:pPr>
        <w:keepNext/>
        <w:spacing w:after="140" w:before="120"/>
      </w:pPr>
      <w:r>
        <w:rPr>
          <w:rFonts w:ascii="Calibri" w:hAnsi="Calibri"/>
          <w:b/>
          <w:color w:val="1A1F26"/>
          <w:sz w:val="20"/>
        </w:rPr>
        <w:t>Table 3 — Band excursions</w:t>
      </w:r>
    </w:p>
    <w:tbl>
      <w:tblPr>
        <w:tblW w:type="auto" w:w="0"/>
        <w:jc w:val="center"/>
        <w:tblLayout w:type="fixed"/>
        <w:tblLook w:firstColumn="1" w:firstRow="1" w:lastColumn="0" w:lastRow="0" w:noHBand="0" w:noVBand="1" w:val="04A0"/>
        <w:tblBorders>
          <w:top w:val="single" w:sz="8" w:color="1A1F26"/>
          <w:bottom w:val="single" w:sz="8" w:color="1A1F26"/>
          <w:insideH w:val="single" w:sz="4" w:color="C7CCD1"/>
          <w:left w:val="none"/>
          <w:right w:val="none"/>
          <w:insideV w:val="none"/>
        </w:tblBorders>
        <w:tblLayout w:type="fixed"/>
      </w:tblPr>
      <w:tblGrid>
        <w:gridCol w:w="2494"/>
        <w:gridCol w:w="1152"/>
        <w:gridCol w:w="1152"/>
        <w:gridCol w:w="1152"/>
        <w:gridCol w:w="1152"/>
        <w:gridCol w:w="1152"/>
        <w:gridCol w:w="1152"/>
      </w:tblGrid>
      <w:tr>
        <w:trPr>
          <w:cantSplit/>
        </w:trPr>
        <w:tc>
          <w:tcPr>
            <w:tcW w:type="dxa" w:w="2494"/>
            <w:shd w:val="clear" w:fill="E8EEF4"/>
          </w:tcPr>
          <w:p>
            <w:pPr>
              <w:jc w:val="left"/>
            </w:pPr>
            <w:r/>
            <w:r>
              <w:rPr>
                <w:rFonts w:ascii="Calibri" w:hAnsi="Calibri"/>
                <w:b/>
                <w:color w:val="1F3A5F"/>
                <w:sz w:val="17"/>
              </w:rPr>
              <w:t>Run</w:t>
            </w:r>
          </w:p>
        </w:tc>
        <w:tc>
          <w:tcPr>
            <w:tcW w:type="dxa" w:w="1153"/>
            <w:shd w:val="clear" w:fill="E8EEF4"/>
          </w:tcPr>
          <w:p>
            <w:pPr>
              <w:jc w:val="right"/>
            </w:pPr>
            <w:r/>
            <w:r>
              <w:rPr>
                <w:rFonts w:ascii="Calibri" w:hAnsi="Calibri"/>
                <w:b/>
                <w:color w:val="1F3A5F"/>
                <w:sz w:val="17"/>
              </w:rPr>
              <w:t>Setpoint [N]</w:t>
            </w:r>
          </w:p>
        </w:tc>
        <w:tc>
          <w:tcPr>
            <w:tcW w:type="dxa" w:w="1153"/>
            <w:shd w:val="clear" w:fill="E8EEF4"/>
          </w:tcPr>
          <w:p>
            <w:pPr>
              <w:jc w:val="right"/>
            </w:pPr>
            <w:r/>
            <w:r>
              <w:rPr>
                <w:rFonts w:ascii="Calibri" w:hAnsi="Calibri"/>
                <w:b/>
                <w:color w:val="1F3A5F"/>
                <w:sz w:val="17"/>
              </w:rPr>
              <w:t>Band top [N]</w:t>
            </w:r>
          </w:p>
        </w:tc>
        <w:tc>
          <w:tcPr>
            <w:tcW w:type="dxa" w:w="1153"/>
            <w:shd w:val="clear" w:fill="E8EEF4"/>
          </w:tcPr>
          <w:p>
            <w:pPr>
              <w:jc w:val="right"/>
            </w:pPr>
            <w:r/>
            <w:r>
              <w:rPr>
                <w:rFonts w:ascii="Calibri" w:hAnsi="Calibri"/>
                <w:b/>
                <w:color w:val="1F3A5F"/>
                <w:sz w:val="17"/>
              </w:rPr>
              <w:t>Excursions</w:t>
            </w:r>
          </w:p>
        </w:tc>
        <w:tc>
          <w:tcPr>
            <w:tcW w:type="dxa" w:w="1153"/>
            <w:shd w:val="clear" w:fill="E8EEF4"/>
          </w:tcPr>
          <w:p>
            <w:pPr>
              <w:jc w:val="right"/>
            </w:pPr>
            <w:r/>
            <w:r>
              <w:rPr>
                <w:rFonts w:ascii="Calibri" w:hAnsi="Calibri"/>
                <w:b/>
                <w:color w:val="1F3A5F"/>
                <w:sz w:val="17"/>
              </w:rPr>
              <w:t>Median return [s]</w:t>
            </w:r>
          </w:p>
        </w:tc>
        <w:tc>
          <w:tcPr>
            <w:tcW w:type="dxa" w:w="1153"/>
            <w:shd w:val="clear" w:fill="E8EEF4"/>
          </w:tcPr>
          <w:p>
            <w:pPr>
              <w:jc w:val="right"/>
            </w:pPr>
            <w:r/>
            <w:r>
              <w:rPr>
                <w:rFonts w:ascii="Calibri" w:hAnsi="Calibri"/>
                <w:b/>
                <w:color w:val="1F3A5F"/>
                <w:sz w:val="17"/>
              </w:rPr>
              <w:t>Max return [s]</w:t>
            </w:r>
          </w:p>
        </w:tc>
        <w:tc>
          <w:tcPr>
            <w:tcW w:type="dxa" w:w="1153"/>
            <w:shd w:val="clear" w:fill="E8EEF4"/>
          </w:tcPr>
          <w:p>
            <w:pPr>
              <w:jc w:val="right"/>
            </w:pPr>
            <w:r/>
            <w:r>
              <w:rPr>
                <w:rFonts w:ascii="Calibri" w:hAnsi="Calibri"/>
                <w:b/>
                <w:color w:val="1F3A5F"/>
                <w:sz w:val="17"/>
              </w:rPr>
              <w:t>Peak ‖F‖ [N]</w:t>
            </w:r>
          </w:p>
        </w:tc>
      </w:tr>
      <w:tr>
        <w:trPr>
          <w:cantSplit/>
        </w:trPr>
        <w:tc>
          <w:tcPr>
            <w:tcW w:type="dxa" w:w="2494"/>
          </w:tcPr>
          <w:p>
            <w:pPr>
              <w:jc w:val="left"/>
            </w:pPr>
            <w:r>
              <w:rPr>
                <w:rFonts w:ascii="Calibri" w:hAnsi="Calibri"/>
                <w:b w:val="0"/>
                <w:color w:val="1A1F26"/>
                <w:sz w:val="19"/>
              </w:rPr>
              <w:t>Disturbance · 0.5 N</w:t>
            </w:r>
          </w:p>
        </w:tc>
        <w:tc>
          <w:tcPr>
            <w:tcW w:type="dxa" w:w="1153"/>
          </w:tcPr>
          <w:p>
            <w:pPr>
              <w:jc w:val="right"/>
            </w:pPr>
            <w:r>
              <w:rPr>
                <w:rFonts w:ascii="Calibri" w:hAnsi="Calibri"/>
                <w:b w:val="0"/>
                <w:color w:val="1A1F26"/>
                <w:sz w:val="19"/>
              </w:rPr>
              <w:t>0.5</w:t>
            </w:r>
          </w:p>
        </w:tc>
        <w:tc>
          <w:tcPr>
            <w:tcW w:type="dxa" w:w="1153"/>
          </w:tcPr>
          <w:p>
            <w:pPr>
              <w:jc w:val="right"/>
            </w:pPr>
            <w:r>
              <w:rPr>
                <w:rFonts w:ascii="Calibri" w:hAnsi="Calibri"/>
                <w:b w:val="0"/>
                <w:color w:val="1A1F26"/>
                <w:sz w:val="19"/>
              </w:rPr>
              <w:t>0.65</w:t>
            </w:r>
          </w:p>
        </w:tc>
        <w:tc>
          <w:tcPr>
            <w:tcW w:type="dxa" w:w="1153"/>
          </w:tcPr>
          <w:p>
            <w:pPr>
              <w:jc w:val="right"/>
            </w:pPr>
            <w:r>
              <w:rPr>
                <w:rFonts w:ascii="Calibri" w:hAnsi="Calibri"/>
                <w:b w:val="0"/>
                <w:color w:val="1A1F26"/>
                <w:sz w:val="19"/>
              </w:rPr>
              <w:t>5</w:t>
            </w:r>
          </w:p>
        </w:tc>
        <w:tc>
          <w:tcPr>
            <w:tcW w:type="dxa" w:w="1153"/>
          </w:tcPr>
          <w:p>
            <w:pPr>
              <w:jc w:val="right"/>
            </w:pPr>
            <w:r>
              <w:rPr>
                <w:rFonts w:ascii="Calibri" w:hAnsi="Calibri"/>
                <w:b w:val="0"/>
                <w:color w:val="1A1F26"/>
                <w:sz w:val="19"/>
              </w:rPr>
              <w:t>0.19</w:t>
            </w:r>
          </w:p>
        </w:tc>
        <w:tc>
          <w:tcPr>
            <w:tcW w:type="dxa" w:w="1153"/>
          </w:tcPr>
          <w:p>
            <w:pPr>
              <w:jc w:val="right"/>
            </w:pPr>
            <w:r>
              <w:rPr>
                <w:rFonts w:ascii="Calibri" w:hAnsi="Calibri"/>
                <w:b/>
                <w:color w:val="1A1F26"/>
                <w:sz w:val="19"/>
              </w:rPr>
              <w:t>0.56</w:t>
            </w:r>
          </w:p>
        </w:tc>
        <w:tc>
          <w:tcPr>
            <w:tcW w:type="dxa" w:w="1153"/>
          </w:tcPr>
          <w:p>
            <w:pPr>
              <w:jc w:val="right"/>
            </w:pPr>
            <w:r>
              <w:rPr>
                <w:rFonts w:ascii="Calibri" w:hAnsi="Calibri"/>
                <w:b w:val="0"/>
                <w:color w:val="1A1F26"/>
                <w:sz w:val="19"/>
              </w:rPr>
              <w:t>0.74</w:t>
            </w:r>
          </w:p>
        </w:tc>
      </w:tr>
      <w:tr>
        <w:trPr>
          <w:cantSplit/>
        </w:trPr>
        <w:tc>
          <w:tcPr>
            <w:tcW w:type="dxa" w:w="2494"/>
          </w:tcPr>
          <w:p>
            <w:pPr>
              <w:jc w:val="left"/>
            </w:pPr>
            <w:r>
              <w:rPr>
                <w:rFonts w:ascii="Calibri" w:hAnsi="Calibri"/>
                <w:b w:val="0"/>
                <w:color w:val="1A1F26"/>
                <w:sz w:val="19"/>
              </w:rPr>
              <w:t>Disturbance · 3.0 N</w:t>
            </w:r>
          </w:p>
        </w:tc>
        <w:tc>
          <w:tcPr>
            <w:tcW w:type="dxa" w:w="1153"/>
          </w:tcPr>
          <w:p>
            <w:pPr>
              <w:jc w:val="right"/>
            </w:pPr>
            <w:r>
              <w:rPr>
                <w:rFonts w:ascii="Calibri" w:hAnsi="Calibri"/>
                <w:b w:val="0"/>
                <w:color w:val="1A1F26"/>
                <w:sz w:val="19"/>
              </w:rPr>
              <w:t>3.0</w:t>
            </w:r>
          </w:p>
        </w:tc>
        <w:tc>
          <w:tcPr>
            <w:tcW w:type="dxa" w:w="1153"/>
          </w:tcPr>
          <w:p>
            <w:pPr>
              <w:jc w:val="right"/>
            </w:pPr>
            <w:r>
              <w:rPr>
                <w:rFonts w:ascii="Calibri" w:hAnsi="Calibri"/>
                <w:b w:val="0"/>
                <w:color w:val="1A1F26"/>
                <w:sz w:val="19"/>
              </w:rPr>
              <w:t>3.50</w:t>
            </w:r>
          </w:p>
        </w:tc>
        <w:tc>
          <w:tcPr>
            <w:tcW w:type="dxa" w:w="1153"/>
          </w:tcPr>
          <w:p>
            <w:pPr>
              <w:jc w:val="right"/>
            </w:pPr>
            <w:r>
              <w:rPr>
                <w:rFonts w:ascii="Calibri" w:hAnsi="Calibri"/>
                <w:b w:val="0"/>
                <w:color w:val="1A1F26"/>
                <w:sz w:val="19"/>
              </w:rPr>
              <w:t>8</w:t>
            </w:r>
          </w:p>
        </w:tc>
        <w:tc>
          <w:tcPr>
            <w:tcW w:type="dxa" w:w="1153"/>
          </w:tcPr>
          <w:p>
            <w:pPr>
              <w:jc w:val="right"/>
            </w:pPr>
            <w:r>
              <w:rPr>
                <w:rFonts w:ascii="Calibri" w:hAnsi="Calibri"/>
                <w:b w:val="0"/>
                <w:color w:val="1A1F26"/>
                <w:sz w:val="19"/>
              </w:rPr>
              <w:t>0.54</w:t>
            </w:r>
          </w:p>
        </w:tc>
        <w:tc>
          <w:tcPr>
            <w:tcW w:type="dxa" w:w="1153"/>
          </w:tcPr>
          <w:p>
            <w:pPr>
              <w:jc w:val="right"/>
            </w:pPr>
            <w:r>
              <w:rPr>
                <w:rFonts w:ascii="Calibri" w:hAnsi="Calibri"/>
                <w:b/>
                <w:color w:val="1A1F26"/>
                <w:sz w:val="19"/>
              </w:rPr>
              <w:t>1.05</w:t>
            </w:r>
          </w:p>
        </w:tc>
        <w:tc>
          <w:tcPr>
            <w:tcW w:type="dxa" w:w="1153"/>
          </w:tcPr>
          <w:p>
            <w:pPr>
              <w:jc w:val="right"/>
            </w:pPr>
            <w:r>
              <w:rPr>
                <w:rFonts w:ascii="Calibri" w:hAnsi="Calibri"/>
                <w:b w:val="0"/>
                <w:color w:val="1A1F26"/>
                <w:sz w:val="19"/>
              </w:rPr>
              <w:t>3.92</w:t>
            </w:r>
          </w:p>
        </w:tc>
      </w:tr>
      <w:tr>
        <w:trPr>
          <w:cantSplit/>
        </w:trPr>
        <w:tc>
          <w:tcPr>
            <w:tcW w:type="dxa" w:w="2494"/>
          </w:tcPr>
          <w:p>
            <w:pPr>
              <w:jc w:val="left"/>
            </w:pPr>
            <w:r>
              <w:rPr>
                <w:rFonts w:ascii="Calibri" w:hAnsi="Calibri"/>
                <w:b w:val="0"/>
                <w:color w:val="1A1F26"/>
                <w:sz w:val="19"/>
              </w:rPr>
              <w:t>Hard press · 3.0 N</w:t>
            </w:r>
          </w:p>
        </w:tc>
        <w:tc>
          <w:tcPr>
            <w:tcW w:type="dxa" w:w="1153"/>
          </w:tcPr>
          <w:p>
            <w:pPr>
              <w:jc w:val="right"/>
            </w:pPr>
            <w:r>
              <w:rPr>
                <w:rFonts w:ascii="Calibri" w:hAnsi="Calibri"/>
                <w:b w:val="0"/>
                <w:color w:val="1A1F26"/>
                <w:sz w:val="19"/>
              </w:rPr>
              <w:t>3.0</w:t>
            </w:r>
          </w:p>
        </w:tc>
        <w:tc>
          <w:tcPr>
            <w:tcW w:type="dxa" w:w="1153"/>
          </w:tcPr>
          <w:p>
            <w:pPr>
              <w:jc w:val="right"/>
            </w:pPr>
            <w:r>
              <w:rPr>
                <w:rFonts w:ascii="Calibri" w:hAnsi="Calibri"/>
                <w:b w:val="0"/>
                <w:color w:val="1A1F26"/>
                <w:sz w:val="19"/>
              </w:rPr>
              <w:t>3.50</w:t>
            </w:r>
          </w:p>
        </w:tc>
        <w:tc>
          <w:tcPr>
            <w:tcW w:type="dxa" w:w="1153"/>
          </w:tcPr>
          <w:p>
            <w:pPr>
              <w:jc w:val="right"/>
            </w:pPr>
            <w:r>
              <w:rPr>
                <w:rFonts w:ascii="Calibri" w:hAnsi="Calibri"/>
                <w:b w:val="0"/>
                <w:color w:val="1A1F26"/>
                <w:sz w:val="19"/>
              </w:rPr>
              <w:t>9</w:t>
            </w:r>
          </w:p>
        </w:tc>
        <w:tc>
          <w:tcPr>
            <w:tcW w:type="dxa" w:w="1153"/>
          </w:tcPr>
          <w:p>
            <w:pPr>
              <w:jc w:val="right"/>
            </w:pPr>
            <w:r>
              <w:rPr>
                <w:rFonts w:ascii="Calibri" w:hAnsi="Calibri"/>
                <w:b w:val="0"/>
                <w:color w:val="1A1F26"/>
                <w:sz w:val="19"/>
              </w:rPr>
              <w:t>1.09</w:t>
            </w:r>
          </w:p>
        </w:tc>
        <w:tc>
          <w:tcPr>
            <w:tcW w:type="dxa" w:w="1153"/>
          </w:tcPr>
          <w:p>
            <w:pPr>
              <w:jc w:val="right"/>
            </w:pPr>
            <w:r>
              <w:rPr>
                <w:rFonts w:ascii="Calibri" w:hAnsi="Calibri"/>
                <w:b/>
                <w:color w:val="1A1F26"/>
                <w:sz w:val="19"/>
              </w:rPr>
              <w:t>1.39</w:t>
            </w:r>
          </w:p>
        </w:tc>
        <w:tc>
          <w:tcPr>
            <w:tcW w:type="dxa" w:w="1153"/>
          </w:tcPr>
          <w:p>
            <w:pPr>
              <w:jc w:val="right"/>
            </w:pPr>
            <w:r>
              <w:rPr>
                <w:rFonts w:ascii="Calibri" w:hAnsi="Calibri"/>
                <w:b w:val="0"/>
                <w:color w:val="1A1F26"/>
                <w:sz w:val="19"/>
              </w:rPr>
              <w:t>4.41</w:t>
            </w:r>
          </w:p>
        </w:tc>
      </w:tr>
    </w:tbl>
    <w:p/>
    <w:p>
      <w:pPr>
        <w:spacing w:after="140"/>
      </w:pPr>
      <w:r>
        <w:rPr>
          <w:rFonts w:ascii="Calibri" w:hAnsi="Calibri"/>
          <w:b w:val="0"/>
          <w:color w:val="1A1F26"/>
          <w:sz w:val="20"/>
        </w:rPr>
        <w:t>Twenty-two excursions were recorded across the three runs. Every one returned inside the band, the slowest in 1.39 s and the median in 0.19–1.09 s depending on setpoint.</w:t>
      </w:r>
    </w:p>
    <w:p>
      <w:pPr>
        <w:keepNext/>
        <w:spacing w:after="140" w:before="120"/>
      </w:pPr>
      <w:r>
        <w:rPr>
          <w:rFonts w:ascii="Calibri" w:hAnsi="Calibri"/>
          <w:b/>
          <w:color w:val="1A1F26"/>
          <w:sz w:val="20"/>
        </w:rPr>
        <w:t>Figure 4</w:t>
      </w:r>
      <w:r>
        <w:rPr>
          <w:rFonts w:ascii="Calibri" w:hAnsi="Calibri"/>
          <w:b w:val="0"/>
          <w:color w:val="1A1F26"/>
          <w:sz w:val="20"/>
        </w:rPr>
        <w:t xml:space="preserve"> — Longest continuous time spent above a given force, and the hardest-pressed run.</w:t>
      </w:r>
    </w:p>
    <w:p>
      <w:pPr>
        <w:jc w:val="center"/>
      </w:pPr>
      <w:r>
        <w:drawing>
          <wp:inline xmlns:a="http://schemas.openxmlformats.org/drawingml/2006/main" xmlns:pic="http://schemas.openxmlformats.org/drawingml/2006/picture">
            <wp:extent cx="5580000" cy="1833141"/>
            <wp:docPr id="4" name="Picture 4"/>
            <wp:cNvGraphicFramePr>
              <a:graphicFrameLocks noChangeAspect="1"/>
            </wp:cNvGraphicFramePr>
            <a:graphic>
              <a:graphicData uri="http://schemas.openxmlformats.org/drawingml/2006/picture">
                <pic:pic>
                  <pic:nvPicPr>
                    <pic:cNvPr id="0" name="fig4_force_exposure.png"/>
                    <pic:cNvPicPr/>
                  </pic:nvPicPr>
                  <pic:blipFill>
                    <a:blip r:embed="rId12"/>
                    <a:stretch>
                      <a:fillRect/>
                    </a:stretch>
                  </pic:blipFill>
                  <pic:spPr>
                    <a:xfrm>
                      <a:off x="0" y="0"/>
                      <a:ext cx="5580000" cy="1833141"/>
                    </a:xfrm>
                    <a:prstGeom prst="rect"/>
                  </pic:spPr>
                </pic:pic>
              </a:graphicData>
            </a:graphic>
          </wp:inline>
        </w:drawing>
      </w:r>
    </w:p>
    <w:p/>
    <w:p>
      <w:pPr>
        <w:keepNext/>
        <w:spacing w:after="140" w:before="120"/>
      </w:pPr>
      <w:r>
        <w:rPr>
          <w:rFonts w:ascii="Calibri" w:hAnsi="Calibri"/>
          <w:b/>
          <w:color w:val="1A1F26"/>
          <w:sz w:val="20"/>
        </w:rPr>
        <w:t>Table 4 — Exposure</w:t>
      </w:r>
    </w:p>
    <w:tbl>
      <w:tblPr>
        <w:tblW w:type="auto" w:w="0"/>
        <w:jc w:val="center"/>
        <w:tblLayout w:type="fixed"/>
        <w:tblLook w:firstColumn="1" w:firstRow="1" w:lastColumn="0" w:lastRow="0" w:noHBand="0" w:noVBand="1" w:val="04A0"/>
        <w:tblBorders>
          <w:top w:val="single" w:sz="8" w:color="1A1F26"/>
          <w:bottom w:val="single" w:sz="8" w:color="1A1F26"/>
          <w:insideH w:val="single" w:sz="4" w:color="C7CCD1"/>
          <w:left w:val="none"/>
          <w:right w:val="none"/>
          <w:insideV w:val="none"/>
        </w:tblBorders>
        <w:tblLayout w:type="fixed"/>
      </w:tblPr>
      <w:tblGrid>
        <w:gridCol w:w="2494"/>
        <w:gridCol w:w="1383"/>
        <w:gridCol w:w="1383"/>
        <w:gridCol w:w="1383"/>
        <w:gridCol w:w="1383"/>
        <w:gridCol w:w="1383"/>
      </w:tblGrid>
      <w:tr>
        <w:trPr>
          <w:cantSplit/>
        </w:trPr>
        <w:tc>
          <w:tcPr>
            <w:tcW w:type="dxa" w:w="2494"/>
            <w:shd w:val="clear" w:fill="E8EEF4"/>
          </w:tcPr>
          <w:p>
            <w:pPr>
              <w:jc w:val="left"/>
            </w:pPr>
            <w:r/>
            <w:r>
              <w:rPr>
                <w:rFonts w:ascii="Calibri" w:hAnsi="Calibri"/>
                <w:b/>
                <w:color w:val="1F3A5F"/>
                <w:sz w:val="17"/>
              </w:rPr>
              <w:t>Run</w:t>
            </w:r>
          </w:p>
        </w:tc>
        <w:tc>
          <w:tcPr>
            <w:tcW w:type="dxa" w:w="1383"/>
            <w:shd w:val="clear" w:fill="E8EEF4"/>
          </w:tcPr>
          <w:p>
            <w:pPr>
              <w:jc w:val="right"/>
            </w:pPr>
            <w:r/>
            <w:r>
              <w:rPr>
                <w:rFonts w:ascii="Calibri" w:hAnsi="Calibri"/>
                <w:b/>
                <w:color w:val="1F3A5F"/>
                <w:sz w:val="17"/>
              </w:rPr>
              <w:t>Peak ‖F‖ [N]</w:t>
            </w:r>
          </w:p>
        </w:tc>
        <w:tc>
          <w:tcPr>
            <w:tcW w:type="dxa" w:w="1383"/>
            <w:shd w:val="clear" w:fill="E8EEF4"/>
          </w:tcPr>
          <w:p>
            <w:pPr>
              <w:jc w:val="right"/>
            </w:pPr>
            <w:r/>
            <w:r>
              <w:rPr>
                <w:rFonts w:ascii="Calibri" w:hAnsi="Calibri"/>
                <w:b/>
                <w:color w:val="1F3A5F"/>
                <w:sz w:val="17"/>
              </w:rPr>
              <w:t>&gt; 3.5 N</w:t>
            </w:r>
          </w:p>
        </w:tc>
        <w:tc>
          <w:tcPr>
            <w:tcW w:type="dxa" w:w="1383"/>
            <w:shd w:val="clear" w:fill="E8EEF4"/>
          </w:tcPr>
          <w:p>
            <w:pPr>
              <w:jc w:val="right"/>
            </w:pPr>
            <w:r/>
            <w:r>
              <w:rPr>
                <w:rFonts w:ascii="Calibri" w:hAnsi="Calibri"/>
                <w:b/>
                <w:color w:val="1F3A5F"/>
                <w:sz w:val="17"/>
              </w:rPr>
              <w:t>&gt; 4.0 N</w:t>
            </w:r>
          </w:p>
        </w:tc>
        <w:tc>
          <w:tcPr>
            <w:tcW w:type="dxa" w:w="1383"/>
            <w:shd w:val="clear" w:fill="E8EEF4"/>
          </w:tcPr>
          <w:p>
            <w:pPr>
              <w:jc w:val="right"/>
            </w:pPr>
            <w:r/>
            <w:r>
              <w:rPr>
                <w:rFonts w:ascii="Calibri" w:hAnsi="Calibri"/>
                <w:b/>
                <w:color w:val="1F3A5F"/>
                <w:sz w:val="17"/>
              </w:rPr>
              <w:t>&gt; 4.5 N (warn)</w:t>
            </w:r>
          </w:p>
        </w:tc>
        <w:tc>
          <w:tcPr>
            <w:tcW w:type="dxa" w:w="1383"/>
            <w:shd w:val="clear" w:fill="E8EEF4"/>
          </w:tcPr>
          <w:p>
            <w:pPr>
              <w:jc w:val="right"/>
            </w:pPr>
            <w:r/>
            <w:r>
              <w:rPr>
                <w:rFonts w:ascii="Calibri" w:hAnsi="Calibri"/>
                <w:b/>
                <w:color w:val="1F3A5F"/>
                <w:sz w:val="17"/>
              </w:rPr>
              <w:t>&gt; 5.0 N (limit)</w:t>
            </w:r>
          </w:p>
        </w:tc>
      </w:tr>
      <w:tr>
        <w:trPr>
          <w:cantSplit/>
        </w:trPr>
        <w:tc>
          <w:tcPr>
            <w:tcW w:type="dxa" w:w="2494"/>
          </w:tcPr>
          <w:p>
            <w:pPr>
              <w:jc w:val="left"/>
            </w:pPr>
            <w:r>
              <w:rPr>
                <w:rFonts w:ascii="Calibri" w:hAnsi="Calibri"/>
                <w:b w:val="0"/>
                <w:color w:val="1A1F26"/>
                <w:sz w:val="19"/>
              </w:rPr>
              <w:t>Disturbance · 0.5 N</w:t>
            </w:r>
          </w:p>
        </w:tc>
        <w:tc>
          <w:tcPr>
            <w:tcW w:type="dxa" w:w="1383"/>
          </w:tcPr>
          <w:p>
            <w:pPr>
              <w:jc w:val="right"/>
            </w:pPr>
            <w:r>
              <w:rPr>
                <w:rFonts w:ascii="Calibri" w:hAnsi="Calibri"/>
                <w:b w:val="0"/>
                <w:color w:val="1A1F26"/>
                <w:sz w:val="19"/>
              </w:rPr>
              <w:t>0.74</w:t>
            </w:r>
          </w:p>
        </w:tc>
        <w:tc>
          <w:tcPr>
            <w:tcW w:type="dxa" w:w="1383"/>
          </w:tcPr>
          <w:p>
            <w:pPr>
              <w:jc w:val="right"/>
            </w:pPr>
            <w:r>
              <w:rPr>
                <w:rFonts w:ascii="Calibri" w:hAnsi="Calibri"/>
                <w:b w:val="0"/>
                <w:color w:val="1A1F26"/>
                <w:sz w:val="19"/>
              </w:rPr>
              <w:t>0</w:t>
            </w:r>
          </w:p>
        </w:tc>
        <w:tc>
          <w:tcPr>
            <w:tcW w:type="dxa" w:w="1383"/>
          </w:tcPr>
          <w:p>
            <w:pPr>
              <w:jc w:val="right"/>
            </w:pPr>
            <w:r>
              <w:rPr>
                <w:rFonts w:ascii="Calibri" w:hAnsi="Calibri"/>
                <w:b w:val="0"/>
                <w:color w:val="1A1F26"/>
                <w:sz w:val="19"/>
              </w:rPr>
              <w:t>0</w:t>
            </w:r>
          </w:p>
        </w:tc>
        <w:tc>
          <w:tcPr>
            <w:tcW w:type="dxa" w:w="1383"/>
          </w:tcPr>
          <w:p>
            <w:pPr>
              <w:jc w:val="right"/>
            </w:pPr>
            <w:r>
              <w:rPr>
                <w:rFonts w:ascii="Calibri" w:hAnsi="Calibri"/>
                <w:b w:val="0"/>
                <w:color w:val="1A1F26"/>
                <w:sz w:val="19"/>
              </w:rPr>
              <w:t>0</w:t>
            </w:r>
          </w:p>
        </w:tc>
        <w:tc>
          <w:tcPr>
            <w:tcW w:type="dxa" w:w="1383"/>
          </w:tcPr>
          <w:p>
            <w:pPr>
              <w:jc w:val="right"/>
            </w:pPr>
            <w:r>
              <w:rPr>
                <w:rFonts w:ascii="Calibri" w:hAnsi="Calibri"/>
                <w:b w:val="0"/>
                <w:color w:val="1A1F26"/>
                <w:sz w:val="19"/>
              </w:rPr>
              <w:t>0</w:t>
            </w:r>
          </w:p>
        </w:tc>
      </w:tr>
      <w:tr>
        <w:trPr>
          <w:cantSplit/>
        </w:trPr>
        <w:tc>
          <w:tcPr>
            <w:tcW w:type="dxa" w:w="2494"/>
          </w:tcPr>
          <w:p>
            <w:pPr>
              <w:jc w:val="left"/>
            </w:pPr>
            <w:r>
              <w:rPr>
                <w:rFonts w:ascii="Calibri" w:hAnsi="Calibri"/>
                <w:b w:val="0"/>
                <w:color w:val="1A1F26"/>
                <w:sz w:val="19"/>
              </w:rPr>
              <w:t>Disturbance · 3.0 N</w:t>
            </w:r>
          </w:p>
        </w:tc>
        <w:tc>
          <w:tcPr>
            <w:tcW w:type="dxa" w:w="1383"/>
          </w:tcPr>
          <w:p>
            <w:pPr>
              <w:jc w:val="right"/>
            </w:pPr>
            <w:r>
              <w:rPr>
                <w:rFonts w:ascii="Calibri" w:hAnsi="Calibri"/>
                <w:b w:val="0"/>
                <w:color w:val="1A1F26"/>
                <w:sz w:val="19"/>
              </w:rPr>
              <w:t>3.92</w:t>
            </w:r>
          </w:p>
        </w:tc>
        <w:tc>
          <w:tcPr>
            <w:tcW w:type="dxa" w:w="1383"/>
          </w:tcPr>
          <w:p>
            <w:pPr>
              <w:jc w:val="right"/>
            </w:pPr>
            <w:r>
              <w:rPr>
                <w:rFonts w:ascii="Calibri" w:hAnsi="Calibri"/>
                <w:b w:val="0"/>
                <w:color w:val="1A1F26"/>
                <w:sz w:val="19"/>
              </w:rPr>
              <w:t>1.05</w:t>
            </w:r>
          </w:p>
        </w:tc>
        <w:tc>
          <w:tcPr>
            <w:tcW w:type="dxa" w:w="1383"/>
          </w:tcPr>
          <w:p>
            <w:pPr>
              <w:jc w:val="right"/>
            </w:pPr>
            <w:r>
              <w:rPr>
                <w:rFonts w:ascii="Calibri" w:hAnsi="Calibri"/>
                <w:b w:val="0"/>
                <w:color w:val="1A1F26"/>
                <w:sz w:val="19"/>
              </w:rPr>
              <w:t>0</w:t>
            </w:r>
          </w:p>
        </w:tc>
        <w:tc>
          <w:tcPr>
            <w:tcW w:type="dxa" w:w="1383"/>
          </w:tcPr>
          <w:p>
            <w:pPr>
              <w:jc w:val="right"/>
            </w:pPr>
            <w:r>
              <w:rPr>
                <w:rFonts w:ascii="Calibri" w:hAnsi="Calibri"/>
                <w:b w:val="0"/>
                <w:color w:val="1A1F26"/>
                <w:sz w:val="19"/>
              </w:rPr>
              <w:t>0</w:t>
            </w:r>
          </w:p>
        </w:tc>
        <w:tc>
          <w:tcPr>
            <w:tcW w:type="dxa" w:w="1383"/>
          </w:tcPr>
          <w:p>
            <w:pPr>
              <w:jc w:val="right"/>
            </w:pPr>
            <w:r>
              <w:rPr>
                <w:rFonts w:ascii="Calibri" w:hAnsi="Calibri"/>
                <w:b w:val="0"/>
                <w:color w:val="1A1F26"/>
                <w:sz w:val="19"/>
              </w:rPr>
              <w:t>0</w:t>
            </w:r>
          </w:p>
        </w:tc>
      </w:tr>
      <w:tr>
        <w:trPr>
          <w:cantSplit/>
        </w:trPr>
        <w:tc>
          <w:tcPr>
            <w:tcW w:type="dxa" w:w="2494"/>
          </w:tcPr>
          <w:p>
            <w:pPr>
              <w:jc w:val="left"/>
            </w:pPr>
            <w:r>
              <w:rPr>
                <w:rFonts w:ascii="Calibri" w:hAnsi="Calibri"/>
                <w:b w:val="0"/>
                <w:color w:val="1A1F26"/>
                <w:sz w:val="19"/>
              </w:rPr>
              <w:t>Hard press · 3.0 N</w:t>
            </w:r>
          </w:p>
        </w:tc>
        <w:tc>
          <w:tcPr>
            <w:tcW w:type="dxa" w:w="1383"/>
          </w:tcPr>
          <w:p>
            <w:pPr>
              <w:jc w:val="right"/>
            </w:pPr>
            <w:r>
              <w:rPr>
                <w:rFonts w:ascii="Calibri" w:hAnsi="Calibri"/>
                <w:b w:val="0"/>
                <w:color w:val="1A1F26"/>
                <w:sz w:val="19"/>
              </w:rPr>
              <w:t>4.41</w:t>
            </w:r>
          </w:p>
        </w:tc>
        <w:tc>
          <w:tcPr>
            <w:tcW w:type="dxa" w:w="1383"/>
          </w:tcPr>
          <w:p>
            <w:pPr>
              <w:jc w:val="right"/>
            </w:pPr>
            <w:r>
              <w:rPr>
                <w:rFonts w:ascii="Calibri" w:hAnsi="Calibri"/>
                <w:b w:val="0"/>
                <w:color w:val="1A1F26"/>
                <w:sz w:val="19"/>
              </w:rPr>
              <w:t>1.39</w:t>
            </w:r>
          </w:p>
        </w:tc>
        <w:tc>
          <w:tcPr>
            <w:tcW w:type="dxa" w:w="1383"/>
          </w:tcPr>
          <w:p>
            <w:pPr>
              <w:jc w:val="right"/>
            </w:pPr>
            <w:r>
              <w:rPr>
                <w:rFonts w:ascii="Calibri" w:hAnsi="Calibri"/>
                <w:b w:val="0"/>
                <w:color w:val="1A1F26"/>
                <w:sz w:val="19"/>
              </w:rPr>
              <w:t>0.79</w:t>
            </w:r>
          </w:p>
        </w:tc>
        <w:tc>
          <w:tcPr>
            <w:tcW w:type="dxa" w:w="1383"/>
          </w:tcPr>
          <w:p>
            <w:pPr>
              <w:jc w:val="right"/>
            </w:pPr>
            <w:r>
              <w:rPr>
                <w:rFonts w:ascii="Calibri" w:hAnsi="Calibri"/>
                <w:b w:val="0"/>
                <w:color w:val="1A1F26"/>
                <w:sz w:val="19"/>
              </w:rPr>
              <w:t>0</w:t>
            </w:r>
          </w:p>
        </w:tc>
        <w:tc>
          <w:tcPr>
            <w:tcW w:type="dxa" w:w="1383"/>
          </w:tcPr>
          <w:p>
            <w:pPr>
              <w:jc w:val="right"/>
            </w:pPr>
            <w:r>
              <w:rPr>
                <w:rFonts w:ascii="Calibri" w:hAnsi="Calibri"/>
                <w:b w:val="0"/>
                <w:color w:val="1A1F26"/>
                <w:sz w:val="19"/>
              </w:rPr>
              <w:t>0</w:t>
            </w:r>
          </w:p>
        </w:tc>
      </w:tr>
    </w:tbl>
    <w:p/>
    <w:p>
      <w:pPr>
        <w:spacing w:after="140"/>
      </w:pPr>
      <w:r>
        <w:rPr>
          <w:rFonts w:ascii="Calibri" w:hAnsi="Calibri"/>
          <w:b w:val="0"/>
          <w:color w:val="1A1F26"/>
          <w:sz w:val="20"/>
        </w:rPr>
        <w:t>Peak force reached 4.41 N against a 5.0 N limit. Time spent continuously above the 4.5 N warning level was zero in every run.</w:t>
      </w:r>
    </w:p>
    <w:p>
      <w:pPr>
        <w:spacing w:before="280" w:after="120"/>
      </w:pPr>
      <w:r>
        <w:rPr>
          <w:rFonts w:ascii="Calibri" w:hAnsi="Calibri"/>
          <w:b/>
          <w:color w:val="1F3A5F"/>
          <w:sz w:val="25"/>
        </w:rPr>
        <w:t>4. Direct evidence of regulation</w:t>
      </w:r>
    </w:p>
    <w:p>
      <w:pPr>
        <w:keepNext/>
        <w:spacing w:after="140" w:before="120"/>
      </w:pPr>
      <w:r>
        <w:rPr>
          <w:rFonts w:ascii="Calibri" w:hAnsi="Calibri"/>
          <w:b/>
          <w:color w:val="1A1F26"/>
          <w:sz w:val="20"/>
        </w:rPr>
        <w:t>Figure 5</w:t>
      </w:r>
      <w:r>
        <w:rPr>
          <w:rFonts w:ascii="Calibri" w:hAnsi="Calibri"/>
          <w:b w:val="0"/>
          <w:color w:val="1A1F26"/>
          <w:sz w:val="20"/>
        </w:rPr>
        <w:t xml:space="preserve"> — Contact force and probe axial travel during the disturbance run.</w:t>
      </w:r>
    </w:p>
    <w:p>
      <w:pPr>
        <w:jc w:val="center"/>
      </w:pPr>
      <w:r>
        <w:drawing>
          <wp:inline xmlns:a="http://schemas.openxmlformats.org/drawingml/2006/main" xmlns:pic="http://schemas.openxmlformats.org/drawingml/2006/picture">
            <wp:extent cx="5580000" cy="1837068"/>
            <wp:docPr id="5" name="Picture 5"/>
            <wp:cNvGraphicFramePr>
              <a:graphicFrameLocks noChangeAspect="1"/>
            </wp:cNvGraphicFramePr>
            <a:graphic>
              <a:graphicData uri="http://schemas.openxmlformats.org/drawingml/2006/picture">
                <pic:pic>
                  <pic:nvPicPr>
                    <pic:cNvPr id="0" name="fig5_probe_travel.png"/>
                    <pic:cNvPicPr/>
                  </pic:nvPicPr>
                  <pic:blipFill>
                    <a:blip r:embed="rId13"/>
                    <a:stretch>
                      <a:fillRect/>
                    </a:stretch>
                  </pic:blipFill>
                  <pic:spPr>
                    <a:xfrm>
                      <a:off x="0" y="0"/>
                      <a:ext cx="5580000" cy="1837068"/>
                    </a:xfrm>
                    <a:prstGeom prst="rect"/>
                  </pic:spPr>
                </pic:pic>
              </a:graphicData>
            </a:graphic>
          </wp:inline>
        </w:drawing>
      </w:r>
    </w:p>
    <w:p/>
    <w:p>
      <w:pPr>
        <w:spacing w:after="140"/>
      </w:pPr>
      <w:r>
        <w:rPr>
          <w:rFonts w:ascii="Calibri" w:hAnsi="Calibri"/>
          <w:b w:val="0"/>
          <w:color w:val="1A1F26"/>
          <w:sz w:val="20"/>
        </w:rPr>
        <w:t>The arm moves against the disturbance. Each injection lifts the phantom surface into the probe; the force rises, the probe retreats, and the force returns to the band. Over the run the probe travels 2.29 mm along its penetration axis while the force stays within 3.0 ± 0.5 N — the displacement is the volume the loop absorbed.</w:t>
      </w:r>
    </w:p>
    <w:p>
      <w:pPr>
        <w:spacing w:before="280" w:after="120"/>
      </w:pPr>
      <w:r>
        <w:rPr>
          <w:rFonts w:ascii="Calibri" w:hAnsi="Calibri"/>
          <w:b/>
          <w:color w:val="1F3A5F"/>
          <w:sz w:val="25"/>
        </w:rPr>
        <w:t>5. What this establishes</w:t>
      </w:r>
    </w:p>
    <w:p>
      <w:pPr>
        <w:pStyle w:val="ListBullet"/>
        <w:spacing w:after="80"/>
      </w:pPr>
      <w:r>
        <w:rPr>
          <w:rFonts w:ascii="Calibri" w:hAnsi="Calibri"/>
          <w:b w:val="0"/>
          <w:color w:val="1A1F26"/>
          <w:sz w:val="20"/>
        </w:rPr>
        <w:t xml:space="preserve">The loop </w:t>
      </w:r>
      <w:r>
        <w:rPr>
          <w:rFonts w:ascii="Calibri" w:hAnsi="Calibri"/>
          <w:b/>
          <w:color w:val="1A1F26"/>
          <w:sz w:val="20"/>
        </w:rPr>
        <w:t>holds a commanded contact force</w:t>
      </w:r>
      <w:r>
        <w:rPr>
          <w:rFonts w:ascii="Calibri" w:hAnsi="Calibri"/>
          <w:b w:val="0"/>
          <w:color w:val="1A1F26"/>
          <w:sz w:val="20"/>
        </w:rPr>
        <w:t xml:space="preserve"> from 0.5 N to 4.0 N with a stability of 0.02–0.07 N, set by the sensor noise floor rather than by the controller.</w:t>
      </w:r>
    </w:p>
    <w:p>
      <w:pPr>
        <w:pStyle w:val="ListBullet"/>
        <w:spacing w:after="80"/>
      </w:pPr>
      <w:r>
        <w:rPr>
          <w:rFonts w:ascii="Calibri" w:hAnsi="Calibri"/>
          <w:b w:val="0"/>
          <w:color w:val="1A1F26"/>
          <w:sz w:val="20"/>
        </w:rPr>
        <w:t xml:space="preserve">Holding stability is </w:t>
      </w:r>
      <w:r>
        <w:rPr>
          <w:rFonts w:ascii="Calibri" w:hAnsi="Calibri"/>
          <w:b/>
          <w:color w:val="1A1F26"/>
          <w:sz w:val="20"/>
        </w:rPr>
        <w:t>flat across the range</w:t>
      </w:r>
      <w:r>
        <w:rPr>
          <w:rFonts w:ascii="Calibri" w:hAnsi="Calibri"/>
          <w:b w:val="0"/>
          <w:color w:val="1A1F26"/>
          <w:sz w:val="20"/>
        </w:rPr>
        <w:t>, so setpoint selection can be driven by imaging requirements rather than by control performance.</w:t>
      </w:r>
    </w:p>
    <w:p>
      <w:pPr>
        <w:pStyle w:val="ListBullet"/>
        <w:spacing w:after="80"/>
      </w:pPr>
      <w:r>
        <w:rPr>
          <w:rFonts w:ascii="Calibri" w:hAnsi="Calibri"/>
          <w:b w:val="0"/>
          <w:color w:val="1A1F26"/>
          <w:sz w:val="20"/>
        </w:rPr>
        <w:t xml:space="preserve">The loop </w:t>
      </w:r>
      <w:r>
        <w:rPr>
          <w:rFonts w:ascii="Calibri" w:hAnsi="Calibri"/>
          <w:b/>
          <w:color w:val="1A1F26"/>
          <w:sz w:val="20"/>
        </w:rPr>
        <w:t>returns the force to its band after an external disturbance</w:t>
      </w:r>
      <w:r>
        <w:rPr>
          <w:rFonts w:ascii="Calibri" w:hAnsi="Calibri"/>
          <w:b w:val="0"/>
          <w:color w:val="1A1F26"/>
          <w:sz w:val="20"/>
        </w:rPr>
        <w:t>, every time, within 1.4 s.</w:t>
      </w:r>
    </w:p>
    <w:p>
      <w:pPr>
        <w:pStyle w:val="ListBullet"/>
        <w:spacing w:after="80"/>
      </w:pPr>
      <w:r>
        <w:rPr>
          <w:rFonts w:ascii="Calibri" w:hAnsi="Calibri"/>
          <w:b w:val="0"/>
          <w:color w:val="1A1F26"/>
          <w:sz w:val="20"/>
        </w:rPr>
        <w:t xml:space="preserve">Under repeated 150 mL volume changes the force </w:t>
      </w:r>
      <w:r>
        <w:rPr>
          <w:rFonts w:ascii="Calibri" w:hAnsi="Calibri"/>
          <w:b/>
          <w:color w:val="1A1F26"/>
          <w:sz w:val="20"/>
        </w:rPr>
        <w:t>stayed clear of the warning level entirely</w:t>
      </w:r>
      <w:r>
        <w:rPr>
          <w:rFonts w:ascii="Calibri" w:hAnsi="Calibri"/>
          <w:b w:val="0"/>
          <w:color w:val="1A1F26"/>
          <w:sz w:val="20"/>
        </w:rPr>
        <w:t>, with 0.59 N of margin to the hard limit at its worst.</w:t>
      </w:r>
    </w:p>
    <w:p>
      <w:pPr>
        <w:pStyle w:val="ListBullet"/>
        <w:spacing w:after="80"/>
      </w:pPr>
      <w:r>
        <w:rPr>
          <w:rFonts w:ascii="Calibri" w:hAnsi="Calibri"/>
          <w:b w:val="0"/>
          <w:color w:val="1A1F26"/>
          <w:sz w:val="20"/>
        </w:rPr>
        <w:t xml:space="preserve">The mechanism is </w:t>
      </w:r>
      <w:r>
        <w:rPr>
          <w:rFonts w:ascii="Calibri" w:hAnsi="Calibri"/>
          <w:b/>
          <w:color w:val="1A1F26"/>
          <w:sz w:val="20"/>
        </w:rPr>
        <w:t>motion, not tolerance</w:t>
      </w:r>
      <w:r>
        <w:rPr>
          <w:rFonts w:ascii="Calibri" w:hAnsi="Calibri"/>
          <w:b w:val="0"/>
          <w:color w:val="1A1F26"/>
          <w:sz w:val="20"/>
        </w:rPr>
        <w:t>: the probe travels millimetres along its own axis to keep the force constant.</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