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jc w:val="center"/>
      </w:pPr>
      <w:r>
        <w:rPr>
          <w:rFonts w:ascii="Times New Roman" w:hAnsi="Times New Roman"/>
          <w:b/>
          <w:i w:val="0"/>
          <w:sz w:val="24"/>
          <w:u w:val="none"/>
        </w:rPr>
        <w:t>Consistency of Robotic Contact-Force Control for Safe Ultrasound Probing during HoLEP Morcellation: A Dynamic Abdominal Phantom Validation</w:t>
      </w:r>
    </w:p>
    <w:p>
      <w:pPr>
        <w:spacing w:before="0" w:after="60"/>
        <w:ind w:left="0"/>
        <w:jc w:val="center"/>
      </w:pPr>
      <w:r>
        <w:rPr>
          <w:rFonts w:ascii="Times New Roman" w:hAnsi="Times New Roman"/>
          <w:b w:val="0"/>
          <w:i w:val="0"/>
          <w:sz w:val="20"/>
          <w:u w:val="single"/>
        </w:rPr>
        <w:t>Seong Jeong</w:t>
      </w:r>
      <w:r>
        <w:rPr>
          <w:rFonts w:ascii="Times New Roman" w:hAnsi="Times New Roman"/>
          <w:b w:val="0"/>
          <w:i w:val="0"/>
          <w:sz w:val="20"/>
          <w:u w:val="none"/>
          <w:vertAlign w:val="superscript"/>
        </w:rPr>
        <w:t>1,2,3</w:t>
      </w:r>
      <w:r>
        <w:rPr>
          <w:rFonts w:ascii="Times New Roman" w:hAnsi="Times New Roman"/>
          <w:b w:val="0"/>
          <w:i w:val="0"/>
          <w:sz w:val="20"/>
          <w:u w:val="none"/>
        </w:rPr>
        <w:t>, Minsung Kim</w:t>
      </w:r>
      <w:r>
        <w:rPr>
          <w:rFonts w:ascii="Times New Roman" w:hAnsi="Times New Roman"/>
          <w:b w:val="0"/>
          <w:i w:val="0"/>
          <w:sz w:val="20"/>
          <w:u w:val="none"/>
          <w:vertAlign w:val="superscript"/>
        </w:rPr>
        <w:t>2,3,4</w:t>
      </w:r>
      <w:r>
        <w:rPr>
          <w:rFonts w:ascii="Times New Roman" w:hAnsi="Times New Roman"/>
          <w:b w:val="0"/>
          <w:i w:val="0"/>
          <w:sz w:val="20"/>
          <w:u w:val="none"/>
        </w:rPr>
        <w:t>, Dongho Yee</w:t>
      </w:r>
      <w:r>
        <w:rPr>
          <w:rFonts w:ascii="Times New Roman" w:hAnsi="Times New Roman"/>
          <w:b w:val="0"/>
          <w:i w:val="0"/>
          <w:sz w:val="20"/>
          <w:u w:val="none"/>
          <w:vertAlign w:val="superscript"/>
        </w:rPr>
        <w:t>2,3,4</w:t>
      </w:r>
      <w:r>
        <w:rPr>
          <w:rFonts w:ascii="Times New Roman" w:hAnsi="Times New Roman"/>
          <w:b w:val="0"/>
          <w:i w:val="0"/>
          <w:sz w:val="20"/>
          <w:u w:val="none"/>
        </w:rPr>
        <w:t>, Yechan Seo</w:t>
      </w:r>
      <w:r>
        <w:rPr>
          <w:rFonts w:ascii="Times New Roman" w:hAnsi="Times New Roman"/>
          <w:b w:val="0"/>
          <w:i w:val="0"/>
          <w:sz w:val="20"/>
          <w:u w:val="none"/>
          <w:vertAlign w:val="superscript"/>
        </w:rPr>
        <w:t>1,2,3</w:t>
      </w:r>
      <w:r>
        <w:rPr>
          <w:rFonts w:ascii="Times New Roman" w:hAnsi="Times New Roman"/>
          <w:b w:val="0"/>
          <w:i w:val="0"/>
          <w:sz w:val="20"/>
          <w:u w:val="none"/>
        </w:rPr>
        <w:t>, Juahn Oh</w:t>
      </w:r>
      <w:r>
        <w:rPr>
          <w:rFonts w:ascii="Times New Roman" w:hAnsi="Times New Roman"/>
          <w:b w:val="0"/>
          <w:i w:val="0"/>
          <w:sz w:val="20"/>
          <w:u w:val="none"/>
          <w:vertAlign w:val="superscript"/>
        </w:rPr>
        <w:t>1,2,5</w:t>
      </w:r>
      <w:r>
        <w:rPr>
          <w:rFonts w:ascii="Times New Roman" w:hAnsi="Times New Roman"/>
          <w:b w:val="0"/>
          <w:i w:val="0"/>
          <w:sz w:val="20"/>
          <w:u w:val="none"/>
        </w:rPr>
        <w:t>, Hyoun-Joong Kong</w:t>
      </w:r>
      <w:r>
        <w:rPr>
          <w:rFonts w:ascii="Times New Roman" w:hAnsi="Times New Roman"/>
          <w:b w:val="0"/>
          <w:i w:val="0"/>
          <w:sz w:val="20"/>
          <w:u w:val="none"/>
          <w:vertAlign w:val="superscript"/>
        </w:rPr>
        <w:t>1,5,6,*</w:t>
      </w:r>
    </w:p>
    <w:p>
      <w:pPr>
        <w:spacing w:before="0" w:after="8"/>
        <w:ind w:left="0"/>
        <w:jc w:val="center"/>
      </w:pPr>
      <w:r>
        <w:rPr>
          <w:rFonts w:ascii="Times New Roman" w:hAnsi="Times New Roman"/>
          <w:b w:val="0"/>
          <w:i w:val="0"/>
          <w:sz w:val="16"/>
          <w:u w:val="none"/>
          <w:vertAlign w:val="superscript"/>
        </w:rPr>
        <w:t>1</w:t>
      </w:r>
      <w:r>
        <w:rPr>
          <w:rFonts w:ascii="Times New Roman" w:hAnsi="Times New Roman"/>
          <w:b w:val="0"/>
          <w:i w:val="0"/>
          <w:sz w:val="16"/>
          <w:u w:val="none"/>
        </w:rPr>
        <w:t xml:space="preserve"> Department of Medicine, Seoul National University, Seoul, Republic of Korea</w:t>
      </w:r>
    </w:p>
    <w:p>
      <w:pPr>
        <w:spacing w:before="0" w:after="8"/>
        <w:ind w:left="0"/>
        <w:jc w:val="center"/>
      </w:pPr>
      <w:r>
        <w:rPr>
          <w:rFonts w:ascii="Times New Roman" w:hAnsi="Times New Roman"/>
          <w:b w:val="0"/>
          <w:i w:val="0"/>
          <w:sz w:val="16"/>
          <w:u w:val="none"/>
          <w:vertAlign w:val="superscript"/>
        </w:rPr>
        <w:t>2</w:t>
      </w:r>
      <w:r>
        <w:rPr>
          <w:rFonts w:ascii="Times New Roman" w:hAnsi="Times New Roman"/>
          <w:b w:val="0"/>
          <w:i w:val="0"/>
          <w:sz w:val="16"/>
          <w:u w:val="none"/>
        </w:rPr>
        <w:t xml:space="preserve"> Department of Transdisciplinary Medicine, Seoul National University Hospital, Seoul, Republic of Korea</w:t>
      </w:r>
    </w:p>
    <w:p>
      <w:pPr>
        <w:spacing w:before="0" w:after="8"/>
        <w:ind w:left="0"/>
        <w:jc w:val="center"/>
      </w:pPr>
      <w:r>
        <w:rPr>
          <w:rFonts w:ascii="Times New Roman" w:hAnsi="Times New Roman"/>
          <w:b w:val="0"/>
          <w:i w:val="0"/>
          <w:sz w:val="16"/>
          <w:u w:val="none"/>
          <w:vertAlign w:val="superscript"/>
        </w:rPr>
        <w:t>3</w:t>
      </w:r>
      <w:r>
        <w:rPr>
          <w:rFonts w:ascii="Times New Roman" w:hAnsi="Times New Roman"/>
          <w:b w:val="0"/>
          <w:i w:val="0"/>
          <w:sz w:val="16"/>
          <w:u w:val="none"/>
        </w:rPr>
        <w:t xml:space="preserve"> Rosota Inc., Seoul, Republic of Korea</w:t>
      </w:r>
    </w:p>
    <w:p>
      <w:pPr>
        <w:spacing w:before="0" w:after="8"/>
        <w:ind w:left="0"/>
        <w:jc w:val="center"/>
      </w:pPr>
      <w:r>
        <w:rPr>
          <w:rFonts w:ascii="Times New Roman" w:hAnsi="Times New Roman"/>
          <w:b w:val="0"/>
          <w:i w:val="0"/>
          <w:sz w:val="16"/>
          <w:u w:val="none"/>
          <w:vertAlign w:val="superscript"/>
        </w:rPr>
        <w:t>4</w:t>
      </w:r>
      <w:r>
        <w:rPr>
          <w:rFonts w:ascii="Times New Roman" w:hAnsi="Times New Roman"/>
          <w:b w:val="0"/>
          <w:i w:val="0"/>
          <w:sz w:val="16"/>
          <w:u w:val="none"/>
        </w:rPr>
        <w:t xml:space="preserve"> Department of Mechanical Engineering, Seoul National University, Seoul, Republic of Korea</w:t>
      </w:r>
    </w:p>
    <w:p>
      <w:pPr>
        <w:spacing w:before="0" w:after="8"/>
        <w:ind w:left="0"/>
        <w:jc w:val="center"/>
      </w:pPr>
      <w:r>
        <w:rPr>
          <w:rFonts w:ascii="Times New Roman" w:hAnsi="Times New Roman"/>
          <w:b w:val="0"/>
          <w:i w:val="0"/>
          <w:sz w:val="16"/>
          <w:u w:val="none"/>
          <w:vertAlign w:val="superscript"/>
        </w:rPr>
        <w:t>5</w:t>
      </w:r>
      <w:r>
        <w:rPr>
          <w:rFonts w:ascii="Times New Roman" w:hAnsi="Times New Roman"/>
          <w:b w:val="0"/>
          <w:i w:val="0"/>
          <w:sz w:val="16"/>
          <w:u w:val="none"/>
        </w:rPr>
        <w:t xml:space="preserve"> Eulji University College of Medicine, Daejeon, Republic of Korea</w:t>
      </w:r>
    </w:p>
    <w:p>
      <w:pPr>
        <w:spacing w:before="0" w:after="8"/>
        <w:ind w:left="0"/>
        <w:jc w:val="center"/>
      </w:pPr>
      <w:r>
        <w:rPr>
          <w:rFonts w:ascii="Times New Roman" w:hAnsi="Times New Roman"/>
          <w:b w:val="0"/>
          <w:i w:val="0"/>
          <w:sz w:val="16"/>
          <w:u w:val="none"/>
          <w:vertAlign w:val="superscript"/>
        </w:rPr>
        <w:t>6</w:t>
      </w:r>
      <w:r>
        <w:rPr>
          <w:rFonts w:ascii="Times New Roman" w:hAnsi="Times New Roman"/>
          <w:b w:val="0"/>
          <w:i w:val="0"/>
          <w:sz w:val="16"/>
          <w:u w:val="none"/>
        </w:rPr>
        <w:t xml:space="preserve"> ICMIT, Seoul National University Hospital, Seoul, Republic of Korea</w:t>
      </w:r>
    </w:p>
    <w:p>
      <w:pPr>
        <w:spacing w:before="0" w:after="8"/>
        <w:ind w:left="0"/>
        <w:jc w:val="center"/>
      </w:pPr>
      <w:r>
        <w:rPr>
          <w:rFonts w:ascii="Times New Roman" w:hAnsi="Times New Roman"/>
          <w:b w:val="0"/>
          <w:i/>
          <w:sz w:val="16"/>
          <w:u w:val="none"/>
        </w:rPr>
        <w:t>*Corresponding Author</w:t>
      </w:r>
    </w:p>
    <w:p>
      <w:pPr>
        <w:spacing w:after="0"/>
      </w:pPr>
    </w:p>
    <w:p>
      <w:pPr>
        <w:spacing w:before="0" w:after="64" w:line="288" w:lineRule="auto"/>
        <w:ind w:left="0"/>
        <w:jc w:val="both"/>
      </w:pPr>
      <w:r>
        <w:rPr>
          <w:rFonts w:ascii="Times New Roman" w:hAnsi="Times New Roman"/>
          <w:b/>
          <w:i w:val="0"/>
          <w:sz w:val="20"/>
          <w:u w:val="none"/>
        </w:rPr>
        <w:t>Abstract:</w:t>
      </w:r>
      <w:r>
        <w:rPr>
          <w:rFonts w:ascii="Times New Roman" w:hAnsi="Times New Roman"/>
          <w:b w:val="0"/>
          <w:i w:val="0"/>
          <w:sz w:val="20"/>
          <w:u w:val="none"/>
        </w:rPr>
        <w:t xml:space="preserve"> During the morcellation phase of holmium laser enucleation of the prostate (HoLEP) a suprapubic ultrasound probe must be kept over the bladder, pressed with a force that is acoustically sufficient, safe, and stable against an abdomen that moves. Toward holding that probe robotically, we validated the one-axis admittance force hold of a 6-DoF robotic ultrasound platform on a dynamic abdominal phantom whose surface is driven by a 500 mL syringe. Eight setpoints from 0.5 to 4.0 N were held for 30 s each across 2 independently calibrated sessions (16 holds), and every band then received the same syringe routine twice: once with the force hold enabled, and once as a placebo arm — the robot brought the probe to the same setpoint, the force hold was then switched off with the arm frozen in contact and the safety layer still live, and the identical syringe routine was repeated. Everything but the controller is the same in the two arms, so a difference between them is attributable to control, and a force that stays unchanged with the controller off shows a disturbance that was never large rather than one that was rejected. Holding error was 0.028 N SD (0.021–0.073 N), every hold inside the ±0.05 N deadband and at the sensor's own ±0.05 N per-axis noise floor. Against 4.6 s syringe steps the loop moved the probe 0.17 mm per step against 0.01 mm with the hold off, and after each peak brought the force back toward the setpoint at 0.23 N/s against 0.13 N/s for the phantom relaxing on its own, recovering 38% of each deviation against 10% and leaving 0.28 N against 0.38 N when the next step arrived (n = 70 per arm over 0.5–3.5 N). The peak itself, reached 3.1 s after the step, was not reduced. The loop holds a commanded force to its sensor's resolution and returns it toward the setpoint at twice the unassisted rate; its rejection bandwidth, set by the damping that removed a limit cycle, lies below the rate tested.</w:t>
      </w:r>
    </w:p>
    <w:p>
      <w:pPr>
        <w:spacing w:before="20" w:after="40"/>
        <w:ind w:left="0"/>
        <w:jc w:val="left"/>
      </w:pPr>
      <w:r>
        <w:rPr>
          <w:rFonts w:ascii="Times New Roman" w:hAnsi="Times New Roman"/>
          <w:b/>
          <w:i w:val="0"/>
          <w:sz w:val="20"/>
          <w:u w:val="none"/>
        </w:rPr>
        <w:t>Keywords:</w:t>
      </w:r>
      <w:r>
        <w:rPr>
          <w:rFonts w:ascii="Times New Roman" w:hAnsi="Times New Roman"/>
          <w:b w:val="0"/>
          <w:i w:val="0"/>
          <w:sz w:val="20"/>
          <w:u w:val="none"/>
        </w:rPr>
        <w:t xml:space="preserve"> robotic ultrasound, contact force control, admittance control, patient safety, placebo-controlled validation, HoLEP morcellation, dynamic phantom</w:t>
      </w:r>
    </w:p>
    <w:p>
      <w:pPr>
        <w:spacing w:after="0"/>
      </w:pPr>
    </w:p>
    <w:p>
      <w:pPr>
        <w:spacing w:after="0"/>
        <w:sectPr>
          <w:footerReference w:type="default" r:id="rId9"/>
          <w:pgSz w:w="11906" w:h="16838"/>
          <w:pgMar w:top="567" w:right="1417" w:bottom="567" w:left="1417" w:header="567" w:footer="567" w:gutter="0"/>
          <w:cols w:space="396" w:num="1"/>
          <w:docGrid w:linePitch="360"/>
        </w:sectPr>
      </w:pPr>
    </w:p>
    <w:p>
      <w:pPr>
        <w:keepNext/>
        <w:spacing w:before="90" w:after="0"/>
        <w:ind w:left="0"/>
        <w:jc w:val="center"/>
      </w:pPr>
      <w:r>
        <w:rPr>
          <w:rFonts w:ascii="Times New Roman" w:hAnsi="Times New Roman"/>
          <w:b/>
          <w:i w:val="0"/>
          <w:sz w:val="20"/>
          <w:u w:val="none"/>
        </w:rPr>
        <w:t>I. Introduction</w:t>
      </w:r>
    </w:p>
    <w:p>
      <w:pPr>
        <w:spacing w:before="0" w:after="64"/>
        <w:ind w:left="0"/>
        <w:jc w:val="both"/>
      </w:pPr>
      <w:r>
        <w:rPr>
          <w:rFonts w:ascii="Times New Roman" w:hAnsi="Times New Roman"/>
          <w:b w:val="0"/>
          <w:i w:val="0"/>
          <w:sz w:val="20"/>
          <w:u w:val="none"/>
        </w:rPr>
        <w:t>During the morcellation phase of holmium laser enucleation of the prostate (HoLEP), a suprapubic ultrasound probe must be kept over the bladder lumen while the abdomen moves. A robot that holds that probe must keep its contact force inside a narrow window: too little breaks acoustic coupling, too much deforms the anatomy being imaged and becomes a safety problem [1, 2]. Force-controlled probe holders are usually reported with a trace showing the force near its setpoint while the surface moved [3, 4], but that is not evidence of regulation — a compliant abdomen displaced by a few millimetres may never generate a large force, and an arm frozen in contact would give the same trace. We therefore measure holding accuracy over an eightfold range of setpoints and repeat every disturbance with the force hold switched off (Figure 1).</w:t>
      </w:r>
    </w:p>
    <w:p>
      <w:pPr>
        <w:spacing w:after="0"/>
        <w:sectPr>
          <w:type w:val="continuous"/>
          <w:pgSz w:w="11906" w:h="16838"/>
          <w:pgMar w:top="567" w:right="1417" w:bottom="567" w:left="1417" w:header="567" w:footer="567" w:gutter="0"/>
          <w:cols w:space="396" w:num="2"/>
          <w:docGrid w:linePitch="360"/>
        </w:sectPr>
      </w:pPr>
    </w:p>
    <w:p>
      <w:pPr>
        <w:keepNext/>
        <w:spacing w:before="80" w:after="0"/>
        <w:jc w:val="center"/>
      </w:pPr>
      <w:r>
        <w:drawing>
          <wp:inline xmlns:a="http://schemas.openxmlformats.org/drawingml/2006/main" xmlns:pic="http://schemas.openxmlformats.org/drawingml/2006/picture">
            <wp:extent cx="4896000" cy="2191966"/>
            <wp:docPr id="1" name="Picture 1"/>
            <wp:cNvGraphicFramePr>
              <a:graphicFrameLocks noChangeAspect="1"/>
            </wp:cNvGraphicFramePr>
            <a:graphic>
              <a:graphicData uri="http://schemas.openxmlformats.org/drawingml/2006/picture">
                <pic:pic>
                  <pic:nvPicPr>
                    <pic:cNvPr id="0" name="fh_overview_user.png"/>
                    <pic:cNvPicPr/>
                  </pic:nvPicPr>
                  <pic:blipFill>
                    <a:blip r:embed="rId10"/>
                    <a:stretch>
                      <a:fillRect/>
                    </a:stretch>
                  </pic:blipFill>
                  <pic:spPr>
                    <a:xfrm>
                      <a:off x="0" y="0"/>
                      <a:ext cx="4896000" cy="2191966"/>
                    </a:xfrm>
                    <a:prstGeom prst="rect"/>
                  </pic:spPr>
                </pic:pic>
              </a:graphicData>
            </a:graphic>
          </wp:inline>
        </w:drawing>
      </w:r>
    </w:p>
    <w:p>
      <w:pPr>
        <w:spacing w:after="80"/>
        <w:jc w:val="both"/>
      </w:pPr>
      <w:r>
        <w:rPr>
          <w:rFonts w:ascii="Times New Roman" w:hAnsi="Times New Roman"/>
          <w:b/>
          <w:i w:val="0"/>
          <w:sz w:val="15"/>
          <w:u w:val="none"/>
        </w:rPr>
        <w:t>Figure 1.</w:t>
      </w:r>
      <w:r>
        <w:rPr>
          <w:rFonts w:ascii="Times New Roman" w:hAnsi="Times New Roman"/>
          <w:b w:val="0"/>
          <w:i w:val="0"/>
          <w:sz w:val="15"/>
          <w:u w:val="none"/>
        </w:rPr>
        <w:t xml:space="preserve"> (a) The clinical need: during morcellation a suprapubic probe, here robot-held, must stay on an abdominal wall that moves with breathing and bladder filling; too little contact force </w:t>
      </w:r>
      <w:r>
        <w:rPr>
          <w:rFonts w:ascii="Times New Roman" w:hAnsi="Times New Roman"/>
          <w:b w:val="0"/>
          <w:i/>
          <w:sz w:val="15"/>
          <w:u w:val="none"/>
        </w:rPr>
        <w:t>F</w:t>
      </w:r>
      <w:r>
        <w:rPr>
          <w:rFonts w:ascii="Times New Roman" w:hAnsi="Times New Roman"/>
          <w:b w:val="0"/>
          <w:i w:val="0"/>
          <w:sz w:val="15"/>
          <w:u w:val="none"/>
        </w:rPr>
        <w:t xml:space="preserve"> loses acoustic coupling, too much deforms or injures. (b) The control: the setpoint </w:t>
      </w:r>
      <w:r>
        <w:rPr>
          <w:rFonts w:ascii="Times New Roman" w:hAnsi="Times New Roman"/>
          <w:b w:val="0"/>
          <w:i/>
          <w:sz w:val="15"/>
          <w:u w:val="none"/>
        </w:rPr>
        <w:t>F</w:t>
      </w:r>
      <w:r>
        <w:rPr>
          <w:rFonts w:ascii="Times New Roman" w:hAnsi="Times New Roman"/>
          <w:b w:val="0"/>
          <w:i w:val="0"/>
          <w:sz w:val="15"/>
          <w:u w:val="none"/>
          <w:vertAlign w:val="subscript"/>
        </w:rPr>
        <w:t>ref</w:t>
      </w:r>
      <w:r>
        <w:rPr>
          <w:rFonts w:ascii="Times New Roman" w:hAnsi="Times New Roman"/>
          <w:b w:val="0"/>
          <w:i w:val="0"/>
          <w:sz w:val="15"/>
          <w:u w:val="none"/>
        </w:rPr>
        <w:t xml:space="preserve"> is compared with the measured contact force ‖</w:t>
      </w:r>
      <w:r>
        <w:rPr>
          <w:rFonts w:ascii="Times New Roman" w:hAnsi="Times New Roman"/>
          <w:b w:val="0"/>
          <w:i/>
          <w:sz w:val="15"/>
          <w:u w:val="none"/>
        </w:rPr>
        <w:t>F</w:t>
      </w:r>
      <w:r>
        <w:rPr>
          <w:rFonts w:ascii="Times New Roman" w:hAnsi="Times New Roman"/>
          <w:b w:val="0"/>
          <w:i w:val="0"/>
          <w:sz w:val="15"/>
          <w:u w:val="none"/>
        </w:rPr>
        <w:t xml:space="preserve">‖ (force sensor, 1 kHz, gravity-compensated); the error </w:t>
      </w:r>
      <w:r>
        <w:rPr>
          <w:rFonts w:ascii="Times New Roman" w:hAnsi="Times New Roman"/>
          <w:b w:val="0"/>
          <w:i/>
          <w:sz w:val="15"/>
          <w:u w:val="none"/>
        </w:rPr>
        <w:t>e</w:t>
      </w:r>
      <w:r>
        <w:rPr>
          <w:rFonts w:ascii="Times New Roman" w:hAnsi="Times New Roman"/>
          <w:b w:val="0"/>
          <w:i w:val="0"/>
          <w:sz w:val="15"/>
          <w:u w:val="none"/>
        </w:rPr>
        <w:t xml:space="preserve"> = </w:t>
      </w:r>
      <w:r>
        <w:rPr>
          <w:rFonts w:ascii="Times New Roman" w:hAnsi="Times New Roman"/>
          <w:b w:val="0"/>
          <w:i/>
          <w:sz w:val="15"/>
          <w:u w:val="none"/>
        </w:rPr>
        <w:t>F</w:t>
      </w:r>
      <w:r>
        <w:rPr>
          <w:rFonts w:ascii="Times New Roman" w:hAnsi="Times New Roman"/>
          <w:b w:val="0"/>
          <w:i w:val="0"/>
          <w:sz w:val="15"/>
          <w:u w:val="none"/>
          <w:vertAlign w:val="subscript"/>
        </w:rPr>
        <w:t>ref</w:t>
      </w:r>
      <w:r>
        <w:rPr>
          <w:rFonts w:ascii="Times New Roman" w:hAnsi="Times New Roman"/>
          <w:b w:val="0"/>
          <w:i w:val="0"/>
          <w:sz w:val="15"/>
          <w:u w:val="none"/>
        </w:rPr>
        <w:t xml:space="preserve"> − </w:t>
      </w:r>
      <w:r>
        <w:rPr>
          <w:rFonts w:ascii="Times New Roman" w:hAnsi="Times New Roman"/>
          <w:b w:val="0"/>
          <w:i/>
          <w:sz w:val="15"/>
          <w:u w:val="none"/>
        </w:rPr>
        <w:t>F</w:t>
      </w:r>
      <w:r>
        <w:rPr>
          <w:rFonts w:ascii="Times New Roman" w:hAnsi="Times New Roman"/>
          <w:b w:val="0"/>
          <w:i w:val="0"/>
          <w:sz w:val="15"/>
          <w:u w:val="none"/>
        </w:rPr>
        <w:t xml:space="preserve"> drives the probe-axis velocity </w:t>
      </w:r>
      <w:r>
        <w:rPr>
          <w:rFonts w:ascii="Times New Roman" w:hAnsi="Times New Roman"/>
          <w:b w:val="0"/>
          <w:i/>
          <w:sz w:val="15"/>
          <w:u w:val="none"/>
        </w:rPr>
        <w:t>v</w:t>
      </w:r>
      <w:r>
        <w:rPr>
          <w:rFonts w:ascii="Times New Roman" w:hAnsi="Times New Roman"/>
          <w:b w:val="0"/>
          <w:i w:val="0"/>
          <w:sz w:val="15"/>
          <w:u w:val="none"/>
          <w:vertAlign w:val="subscript"/>
        </w:rPr>
        <w:t>z</w:t>
      </w:r>
      <w:r>
        <w:rPr>
          <w:rFonts w:ascii="Times New Roman" w:hAnsi="Times New Roman"/>
          <w:b w:val="0"/>
          <w:i w:val="0"/>
          <w:sz w:val="15"/>
          <w:u w:val="none"/>
        </w:rPr>
        <w:t xml:space="preserve"> = </w:t>
      </w:r>
      <w:r>
        <w:rPr>
          <w:rFonts w:ascii="Times New Roman" w:hAnsi="Times New Roman"/>
          <w:b w:val="0"/>
          <w:i/>
          <w:sz w:val="15"/>
          <w:u w:val="none"/>
        </w:rPr>
        <w:t>e</w:t>
      </w:r>
      <w:r>
        <w:rPr>
          <w:rFonts w:ascii="Times New Roman" w:hAnsi="Times New Roman"/>
          <w:b w:val="0"/>
          <w:i w:val="0"/>
          <w:sz w:val="15"/>
          <w:u w:val="none"/>
        </w:rPr>
        <w:t>/</w:t>
      </w:r>
      <w:r>
        <w:rPr>
          <w:rFonts w:ascii="Times New Roman" w:hAnsi="Times New Roman"/>
          <w:b w:val="0"/>
          <w:i/>
          <w:sz w:val="15"/>
          <w:u w:val="none"/>
        </w:rPr>
        <w:t>B</w:t>
      </w:r>
      <w:r>
        <w:rPr>
          <w:rFonts w:ascii="Times New Roman" w:hAnsi="Times New Roman"/>
          <w:b w:val="0"/>
          <w:i w:val="0"/>
          <w:sz w:val="15"/>
          <w:u w:val="none"/>
          <w:vertAlign w:val="subscript"/>
        </w:rPr>
        <w:t>z</w:t>
      </w:r>
      <w:r>
        <w:rPr>
          <w:rFonts w:ascii="Times New Roman" w:hAnsi="Times New Roman"/>
          <w:b w:val="0"/>
          <w:i w:val="0"/>
          <w:sz w:val="15"/>
          <w:u w:val="none"/>
        </w:rPr>
        <w:t xml:space="preserve"> outside a deadband δ, the inverse kinematics turns it into joint motion, and the contact of stiffness </w:t>
      </w:r>
      <w:r>
        <w:rPr>
          <w:rFonts w:ascii="Times New Roman" w:hAnsi="Times New Roman"/>
          <w:b w:val="0"/>
          <w:i/>
          <w:sz w:val="15"/>
          <w:u w:val="none"/>
        </w:rPr>
        <w:t>k</w:t>
      </w:r>
      <w:r>
        <w:rPr>
          <w:rFonts w:ascii="Times New Roman" w:hAnsi="Times New Roman"/>
          <w:b w:val="0"/>
          <w:i w:val="0"/>
          <w:sz w:val="15"/>
          <w:u w:val="none"/>
        </w:rPr>
        <w:t xml:space="preserve"> closes the loop with time constant τ = </w:t>
      </w:r>
      <w:r>
        <w:rPr>
          <w:rFonts w:ascii="Times New Roman" w:hAnsi="Times New Roman"/>
          <w:b w:val="0"/>
          <w:i/>
          <w:sz w:val="15"/>
          <w:u w:val="none"/>
        </w:rPr>
        <w:t>B</w:t>
      </w:r>
      <w:r>
        <w:rPr>
          <w:rFonts w:ascii="Times New Roman" w:hAnsi="Times New Roman"/>
          <w:b w:val="0"/>
          <w:i w:val="0"/>
          <w:sz w:val="15"/>
          <w:u w:val="none"/>
          <w:vertAlign w:val="subscript"/>
        </w:rPr>
        <w:t>z</w:t>
      </w:r>
      <w:r>
        <w:rPr>
          <w:rFonts w:ascii="Times New Roman" w:hAnsi="Times New Roman"/>
          <w:b w:val="0"/>
          <w:i w:val="0"/>
          <w:sz w:val="15"/>
          <w:u w:val="none"/>
        </w:rPr>
        <w:t>/</w:t>
      </w:r>
      <w:r>
        <w:rPr>
          <w:rFonts w:ascii="Times New Roman" w:hAnsi="Times New Roman"/>
          <w:b w:val="0"/>
          <w:i/>
          <w:sz w:val="15"/>
          <w:u w:val="none"/>
        </w:rPr>
        <w:t>k</w:t>
      </w:r>
      <w:r>
        <w:rPr>
          <w:rFonts w:ascii="Times New Roman" w:hAnsi="Times New Roman"/>
          <w:b w:val="0"/>
          <w:i w:val="0"/>
          <w:sz w:val="15"/>
          <w:u w:val="none"/>
        </w:rPr>
        <w:t xml:space="preserve">; surface motion enters at the contact. Black arrows are signal flow; grey double arrows are surface motion; the orange dashed box is the safety layer, active in both arms, which forbids advance above 4.5 N and retreats above 5.0 N. Deployed values: </w:t>
      </w:r>
      <w:r>
        <w:rPr>
          <w:rFonts w:ascii="Times New Roman" w:hAnsi="Times New Roman"/>
          <w:b w:val="0"/>
          <w:i/>
          <w:sz w:val="15"/>
          <w:u w:val="none"/>
        </w:rPr>
        <w:t>B</w:t>
      </w:r>
      <w:r>
        <w:rPr>
          <w:rFonts w:ascii="Times New Roman" w:hAnsi="Times New Roman"/>
          <w:b w:val="0"/>
          <w:i w:val="0"/>
          <w:sz w:val="15"/>
          <w:u w:val="none"/>
          <w:vertAlign w:val="subscript"/>
        </w:rPr>
        <w:t>z</w:t>
      </w:r>
      <w:r>
        <w:rPr>
          <w:rFonts w:ascii="Times New Roman" w:hAnsi="Times New Roman"/>
          <w:b w:val="0"/>
          <w:i w:val="0"/>
          <w:sz w:val="15"/>
          <w:u w:val="none"/>
        </w:rPr>
        <w:t xml:space="preserve"> = 4500 N·s/m, δ = 0.05 N. (c) The bench test: the same loop holds a probe replica on a water-filled abdominal phantom whose surface is lifted and dropped by a syringe every 4.6 s, at setpoints of 0.5–4.0 N, in three arms — A, an undisturbed hold; B, syringe steps with the force hold on; C, the same steps with it off, the placebo arm.</w:t>
      </w:r>
    </w:p>
    <w:p>
      <w:pPr>
        <w:spacing w:after="0"/>
        <w:sectPr>
          <w:type w:val="continuous"/>
          <w:pgSz w:w="11906" w:h="16838"/>
          <w:pgMar w:top="567" w:right="1417" w:bottom="567" w:left="1417" w:header="567" w:footer="567" w:gutter="0"/>
          <w:cols w:space="396" w:num="1"/>
          <w:docGrid w:linePitch="360"/>
        </w:sectPr>
      </w:pPr>
    </w:p>
    <w:p>
      <w:pPr>
        <w:keepNext/>
        <w:spacing w:before="90" w:after="0"/>
        <w:ind w:left="0"/>
        <w:jc w:val="center"/>
      </w:pPr>
      <w:r>
        <w:rPr>
          <w:rFonts w:ascii="Times New Roman" w:hAnsi="Times New Roman"/>
          <w:b/>
          <w:i w:val="0"/>
          <w:sz w:val="20"/>
          <w:u w:val="none"/>
        </w:rPr>
        <w:t>II. Methods</w:t>
      </w:r>
    </w:p>
    <w:p>
      <w:pPr>
        <w:spacing w:before="0" w:after="64"/>
        <w:ind w:left="0"/>
        <w:jc w:val="both"/>
      </w:pPr>
      <w:r>
        <w:rPr>
          <w:rFonts w:ascii="Times New Roman" w:hAnsi="Times New Roman"/>
          <w:b w:val="0"/>
          <w:i w:val="0"/>
          <w:sz w:val="20"/>
          <w:u w:val="none"/>
        </w:rPr>
        <w:t>A 6-DoF collaborative arm (FR5) carries the ultrasound probe with a six-axis force/torque sensor at the wrist, streamed at 1 kHz. The probe is a 3D-printed replica, scanned from the 4C-RS wideband convex array probe used in the operating room, so the contact footprint is that of the clinical probe. The phantom is a dynamic abdominal model: water-filled, its volume driven through a 500 mL syringe so that the surface under the probe lifts and drops. The syringe steps are a surface disturbance of tissue-like amplitude, not a calibrated respiratory waveform.</w:t>
      </w:r>
    </w:p>
    <w:p>
      <w:pPr>
        <w:spacing w:before="0" w:after="64"/>
        <w:ind w:left="0"/>
        <w:jc w:val="both"/>
      </w:pPr>
      <w:r>
        <w:rPr>
          <w:rFonts w:ascii="Times New Roman" w:hAnsi="Times New Roman"/>
          <w:b/>
          <w:i w:val="0"/>
          <w:sz w:val="20"/>
          <w:u w:val="none"/>
        </w:rPr>
        <w:t>Contact-force regulation.</w:t>
      </w:r>
      <w:r>
        <w:rPr>
          <w:rFonts w:ascii="Times New Roman" w:hAnsi="Times New Roman"/>
          <w:b w:val="0"/>
          <w:i w:val="0"/>
          <w:sz w:val="20"/>
          <w:u w:val="none"/>
        </w:rPr>
        <w:t xml:space="preserve"> The wrench is gravity-compensated in the probe frame and reduced to one scalar, </w:t>
      </w:r>
      <w:r>
        <w:rPr>
          <w:rFonts w:ascii="Times New Roman" w:hAnsi="Times New Roman"/>
          <w:b w:val="0"/>
          <w:i/>
          <w:sz w:val="20"/>
          <w:u w:val="none"/>
        </w:rPr>
        <w:t>F</w:t>
      </w:r>
      <w:r>
        <w:rPr>
          <w:rFonts w:ascii="Times New Roman" w:hAnsi="Times New Roman"/>
          <w:b w:val="0"/>
          <w:i w:val="0"/>
          <w:sz w:val="20"/>
          <w:u w:val="none"/>
        </w:rPr>
        <w:t xml:space="preserve"> = sgn(</w:t>
      </w:r>
      <w:r>
        <w:rPr>
          <w:rFonts w:ascii="Times New Roman" w:hAnsi="Times New Roman"/>
          <w:b w:val="0"/>
          <w:i/>
          <w:sz w:val="20"/>
          <w:u w:val="none"/>
        </w:rPr>
        <w:t>F</w:t>
      </w:r>
      <w:r>
        <w:rPr>
          <w:rFonts w:ascii="Times New Roman" w:hAnsi="Times New Roman"/>
          <w:b w:val="0"/>
          <w:i w:val="0"/>
          <w:sz w:val="20"/>
          <w:u w:val="none"/>
          <w:vertAlign w:val="subscript"/>
        </w:rPr>
        <w:t>n</w:t>
      </w:r>
      <w:r>
        <w:rPr>
          <w:rFonts w:ascii="Times New Roman" w:hAnsi="Times New Roman"/>
          <w:b w:val="0"/>
          <w:i w:val="0"/>
          <w:sz w:val="20"/>
          <w:u w:val="none"/>
        </w:rPr>
        <w:t>)·‖</w:t>
      </w:r>
      <w:r>
        <w:rPr>
          <w:rFonts w:ascii="Times New Roman" w:hAnsi="Times New Roman"/>
          <w:b w:val="0"/>
          <w:i/>
          <w:sz w:val="20"/>
          <w:u w:val="none"/>
        </w:rPr>
        <w:t>F</w:t>
      </w:r>
      <w:r>
        <w:rPr>
          <w:rFonts w:ascii="Times New Roman" w:hAnsi="Times New Roman"/>
          <w:b w:val="0"/>
          <w:i w:val="0"/>
          <w:sz w:val="20"/>
          <w:u w:val="none"/>
        </w:rPr>
        <w:t xml:space="preserve">‖: the magnitude, so an oblique contact is not under-read, carrying the sign of the normal component so tension is not mistaken for contact. Every threshold, metric and safety limit below applies to this scalar. Contact probing is entered when </w:t>
      </w:r>
      <w:r>
        <w:rPr>
          <w:rFonts w:ascii="Times New Roman" w:hAnsi="Times New Roman"/>
          <w:b w:val="0"/>
          <w:i/>
          <w:sz w:val="20"/>
          <w:u w:val="none"/>
        </w:rPr>
        <w:t>F</w:t>
      </w:r>
      <w:r>
        <w:rPr>
          <w:rFonts w:ascii="Times New Roman" w:hAnsi="Times New Roman"/>
          <w:b w:val="0"/>
          <w:i w:val="0"/>
          <w:sz w:val="20"/>
          <w:u w:val="none"/>
        </w:rPr>
        <w:t xml:space="preserve"> has exceeded an entry threshold for 20 ms (here the setpoint minus 0.1 N) and left when </w:t>
      </w:r>
      <w:r>
        <w:rPr>
          <w:rFonts w:ascii="Times New Roman" w:hAnsi="Times New Roman"/>
          <w:b w:val="0"/>
          <w:i/>
          <w:sz w:val="20"/>
          <w:u w:val="none"/>
        </w:rPr>
        <w:t>F</w:t>
      </w:r>
      <w:r>
        <w:rPr>
          <w:rFonts w:ascii="Times New Roman" w:hAnsi="Times New Roman"/>
          <w:b w:val="0"/>
          <w:i w:val="0"/>
          <w:sz w:val="20"/>
          <w:u w:val="none"/>
        </w:rPr>
        <w:t xml:space="preserve"> &lt; 0.1 N for 0.5 s; on entry the Cartesian speed caps drop from 150 mm/s and 1.5 rad/s to 10 mm/s and 0.2 rad/s, the operator's axes are zeroed, and the probe axis passes to a one-axis admittance regulator. With error </w:t>
      </w:r>
      <w:r>
        <w:rPr>
          <w:rFonts w:ascii="Times New Roman" w:hAnsi="Times New Roman"/>
          <w:b w:val="0"/>
          <w:i/>
          <w:sz w:val="20"/>
          <w:u w:val="none"/>
        </w:rPr>
        <w:t>e</w:t>
      </w:r>
      <w:r>
        <w:rPr>
          <w:rFonts w:ascii="Times New Roman" w:hAnsi="Times New Roman"/>
          <w:b w:val="0"/>
          <w:i w:val="0"/>
          <w:sz w:val="20"/>
          <w:u w:val="none"/>
        </w:rPr>
        <w:t xml:space="preserve"> = </w:t>
      </w:r>
      <w:r>
        <w:rPr>
          <w:rFonts w:ascii="Times New Roman" w:hAnsi="Times New Roman"/>
          <w:b w:val="0"/>
          <w:i/>
          <w:sz w:val="20"/>
          <w:u w:val="none"/>
        </w:rPr>
        <w:t>F</w:t>
      </w:r>
      <w:r>
        <w:rPr>
          <w:rFonts w:ascii="Times New Roman" w:hAnsi="Times New Roman"/>
          <w:b w:val="0"/>
          <w:i w:val="0"/>
          <w:sz w:val="20"/>
          <w:u w:val="none"/>
          <w:vertAlign w:val="subscript"/>
        </w:rPr>
        <w:t>ref</w:t>
      </w:r>
      <w:r>
        <w:rPr>
          <w:rFonts w:ascii="Times New Roman" w:hAnsi="Times New Roman"/>
          <w:b w:val="0"/>
          <w:i w:val="0"/>
          <w:sz w:val="20"/>
          <w:u w:val="none"/>
        </w:rPr>
        <w:t xml:space="preserve"> − </w:t>
      </w:r>
      <w:r>
        <w:rPr>
          <w:rFonts w:ascii="Times New Roman" w:hAnsi="Times New Roman"/>
          <w:b w:val="0"/>
          <w:i/>
          <w:sz w:val="20"/>
          <w:u w:val="none"/>
        </w:rPr>
        <w:t>F</w:t>
      </w:r>
      <w:r>
        <w:rPr>
          <w:rFonts w:ascii="Times New Roman" w:hAnsi="Times New Roman"/>
          <w:b w:val="0"/>
          <w:i w:val="0"/>
          <w:sz w:val="20"/>
          <w:u w:val="none"/>
        </w:rPr>
        <w:t xml:space="preserve">, deadband δ and damping </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w:t>
      </w:r>
    </w:p>
    <w:p>
      <w:pPr>
        <w:tabs>
          <w:tab w:pos="4337" w:val="right"/>
        </w:tabs>
        <w:spacing w:before="80" w:after="80"/>
        <w:jc w:val="left"/>
      </w:pPr>
      <w:r>
        <w:rPr>
          <w:rFonts w:ascii="Times New Roman" w:hAnsi="Times New Roman"/>
          <w:b w:val="0"/>
          <w:i/>
          <w:sz w:val="20"/>
          <w:u w:val="none"/>
        </w:rPr>
        <w:t>v</w:t>
      </w:r>
      <w:r>
        <w:rPr>
          <w:rFonts w:ascii="Times New Roman" w:hAnsi="Times New Roman"/>
          <w:b w:val="0"/>
          <w:i/>
          <w:sz w:val="20"/>
          <w:u w:val="none"/>
          <w:vertAlign w:val="subscript"/>
        </w:rPr>
        <w:t>z</w:t>
      </w:r>
      <w:r>
        <w:rPr>
          <w:rFonts w:ascii="Times New Roman" w:hAnsi="Times New Roman"/>
          <w:b w:val="0"/>
          <w:i/>
          <w:sz w:val="20"/>
          <w:u w:val="none"/>
        </w:rPr>
        <w:t xml:space="preserve"> = sat(e / B</w:t>
      </w:r>
      <w:r>
        <w:rPr>
          <w:rFonts w:ascii="Times New Roman" w:hAnsi="Times New Roman"/>
          <w:b w:val="0"/>
          <w:i/>
          <w:sz w:val="20"/>
          <w:u w:val="none"/>
          <w:vertAlign w:val="subscript"/>
        </w:rPr>
        <w:t>z</w:t>
      </w:r>
      <w:r>
        <w:rPr>
          <w:rFonts w:ascii="Times New Roman" w:hAnsi="Times New Roman"/>
          <w:b w:val="0"/>
          <w:i/>
          <w:sz w:val="20"/>
          <w:u w:val="none"/>
        </w:rPr>
        <w:t>, ±v</w:t>
      </w:r>
      <w:r>
        <w:rPr>
          <w:rFonts w:ascii="Times New Roman" w:hAnsi="Times New Roman"/>
          <w:b w:val="0"/>
          <w:i/>
          <w:sz w:val="20"/>
          <w:u w:val="none"/>
          <w:vertAlign w:val="subscript"/>
        </w:rPr>
        <w:t>max</w:t>
      </w:r>
      <w:r>
        <w:rPr>
          <w:rFonts w:ascii="Times New Roman" w:hAnsi="Times New Roman"/>
          <w:b w:val="0"/>
          <w:i/>
          <w:sz w:val="20"/>
          <w:u w:val="none"/>
        </w:rPr>
        <w:t>)  if |e| &gt; δ</w:t>
      </w:r>
      <w:r>
        <w:rPr>
          <w:rFonts w:ascii="Times New Roman" w:hAnsi="Times New Roman"/>
          <w:b w:val="0"/>
          <w:i/>
          <w:sz w:val="20"/>
          <w:u w:val="none"/>
          <w:vertAlign w:val="subscript"/>
        </w:rPr>
        <w:t>s</w:t>
      </w:r>
      <w:r>
        <w:rPr>
          <w:rFonts w:ascii="Times New Roman" w:hAnsi="Times New Roman"/>
          <w:b w:val="0"/>
          <w:i/>
          <w:sz w:val="20"/>
          <w:u w:val="none"/>
        </w:rPr>
        <w:t>,   v</w:t>
      </w:r>
      <w:r>
        <w:rPr>
          <w:rFonts w:ascii="Times New Roman" w:hAnsi="Times New Roman"/>
          <w:b w:val="0"/>
          <w:i/>
          <w:sz w:val="20"/>
          <w:u w:val="none"/>
          <w:vertAlign w:val="subscript"/>
        </w:rPr>
        <w:t>z</w:t>
      </w:r>
      <w:r>
        <w:rPr>
          <w:rFonts w:ascii="Times New Roman" w:hAnsi="Times New Roman"/>
          <w:b w:val="0"/>
          <w:i/>
          <w:sz w:val="20"/>
          <w:u w:val="none"/>
        </w:rPr>
        <w:t xml:space="preserve"> = 0 otherwise</w:t>
      </w:r>
      <w:r>
        <w:tab/>
      </w:r>
      <w:r>
        <w:rPr>
          <w:rFonts w:ascii="Times New Roman" w:hAnsi="Times New Roman"/>
          <w:b w:val="0"/>
          <w:i w:val="0"/>
          <w:sz w:val="20"/>
          <w:u w:val="none"/>
        </w:rPr>
        <w:t>(1)</w:t>
      </w:r>
    </w:p>
    <w:p>
      <w:pPr>
        <w:spacing w:before="0" w:after="64"/>
        <w:ind w:left="0"/>
        <w:jc w:val="both"/>
      </w:pPr>
      <w:r>
        <w:rPr>
          <w:rFonts w:ascii="Times New Roman" w:hAnsi="Times New Roman"/>
          <w:b w:val="0"/>
          <w:i w:val="0"/>
          <w:sz w:val="20"/>
          <w:u w:val="none"/>
        </w:rPr>
        <w:t xml:space="preserve">where </w:t>
      </w:r>
      <w:r>
        <w:rPr>
          <w:rFonts w:ascii="Times New Roman" w:hAnsi="Times New Roman"/>
          <w:b w:val="0"/>
          <w:i/>
          <w:sz w:val="20"/>
          <w:u w:val="none"/>
        </w:rPr>
        <w:t>v</w:t>
      </w:r>
      <w:r>
        <w:rPr>
          <w:rFonts w:ascii="Times New Roman" w:hAnsi="Times New Roman"/>
          <w:b w:val="0"/>
          <w:i w:val="0"/>
          <w:sz w:val="20"/>
          <w:u w:val="none"/>
          <w:vertAlign w:val="subscript"/>
        </w:rPr>
        <w:t>z</w:t>
      </w:r>
      <w:r>
        <w:rPr>
          <w:rFonts w:ascii="Times New Roman" w:hAnsi="Times New Roman"/>
          <w:b w:val="0"/>
          <w:i w:val="0"/>
          <w:sz w:val="20"/>
          <w:u w:val="none"/>
        </w:rPr>
        <w:t xml:space="preserve"> is the probe-axis velocity (positive toward tissue) and the threshold δ</w:t>
      </w:r>
      <w:r>
        <w:rPr>
          <w:rFonts w:ascii="Times New Roman" w:hAnsi="Times New Roman"/>
          <w:b w:val="0"/>
          <w:i w:val="0"/>
          <w:sz w:val="20"/>
          <w:u w:val="none"/>
          <w:vertAlign w:val="subscript"/>
        </w:rPr>
        <w:t>s</w:t>
      </w:r>
      <w:r>
        <w:rPr>
          <w:rFonts w:ascii="Times New Roman" w:hAnsi="Times New Roman"/>
          <w:b w:val="0"/>
          <w:i w:val="0"/>
          <w:sz w:val="20"/>
          <w:u w:val="none"/>
        </w:rPr>
        <w:t xml:space="preserve"> is δ while the axis is at rest and 0.2δ while it is moving, so the loop converges to the setpoint instead of parking on the band edge. Whenever </w:t>
      </w:r>
      <w:r>
        <w:rPr>
          <w:rFonts w:ascii="Times New Roman" w:hAnsi="Times New Roman"/>
          <w:b w:val="0"/>
          <w:i/>
          <w:sz w:val="20"/>
          <w:u w:val="none"/>
        </w:rPr>
        <w:t>F</w:t>
      </w:r>
      <w:r>
        <w:rPr>
          <w:rFonts w:ascii="Times New Roman" w:hAnsi="Times New Roman"/>
          <w:b w:val="0"/>
          <w:i w:val="0"/>
          <w:sz w:val="20"/>
          <w:u w:val="none"/>
        </w:rPr>
        <w:t xml:space="preserve"> ≥ </w:t>
      </w:r>
      <w:r>
        <w:rPr>
          <w:rFonts w:ascii="Times New Roman" w:hAnsi="Times New Roman"/>
          <w:b w:val="0"/>
          <w:i/>
          <w:sz w:val="20"/>
          <w:u w:val="none"/>
        </w:rPr>
        <w:t>F</w:t>
      </w:r>
      <w:r>
        <w:rPr>
          <w:rFonts w:ascii="Times New Roman" w:hAnsi="Times New Roman"/>
          <w:b w:val="0"/>
          <w:i w:val="0"/>
          <w:sz w:val="20"/>
          <w:u w:val="none"/>
          <w:vertAlign w:val="subscript"/>
        </w:rPr>
        <w:t>max</w:t>
      </w:r>
      <w:r>
        <w:rPr>
          <w:rFonts w:ascii="Times New Roman" w:hAnsi="Times New Roman"/>
          <w:b w:val="0"/>
          <w:i w:val="0"/>
          <w:sz w:val="20"/>
          <w:u w:val="none"/>
        </w:rPr>
        <w:t xml:space="preserve"> the regulator emits </w:t>
      </w:r>
      <w:r>
        <w:rPr>
          <w:rFonts w:ascii="Times New Roman" w:hAnsi="Times New Roman"/>
          <w:b w:val="0"/>
          <w:i/>
          <w:sz w:val="20"/>
          <w:u w:val="none"/>
        </w:rPr>
        <w:t>v</w:t>
      </w:r>
      <w:r>
        <w:rPr>
          <w:rFonts w:ascii="Times New Roman" w:hAnsi="Times New Roman"/>
          <w:b w:val="0"/>
          <w:i w:val="0"/>
          <w:sz w:val="20"/>
          <w:u w:val="none"/>
          <w:vertAlign w:val="subscript"/>
        </w:rPr>
        <w:t>z</w:t>
      </w:r>
      <w:r>
        <w:rPr>
          <w:rFonts w:ascii="Times New Roman" w:hAnsi="Times New Roman"/>
          <w:b w:val="0"/>
          <w:i w:val="0"/>
          <w:sz w:val="20"/>
          <w:u w:val="none"/>
        </w:rPr>
        <w:t xml:space="preserve"> = −</w:t>
      </w:r>
      <w:r>
        <w:rPr>
          <w:rFonts w:ascii="Times New Roman" w:hAnsi="Times New Roman"/>
          <w:b w:val="0"/>
          <w:i/>
          <w:sz w:val="20"/>
          <w:u w:val="none"/>
        </w:rPr>
        <w:t>v</w:t>
      </w:r>
      <w:r>
        <w:rPr>
          <w:rFonts w:ascii="Times New Roman" w:hAnsi="Times New Roman"/>
          <w:b w:val="0"/>
          <w:i w:val="0"/>
          <w:sz w:val="20"/>
          <w:u w:val="none"/>
          <w:vertAlign w:val="subscript"/>
        </w:rPr>
        <w:t>r</w:t>
      </w:r>
      <w:r>
        <w:rPr>
          <w:rFonts w:ascii="Times New Roman" w:hAnsi="Times New Roman"/>
          <w:b w:val="0"/>
          <w:i w:val="0"/>
          <w:sz w:val="20"/>
          <w:u w:val="none"/>
        </w:rPr>
        <w:t xml:space="preserve"> regardless of the setpoint, in the placebo arm as well. Two invariants carry the safety argument: </w:t>
      </w:r>
      <w:r>
        <w:rPr>
          <w:rFonts w:ascii="Times New Roman" w:hAnsi="Times New Roman"/>
          <w:b w:val="0"/>
          <w:i/>
          <w:sz w:val="20"/>
          <w:u w:val="none"/>
        </w:rPr>
        <w:t>F</w:t>
      </w:r>
      <w:r>
        <w:rPr>
          <w:rFonts w:ascii="Times New Roman" w:hAnsi="Times New Roman"/>
          <w:b w:val="0"/>
          <w:i w:val="0"/>
          <w:sz w:val="20"/>
          <w:u w:val="none"/>
          <w:vertAlign w:val="subscript"/>
        </w:rPr>
        <w:t>ref</w:t>
      </w:r>
      <w:r>
        <w:rPr>
          <w:rFonts w:ascii="Times New Roman" w:hAnsi="Times New Roman"/>
          <w:b w:val="0"/>
          <w:i w:val="0"/>
          <w:sz w:val="20"/>
          <w:u w:val="none"/>
        </w:rPr>
        <w:t xml:space="preserve"> &lt; </w:t>
      </w:r>
      <w:r>
        <w:rPr>
          <w:rFonts w:ascii="Times New Roman" w:hAnsi="Times New Roman"/>
          <w:b w:val="0"/>
          <w:i/>
          <w:sz w:val="20"/>
          <w:u w:val="none"/>
        </w:rPr>
        <w:t>F</w:t>
      </w:r>
      <w:r>
        <w:rPr>
          <w:rFonts w:ascii="Times New Roman" w:hAnsi="Times New Roman"/>
          <w:b w:val="0"/>
          <w:i w:val="0"/>
          <w:sz w:val="20"/>
          <w:u w:val="none"/>
          <w:vertAlign w:val="subscript"/>
        </w:rPr>
        <w:t>warn</w:t>
      </w:r>
      <w:r>
        <w:rPr>
          <w:rFonts w:ascii="Times New Roman" w:hAnsi="Times New Roman"/>
          <w:b w:val="0"/>
          <w:i w:val="0"/>
          <w:sz w:val="20"/>
          <w:u w:val="none"/>
        </w:rPr>
        <w:t xml:space="preserve"> is enforced at construction, so </w:t>
      </w:r>
      <w:r>
        <w:rPr>
          <w:rFonts w:ascii="Times New Roman" w:hAnsi="Times New Roman"/>
          <w:b w:val="0"/>
          <w:i/>
          <w:sz w:val="20"/>
          <w:u w:val="none"/>
        </w:rPr>
        <w:t>F</w:t>
      </w:r>
      <w:r>
        <w:rPr>
          <w:rFonts w:ascii="Times New Roman" w:hAnsi="Times New Roman"/>
          <w:b w:val="0"/>
          <w:i w:val="0"/>
          <w:sz w:val="20"/>
          <w:u w:val="none"/>
        </w:rPr>
        <w:t xml:space="preserve"> ≥ </w:t>
      </w:r>
      <w:r>
        <w:rPr>
          <w:rFonts w:ascii="Times New Roman" w:hAnsi="Times New Roman"/>
          <w:b w:val="0"/>
          <w:i/>
          <w:sz w:val="20"/>
          <w:u w:val="none"/>
        </w:rPr>
        <w:t>F</w:t>
      </w:r>
      <w:r>
        <w:rPr>
          <w:rFonts w:ascii="Times New Roman" w:hAnsi="Times New Roman"/>
          <w:b w:val="0"/>
          <w:i w:val="0"/>
          <w:sz w:val="20"/>
          <w:u w:val="none"/>
          <w:vertAlign w:val="subscript"/>
        </w:rPr>
        <w:t>warn</w:t>
      </w:r>
      <w:r>
        <w:rPr>
          <w:rFonts w:ascii="Times New Roman" w:hAnsi="Times New Roman"/>
          <w:b w:val="0"/>
          <w:i w:val="0"/>
          <w:sz w:val="20"/>
          <w:u w:val="none"/>
        </w:rPr>
        <w:t xml:space="preserve"> implies </w:t>
      </w:r>
      <w:r>
        <w:rPr>
          <w:rFonts w:ascii="Times New Roman" w:hAnsi="Times New Roman"/>
          <w:b w:val="0"/>
          <w:i/>
          <w:sz w:val="20"/>
          <w:u w:val="none"/>
        </w:rPr>
        <w:t>e</w:t>
      </w:r>
      <w:r>
        <w:rPr>
          <w:rFonts w:ascii="Times New Roman" w:hAnsi="Times New Roman"/>
          <w:b w:val="0"/>
          <w:i w:val="0"/>
          <w:sz w:val="20"/>
          <w:u w:val="none"/>
        </w:rPr>
        <w:t xml:space="preserve"> &lt; 0 and the admittance term cannot advance — no separate branch is needed, and none exists to go untested; and the forced retreat overrides both the setpoint and the band. Deployed values: </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 xml:space="preserve"> = 4500 N·s/m, δ = 0.05 N, </w:t>
      </w:r>
      <w:r>
        <w:rPr>
          <w:rFonts w:ascii="Times New Roman" w:hAnsi="Times New Roman"/>
          <w:b w:val="0"/>
          <w:i/>
          <w:sz w:val="20"/>
          <w:u w:val="none"/>
        </w:rPr>
        <w:t>v</w:t>
      </w:r>
      <w:r>
        <w:rPr>
          <w:rFonts w:ascii="Times New Roman" w:hAnsi="Times New Roman"/>
          <w:b w:val="0"/>
          <w:i w:val="0"/>
          <w:sz w:val="20"/>
          <w:u w:val="none"/>
          <w:vertAlign w:val="subscript"/>
        </w:rPr>
        <w:t>max</w:t>
      </w:r>
      <w:r>
        <w:rPr>
          <w:rFonts w:ascii="Times New Roman" w:hAnsi="Times New Roman"/>
          <w:b w:val="0"/>
          <w:i w:val="0"/>
          <w:sz w:val="20"/>
          <w:u w:val="none"/>
        </w:rPr>
        <w:t xml:space="preserve"> = 10 mm/s, </w:t>
      </w:r>
      <w:r>
        <w:rPr>
          <w:rFonts w:ascii="Times New Roman" w:hAnsi="Times New Roman"/>
          <w:b w:val="0"/>
          <w:i/>
          <w:sz w:val="20"/>
          <w:u w:val="none"/>
        </w:rPr>
        <w:t>F</w:t>
      </w:r>
      <w:r>
        <w:rPr>
          <w:rFonts w:ascii="Times New Roman" w:hAnsi="Times New Roman"/>
          <w:b w:val="0"/>
          <w:i w:val="0"/>
          <w:sz w:val="20"/>
          <w:u w:val="none"/>
          <w:vertAlign w:val="subscript"/>
        </w:rPr>
        <w:t>warn</w:t>
      </w:r>
      <w:r>
        <w:rPr>
          <w:rFonts w:ascii="Times New Roman" w:hAnsi="Times New Roman"/>
          <w:b w:val="0"/>
          <w:i w:val="0"/>
          <w:sz w:val="20"/>
          <w:u w:val="none"/>
        </w:rPr>
        <w:t xml:space="preserve"> = 4.5 N, </w:t>
      </w:r>
      <w:r>
        <w:rPr>
          <w:rFonts w:ascii="Times New Roman" w:hAnsi="Times New Roman"/>
          <w:b w:val="0"/>
          <w:i/>
          <w:sz w:val="20"/>
          <w:u w:val="none"/>
        </w:rPr>
        <w:t>F</w:t>
      </w:r>
      <w:r>
        <w:rPr>
          <w:rFonts w:ascii="Times New Roman" w:hAnsi="Times New Roman"/>
          <w:b w:val="0"/>
          <w:i w:val="0"/>
          <w:sz w:val="20"/>
          <w:u w:val="none"/>
          <w:vertAlign w:val="subscript"/>
        </w:rPr>
        <w:t>max</w:t>
      </w:r>
      <w:r>
        <w:rPr>
          <w:rFonts w:ascii="Times New Roman" w:hAnsi="Times New Roman"/>
          <w:b w:val="0"/>
          <w:i w:val="0"/>
          <w:sz w:val="20"/>
          <w:u w:val="none"/>
        </w:rPr>
        <w:t xml:space="preserve"> = 5.0 N, </w:t>
      </w:r>
      <w:r>
        <w:rPr>
          <w:rFonts w:ascii="Times New Roman" w:hAnsi="Times New Roman"/>
          <w:b w:val="0"/>
          <w:i/>
          <w:sz w:val="20"/>
          <w:u w:val="none"/>
        </w:rPr>
        <w:t>v</w:t>
      </w:r>
      <w:r>
        <w:rPr>
          <w:rFonts w:ascii="Times New Roman" w:hAnsi="Times New Roman"/>
          <w:b w:val="0"/>
          <w:i w:val="0"/>
          <w:sz w:val="20"/>
          <w:u w:val="none"/>
          <w:vertAlign w:val="subscript"/>
        </w:rPr>
        <w:t>r</w:t>
      </w:r>
      <w:r>
        <w:rPr>
          <w:rFonts w:ascii="Times New Roman" w:hAnsi="Times New Roman"/>
          <w:b w:val="0"/>
          <w:i w:val="0"/>
          <w:sz w:val="20"/>
          <w:u w:val="none"/>
        </w:rPr>
        <w:t xml:space="preserve"> = 5 mm/s.</w:t>
      </w:r>
    </w:p>
    <w:p>
      <w:pPr>
        <w:spacing w:before="0" w:after="64"/>
        <w:ind w:left="0"/>
        <w:jc w:val="both"/>
      </w:pPr>
      <w:r>
        <w:rPr>
          <w:rFonts w:ascii="Times New Roman" w:hAnsi="Times New Roman"/>
          <w:b/>
          <w:i w:val="0"/>
          <w:sz w:val="20"/>
          <w:u w:val="none"/>
        </w:rPr>
        <w:t>Closed-loop behaviour.</w:t>
      </w:r>
      <w:r>
        <w:rPr>
          <w:rFonts w:ascii="Times New Roman" w:hAnsi="Times New Roman"/>
          <w:b w:val="0"/>
          <w:i w:val="0"/>
          <w:sz w:val="20"/>
          <w:u w:val="none"/>
        </w:rPr>
        <w:t xml:space="preserve"> Against a contact of stiffness </w:t>
      </w:r>
      <w:r>
        <w:rPr>
          <w:rFonts w:ascii="Times New Roman" w:hAnsi="Times New Roman"/>
          <w:b w:val="0"/>
          <w:i/>
          <w:sz w:val="20"/>
          <w:u w:val="none"/>
        </w:rPr>
        <w:t>k</w:t>
      </w:r>
      <w:r>
        <w:rPr>
          <w:rFonts w:ascii="Times New Roman" w:hAnsi="Times New Roman"/>
          <w:b w:val="0"/>
          <w:i w:val="0"/>
          <w:sz w:val="20"/>
          <w:u w:val="none"/>
        </w:rPr>
        <w:t xml:space="preserve">, with indentation </w:t>
      </w:r>
      <w:r>
        <w:rPr>
          <w:rFonts w:ascii="Times New Roman" w:hAnsi="Times New Roman"/>
          <w:b w:val="0"/>
          <w:i/>
          <w:sz w:val="20"/>
          <w:u w:val="none"/>
        </w:rPr>
        <w:t>x</w:t>
      </w:r>
      <w:r>
        <w:rPr>
          <w:rFonts w:ascii="Times New Roman" w:hAnsi="Times New Roman"/>
          <w:b w:val="0"/>
          <w:i w:val="0"/>
          <w:sz w:val="20"/>
          <w:u w:val="none"/>
        </w:rPr>
        <w:t xml:space="preserve">, </w:t>
      </w:r>
      <w:r>
        <w:rPr>
          <w:rFonts w:ascii="Times New Roman" w:hAnsi="Times New Roman"/>
          <w:b w:val="0"/>
          <w:i/>
          <w:sz w:val="20"/>
          <w:u w:val="none"/>
        </w:rPr>
        <w:t>F</w:t>
      </w:r>
      <w:r>
        <w:rPr>
          <w:rFonts w:ascii="Times New Roman" w:hAnsi="Times New Roman"/>
          <w:b w:val="0"/>
          <w:i w:val="0"/>
          <w:sz w:val="20"/>
          <w:u w:val="none"/>
        </w:rPr>
        <w:t xml:space="preserve"> = </w:t>
      </w:r>
      <w:r>
        <w:rPr>
          <w:rFonts w:ascii="Times New Roman" w:hAnsi="Times New Roman"/>
          <w:b w:val="0"/>
          <w:i/>
          <w:sz w:val="20"/>
          <w:u w:val="none"/>
        </w:rPr>
        <w:t>kx</w:t>
      </w:r>
      <w:r>
        <w:rPr>
          <w:rFonts w:ascii="Times New Roman" w:hAnsi="Times New Roman"/>
          <w:b w:val="0"/>
          <w:i w:val="0"/>
          <w:sz w:val="20"/>
          <w:u w:val="none"/>
        </w:rPr>
        <w:t xml:space="preserve"> and </w:t>
      </w:r>
      <w:r>
        <w:rPr>
          <w:rFonts w:ascii="Times New Roman" w:hAnsi="Times New Roman"/>
          <w:b w:val="0"/>
          <w:i/>
          <w:sz w:val="20"/>
          <w:u w:val="none"/>
        </w:rPr>
        <w:t>ẋ</w:t>
      </w:r>
      <w:r>
        <w:rPr>
          <w:rFonts w:ascii="Times New Roman" w:hAnsi="Times New Roman"/>
          <w:b w:val="0"/>
          <w:i w:val="0"/>
          <w:sz w:val="20"/>
          <w:u w:val="none"/>
        </w:rPr>
        <w:t xml:space="preserve"> = </w:t>
      </w:r>
      <w:r>
        <w:rPr>
          <w:rFonts w:ascii="Times New Roman" w:hAnsi="Times New Roman"/>
          <w:b w:val="0"/>
          <w:i/>
          <w:sz w:val="20"/>
          <w:u w:val="none"/>
        </w:rPr>
        <w:t>v</w:t>
      </w:r>
      <w:r>
        <w:rPr>
          <w:rFonts w:ascii="Times New Roman" w:hAnsi="Times New Roman"/>
          <w:b w:val="0"/>
          <w:i w:val="0"/>
          <w:sz w:val="20"/>
          <w:u w:val="none"/>
          <w:vertAlign w:val="subscript"/>
        </w:rPr>
        <w:t>z</w:t>
      </w:r>
      <w:r>
        <w:rPr>
          <w:rFonts w:ascii="Times New Roman" w:hAnsi="Times New Roman"/>
          <w:b w:val="0"/>
          <w:i w:val="0"/>
          <w:sz w:val="20"/>
          <w:u w:val="none"/>
        </w:rPr>
        <w:t xml:space="preserve"> + </w:t>
      </w:r>
      <w:r>
        <w:rPr>
          <w:rFonts w:ascii="Times New Roman" w:hAnsi="Times New Roman"/>
          <w:b w:val="0"/>
          <w:i/>
          <w:sz w:val="20"/>
          <w:u w:val="none"/>
        </w:rPr>
        <w:t>ḋ</w:t>
      </w:r>
      <w:r>
        <w:rPr>
          <w:rFonts w:ascii="Times New Roman" w:hAnsi="Times New Roman"/>
          <w:b w:val="0"/>
          <w:i w:val="0"/>
          <w:sz w:val="20"/>
          <w:u w:val="none"/>
        </w:rPr>
        <w:t xml:space="preserve"> for surface motion </w:t>
      </w:r>
      <w:r>
        <w:rPr>
          <w:rFonts w:ascii="Times New Roman" w:hAnsi="Times New Roman"/>
          <w:b w:val="0"/>
          <w:i/>
          <w:sz w:val="20"/>
          <w:u w:val="none"/>
        </w:rPr>
        <w:t>d</w:t>
      </w:r>
      <w:r>
        <w:rPr>
          <w:rFonts w:ascii="Times New Roman" w:hAnsi="Times New Roman"/>
          <w:b w:val="0"/>
          <w:i w:val="0"/>
          <w:sz w:val="20"/>
          <w:u w:val="none"/>
        </w:rPr>
        <w:t>, the loop is first order in force outside the band:</w:t>
      </w:r>
    </w:p>
    <w:p>
      <w:pPr>
        <w:tabs>
          <w:tab w:pos="4337" w:val="right"/>
        </w:tabs>
        <w:spacing w:before="80" w:after="80"/>
        <w:jc w:val="left"/>
      </w:pPr>
      <w:r>
        <w:rPr>
          <w:rFonts w:ascii="Times New Roman" w:hAnsi="Times New Roman"/>
          <w:b w:val="0"/>
          <w:i/>
          <w:sz w:val="20"/>
          <w:u w:val="none"/>
        </w:rPr>
        <w:t>τ Ḟ + F = F</w:t>
      </w:r>
      <w:r>
        <w:rPr>
          <w:rFonts w:ascii="Times New Roman" w:hAnsi="Times New Roman"/>
          <w:b w:val="0"/>
          <w:i/>
          <w:sz w:val="20"/>
          <w:u w:val="none"/>
          <w:vertAlign w:val="subscript"/>
        </w:rPr>
        <w:t>ref</w:t>
      </w:r>
      <w:r>
        <w:rPr>
          <w:rFonts w:ascii="Times New Roman" w:hAnsi="Times New Roman"/>
          <w:b w:val="0"/>
          <w:i/>
          <w:sz w:val="20"/>
          <w:u w:val="none"/>
        </w:rPr>
        <w:t xml:space="preserve"> + B</w:t>
      </w:r>
      <w:r>
        <w:rPr>
          <w:rFonts w:ascii="Times New Roman" w:hAnsi="Times New Roman"/>
          <w:b w:val="0"/>
          <w:i/>
          <w:sz w:val="20"/>
          <w:u w:val="none"/>
          <w:vertAlign w:val="subscript"/>
        </w:rPr>
        <w:t>z</w:t>
      </w:r>
      <w:r>
        <w:rPr>
          <w:rFonts w:ascii="Times New Roman" w:hAnsi="Times New Roman"/>
          <w:b w:val="0"/>
          <w:i/>
          <w:sz w:val="20"/>
          <w:u w:val="none"/>
        </w:rPr>
        <w:t xml:space="preserve"> ḋ,   τ = B</w:t>
      </w:r>
      <w:r>
        <w:rPr>
          <w:rFonts w:ascii="Times New Roman" w:hAnsi="Times New Roman"/>
          <w:b w:val="0"/>
          <w:i/>
          <w:sz w:val="20"/>
          <w:u w:val="none"/>
          <w:vertAlign w:val="subscript"/>
        </w:rPr>
        <w:t>z</w:t>
      </w:r>
      <w:r>
        <w:rPr>
          <w:rFonts w:ascii="Times New Roman" w:hAnsi="Times New Roman"/>
          <w:b w:val="0"/>
          <w:i/>
          <w:sz w:val="20"/>
          <w:u w:val="none"/>
        </w:rPr>
        <w:t xml:space="preserve"> / k</w:t>
      </w:r>
      <w:r>
        <w:tab/>
      </w:r>
      <w:r>
        <w:rPr>
          <w:rFonts w:ascii="Times New Roman" w:hAnsi="Times New Roman"/>
          <w:b w:val="0"/>
          <w:i w:val="0"/>
          <w:sz w:val="20"/>
          <w:u w:val="none"/>
        </w:rPr>
        <w:t>(2)</w:t>
      </w:r>
    </w:p>
    <w:p>
      <w:pPr>
        <w:spacing w:before="0" w:after="64"/>
        <w:ind w:left="0"/>
        <w:jc w:val="both"/>
      </w:pPr>
      <w:r>
        <w:rPr>
          <w:rFonts w:ascii="Times New Roman" w:hAnsi="Times New Roman"/>
          <w:b w:val="0"/>
          <w:i w:val="0"/>
          <w:sz w:val="20"/>
          <w:u w:val="none"/>
        </w:rPr>
        <w:t xml:space="preserve">so a surface step </w:t>
      </w:r>
      <w:r>
        <w:rPr>
          <w:rFonts w:ascii="Times New Roman" w:hAnsi="Times New Roman"/>
          <w:b w:val="0"/>
          <w:i/>
          <w:sz w:val="20"/>
          <w:u w:val="none"/>
        </w:rPr>
        <w:t>D</w:t>
      </w:r>
      <w:r>
        <w:rPr>
          <w:rFonts w:ascii="Times New Roman" w:hAnsi="Times New Roman"/>
          <w:b w:val="0"/>
          <w:i w:val="0"/>
          <w:sz w:val="20"/>
          <w:u w:val="none"/>
        </w:rPr>
        <w:t xml:space="preserve"> leaves an excursion </w:t>
      </w:r>
      <w:r>
        <w:rPr>
          <w:rFonts w:ascii="Times New Roman" w:hAnsi="Times New Roman"/>
          <w:b w:val="0"/>
          <w:i/>
          <w:sz w:val="20"/>
          <w:u w:val="none"/>
        </w:rPr>
        <w:t>kD</w:t>
      </w:r>
      <w:r>
        <w:rPr>
          <w:rFonts w:ascii="Times New Roman" w:hAnsi="Times New Roman"/>
          <w:b w:val="0"/>
          <w:i w:val="0"/>
          <w:sz w:val="20"/>
          <w:u w:val="none"/>
        </w:rPr>
        <w:t xml:space="preserve"> that decays as exp(−</w:t>
      </w:r>
      <w:r>
        <w:rPr>
          <w:rFonts w:ascii="Times New Roman" w:hAnsi="Times New Roman"/>
          <w:b w:val="0"/>
          <w:i/>
          <w:sz w:val="20"/>
          <w:u w:val="none"/>
        </w:rPr>
        <w:t>t</w:t>
      </w:r>
      <w:r>
        <w:rPr>
          <w:rFonts w:ascii="Times New Roman" w:hAnsi="Times New Roman"/>
          <w:b w:val="0"/>
          <w:i w:val="0"/>
          <w:sz w:val="20"/>
          <w:u w:val="none"/>
        </w:rPr>
        <w:t>/τ), and surface motion at frequency ω is attenuated by |</w:t>
      </w:r>
      <w:r>
        <w:rPr>
          <w:rFonts w:ascii="Times New Roman" w:hAnsi="Times New Roman"/>
          <w:b w:val="0"/>
          <w:i/>
          <w:sz w:val="20"/>
          <w:u w:val="none"/>
        </w:rPr>
        <w:t>S</w:t>
      </w:r>
      <w:r>
        <w:rPr>
          <w:rFonts w:ascii="Times New Roman" w:hAnsi="Times New Roman"/>
          <w:b w:val="0"/>
          <w:i w:val="0"/>
          <w:sz w:val="20"/>
          <w:u w:val="none"/>
        </w:rPr>
        <w:t xml:space="preserve">| = ωτ / √(1 + ω²τ²) ≤ 1 — the loop can fail to reject, never amplify. The velocity command is an integrator, so with an effective delay </w:t>
      </w:r>
      <w:r>
        <w:rPr>
          <w:rFonts w:ascii="Times New Roman" w:hAnsi="Times New Roman"/>
          <w:b w:val="0"/>
          <w:i/>
          <w:sz w:val="20"/>
          <w:u w:val="none"/>
        </w:rPr>
        <w:t>T</w:t>
      </w:r>
      <w:r>
        <w:rPr>
          <w:rFonts w:ascii="Times New Roman" w:hAnsi="Times New Roman"/>
          <w:b w:val="0"/>
          <w:i w:val="0"/>
          <w:sz w:val="20"/>
          <w:u w:val="none"/>
          <w:vertAlign w:val="subscript"/>
        </w:rPr>
        <w:t>d</w:t>
      </w:r>
      <w:r>
        <w:rPr>
          <w:rFonts w:ascii="Times New Roman" w:hAnsi="Times New Roman"/>
          <w:b w:val="0"/>
          <w:i w:val="0"/>
          <w:sz w:val="20"/>
          <w:u w:val="none"/>
        </w:rPr>
        <w:t xml:space="preserve"> between commanded motion and force (phantom viscoelasticity and servo latency, ≈2 s here) the phase margin is 90° − (</w:t>
      </w:r>
      <w:r>
        <w:rPr>
          <w:rFonts w:ascii="Times New Roman" w:hAnsi="Times New Roman"/>
          <w:b w:val="0"/>
          <w:i/>
          <w:sz w:val="20"/>
          <w:u w:val="none"/>
        </w:rPr>
        <w:t>k</w:t>
      </w:r>
      <w:r>
        <w:rPr>
          <w:rFonts w:ascii="Times New Roman" w:hAnsi="Times New Roman"/>
          <w:b w:val="0"/>
          <w:i w:val="0"/>
          <w:sz w:val="20"/>
          <w:u w:val="none"/>
        </w:rPr>
        <w:t>/</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w:t>
      </w:r>
      <w:r>
        <w:rPr>
          <w:rFonts w:ascii="Times New Roman" w:hAnsi="Times New Roman"/>
          <w:b w:val="0"/>
          <w:i/>
          <w:sz w:val="20"/>
          <w:u w:val="none"/>
        </w:rPr>
        <w:t>T</w:t>
      </w:r>
      <w:r>
        <w:rPr>
          <w:rFonts w:ascii="Times New Roman" w:hAnsi="Times New Roman"/>
          <w:b w:val="0"/>
          <w:i w:val="0"/>
          <w:sz w:val="20"/>
          <w:u w:val="none"/>
          <w:vertAlign w:val="subscript"/>
        </w:rPr>
        <w:t>d</w:t>
      </w:r>
      <w:r>
        <w:rPr>
          <w:rFonts w:ascii="Times New Roman" w:hAnsi="Times New Roman"/>
          <w:b w:val="0"/>
          <w:i w:val="0"/>
          <w:sz w:val="20"/>
          <w:u w:val="none"/>
        </w:rPr>
        <w:t xml:space="preserve">. At </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 xml:space="preserve"> = 1000 N·s/m and </w:t>
      </w:r>
      <w:r>
        <w:rPr>
          <w:rFonts w:ascii="Times New Roman" w:hAnsi="Times New Roman"/>
          <w:b w:val="0"/>
          <w:i/>
          <w:sz w:val="20"/>
          <w:u w:val="none"/>
        </w:rPr>
        <w:t>k</w:t>
      </w:r>
      <w:r>
        <w:rPr>
          <w:rFonts w:ascii="Times New Roman" w:hAnsi="Times New Roman"/>
          <w:b w:val="0"/>
          <w:i w:val="0"/>
          <w:sz w:val="20"/>
          <w:u w:val="none"/>
        </w:rPr>
        <w:t xml:space="preserve"> ≈ 0.7 N/mm that margin was near 10° and the loop ran a limit cycle of 8–9 s period; 4500 N·s/m keeps it above 40° up to the 1.8 N/mm tangent stiffness reached at 4 N, at the price of τ = 12 s at the 0.374 N/mm fitted below.</w:t>
      </w:r>
    </w:p>
    <w:p>
      <w:pPr>
        <w:spacing w:before="0" w:after="64"/>
        <w:ind w:left="0"/>
        <w:jc w:val="both"/>
      </w:pPr>
      <w:r>
        <w:rPr>
          <w:rFonts w:ascii="Times New Roman" w:hAnsi="Times New Roman"/>
          <w:b/>
          <w:i w:val="0"/>
          <w:sz w:val="20"/>
          <w:u w:val="none"/>
        </w:rPr>
        <w:t>Differential kinematics.</w:t>
      </w:r>
      <w:r>
        <w:rPr>
          <w:rFonts w:ascii="Times New Roman" w:hAnsi="Times New Roman"/>
          <w:b w:val="0"/>
          <w:i w:val="0"/>
          <w:sz w:val="20"/>
          <w:u w:val="none"/>
        </w:rPr>
        <w:t xml:space="preserve"> The regulated probe-frame twist </w:t>
      </w:r>
      <w:r>
        <w:rPr>
          <w:rFonts w:ascii="Times New Roman" w:hAnsi="Times New Roman"/>
          <w:b w:val="0"/>
          <w:i/>
          <w:sz w:val="20"/>
          <w:u w:val="none"/>
        </w:rPr>
        <w:t>V</w:t>
      </w:r>
      <w:r>
        <w:rPr>
          <w:rFonts w:ascii="Times New Roman" w:hAnsi="Times New Roman"/>
          <w:b w:val="0"/>
          <w:i w:val="0"/>
          <w:sz w:val="20"/>
          <w:u w:val="none"/>
        </w:rPr>
        <w:t xml:space="preserve"> is rotated into the base frame and mapped to joint velocities at 100 Hz by damped least squares,</w:t>
      </w:r>
    </w:p>
    <w:p>
      <w:pPr>
        <w:tabs>
          <w:tab w:pos="4337" w:val="right"/>
        </w:tabs>
        <w:spacing w:before="80" w:after="80"/>
        <w:jc w:val="left"/>
      </w:pPr>
      <w:r>
        <w:rPr>
          <w:rFonts w:ascii="Times New Roman" w:hAnsi="Times New Roman"/>
          <w:b w:val="0"/>
          <w:i/>
          <w:sz w:val="20"/>
          <w:u w:val="none"/>
        </w:rPr>
        <w:t>q̇ = Jᵀ (J Jᵀ + λ² I)⁻¹ V,   λ = 0.02</w:t>
      </w:r>
      <w:r>
        <w:tab/>
      </w:r>
      <w:r>
        <w:rPr>
          <w:rFonts w:ascii="Times New Roman" w:hAnsi="Times New Roman"/>
          <w:b w:val="0"/>
          <w:i w:val="0"/>
          <w:sz w:val="20"/>
          <w:u w:val="none"/>
        </w:rPr>
        <w:t>(3)</w:t>
      </w:r>
    </w:p>
    <w:p>
      <w:pPr>
        <w:spacing w:before="0" w:after="64"/>
        <w:ind w:left="0"/>
        <w:jc w:val="both"/>
      </w:pPr>
      <w:r>
        <w:rPr>
          <w:rFonts w:ascii="Times New Roman" w:hAnsi="Times New Roman"/>
          <w:b w:val="0"/>
          <w:i w:val="0"/>
          <w:sz w:val="20"/>
          <w:u w:val="none"/>
        </w:rPr>
        <w:t xml:space="preserve">with the per-axis tracking error </w:t>
      </w:r>
      <w:r>
        <w:rPr>
          <w:rFonts w:ascii="Times New Roman" w:hAnsi="Times New Roman"/>
          <w:b w:val="0"/>
          <w:i/>
          <w:sz w:val="20"/>
          <w:u w:val="none"/>
        </w:rPr>
        <w:t>V</w:t>
      </w:r>
      <w:r>
        <w:rPr>
          <w:rFonts w:ascii="Times New Roman" w:hAnsi="Times New Roman"/>
          <w:b w:val="0"/>
          <w:i w:val="0"/>
          <w:sz w:val="20"/>
          <w:u w:val="none"/>
        </w:rPr>
        <w:t xml:space="preserve"> − </w:t>
      </w:r>
      <w:r>
        <w:rPr>
          <w:rFonts w:ascii="Times New Roman" w:hAnsi="Times New Roman"/>
          <w:b w:val="0"/>
          <w:i/>
          <w:sz w:val="20"/>
          <w:u w:val="none"/>
        </w:rPr>
        <w:t>J q̇</w:t>
      </w:r>
      <w:r>
        <w:rPr>
          <w:rFonts w:ascii="Times New Roman" w:hAnsi="Times New Roman"/>
          <w:b w:val="0"/>
          <w:i w:val="0"/>
          <w:sz w:val="20"/>
          <w:u w:val="none"/>
        </w:rPr>
        <w:t xml:space="preserve"> monitored so that a damped force axis is reported rather than silently lost. If the operator's command stream stops, the hold continues in contact; out of contact the arm retreats along −</w:t>
      </w:r>
      <w:r>
        <w:rPr>
          <w:rFonts w:ascii="Times New Roman" w:hAnsi="Times New Roman"/>
          <w:b w:val="0"/>
          <w:i/>
          <w:sz w:val="20"/>
          <w:u w:val="none"/>
        </w:rPr>
        <w:t>z</w:t>
      </w:r>
      <w:r>
        <w:rPr>
          <w:rFonts w:ascii="Times New Roman" w:hAnsi="Times New Roman"/>
          <w:b w:val="0"/>
          <w:i w:val="0"/>
          <w:sz w:val="20"/>
          <w:u w:val="none"/>
        </w:rPr>
        <w:t xml:space="preserve"> at 5 mm/s until </w:t>
      </w:r>
      <w:r>
        <w:rPr>
          <w:rFonts w:ascii="Times New Roman" w:hAnsi="Times New Roman"/>
          <w:b w:val="0"/>
          <w:i/>
          <w:sz w:val="20"/>
          <w:u w:val="none"/>
        </w:rPr>
        <w:t>F</w:t>
      </w:r>
      <w:r>
        <w:rPr>
          <w:rFonts w:ascii="Times New Roman" w:hAnsi="Times New Roman"/>
          <w:b w:val="0"/>
          <w:i w:val="0"/>
          <w:sz w:val="20"/>
          <w:u w:val="none"/>
        </w:rPr>
        <w:t xml:space="preserve"> &lt; 0.2 N or 3 s have elapsed.</w:t>
      </w:r>
    </w:p>
    <w:p>
      <w:pPr>
        <w:spacing w:before="0" w:after="64"/>
        <w:ind w:left="0"/>
        <w:jc w:val="both"/>
      </w:pPr>
      <w:r>
        <w:rPr>
          <w:rFonts w:ascii="Times New Roman" w:hAnsi="Times New Roman"/>
          <w:b w:val="0"/>
          <w:i w:val="0"/>
          <w:sz w:val="20"/>
          <w:u w:val="none"/>
        </w:rPr>
        <w:t xml:space="preserve">Eight setpoints (0.5–4.0 N in 0.5 N steps) were run back to back, each with three captures: </w:t>
      </w:r>
      <w:r>
        <w:rPr>
          <w:rFonts w:ascii="Times New Roman" w:hAnsi="Times New Roman"/>
          <w:b/>
          <w:i w:val="0"/>
          <w:sz w:val="20"/>
          <w:u w:val="none"/>
        </w:rPr>
        <w:t>A</w:t>
      </w:r>
      <w:r>
        <w:rPr>
          <w:rFonts w:ascii="Times New Roman" w:hAnsi="Times New Roman"/>
          <w:b w:val="0"/>
          <w:i w:val="0"/>
          <w:sz w:val="20"/>
          <w:u w:val="none"/>
        </w:rPr>
        <w:t xml:space="preserve">, an undisturbed 30 s hold; </w:t>
      </w:r>
      <w:r>
        <w:rPr>
          <w:rFonts w:ascii="Times New Roman" w:hAnsi="Times New Roman"/>
          <w:b/>
          <w:i w:val="0"/>
          <w:sz w:val="20"/>
          <w:u w:val="none"/>
        </w:rPr>
        <w:t>B</w:t>
      </w:r>
      <w:r>
        <w:rPr>
          <w:rFonts w:ascii="Times New Roman" w:hAnsi="Times New Roman"/>
          <w:b w:val="0"/>
          <w:i w:val="0"/>
          <w:sz w:val="20"/>
          <w:u w:val="none"/>
        </w:rPr>
        <w:t xml:space="preserve">, ten 500 mL syringe steps (five in, five withdrawn) with force hold enabled; </w:t>
      </w:r>
      <w:r>
        <w:rPr>
          <w:rFonts w:ascii="Times New Roman" w:hAnsi="Times New Roman"/>
          <w:b/>
          <w:i w:val="0"/>
          <w:sz w:val="20"/>
          <w:u w:val="none"/>
        </w:rPr>
        <w:t>C</w:t>
      </w:r>
      <w:r>
        <w:rPr>
          <w:rFonts w:ascii="Times New Roman" w:hAnsi="Times New Roman"/>
          <w:b w:val="0"/>
          <w:i w:val="0"/>
          <w:sz w:val="20"/>
          <w:u w:val="none"/>
        </w:rPr>
        <w:t>, the same routine with it disabled — the placebo arm, the probe left in contact. A working zero was taken at the test pose each session and the first 3 s after contact entry discarded as approach transient; holds from a second session at the same tuning are pooled (16 holds, 2 sessions). Hold quality is the SD of ‖</w:t>
      </w:r>
      <w:r>
        <w:rPr>
          <w:rFonts w:ascii="Times New Roman" w:hAnsi="Times New Roman"/>
          <w:b w:val="0"/>
          <w:i/>
          <w:sz w:val="20"/>
          <w:u w:val="none"/>
        </w:rPr>
        <w:t>F</w:t>
      </w:r>
      <w:r>
        <w:rPr>
          <w:rFonts w:ascii="Times New Roman" w:hAnsi="Times New Roman"/>
          <w:b w:val="0"/>
          <w:i w:val="0"/>
          <w:sz w:val="20"/>
          <w:u w:val="none"/>
        </w:rPr>
        <w:t>‖ about the setpoint, band-width independent and so comparable across setpoints; disturbance response is each step's peak |‖</w:t>
      </w:r>
      <w:r>
        <w:rPr>
          <w:rFonts w:ascii="Times New Roman" w:hAnsi="Times New Roman"/>
          <w:b w:val="0"/>
          <w:i/>
          <w:sz w:val="20"/>
          <w:u w:val="none"/>
        </w:rPr>
        <w:t>F</w:t>
      </w:r>
      <w:r>
        <w:rPr>
          <w:rFonts w:ascii="Times New Roman" w:hAnsi="Times New Roman"/>
          <w:b w:val="0"/>
          <w:i w:val="0"/>
          <w:sz w:val="20"/>
          <w:u w:val="none"/>
        </w:rPr>
        <w:t xml:space="preserve">‖ − </w:t>
      </w:r>
      <w:r>
        <w:rPr>
          <w:rFonts w:ascii="Times New Roman" w:hAnsi="Times New Roman"/>
          <w:b w:val="0"/>
          <w:i/>
          <w:sz w:val="20"/>
          <w:u w:val="none"/>
        </w:rPr>
        <w:t>F</w:t>
      </w:r>
      <w:r>
        <w:rPr>
          <w:rFonts w:ascii="Times New Roman" w:hAnsi="Times New Roman"/>
          <w:b w:val="0"/>
          <w:i w:val="0"/>
          <w:sz w:val="20"/>
          <w:u w:val="none"/>
          <w:vertAlign w:val="subscript"/>
        </w:rPr>
        <w:t>ref</w:t>
      </w:r>
      <w:r>
        <w:rPr>
          <w:rFonts w:ascii="Times New Roman" w:hAnsi="Times New Roman"/>
          <w:b w:val="0"/>
          <w:i w:val="0"/>
          <w:sz w:val="20"/>
          <w:u w:val="none"/>
        </w:rPr>
        <w:t>|, the fraction of it recovered by the step's end, and the probe travel that separates a robot absorbing the disturbance from a phantom relaxing on its own.</w:t>
      </w:r>
    </w:p>
    <w:p>
      <w:pPr>
        <w:spacing w:after="0"/>
        <w:sectPr>
          <w:type w:val="continuous"/>
          <w:pgSz w:w="11906" w:h="16838"/>
          <w:pgMar w:top="567" w:right="1417" w:bottom="567" w:left="1417" w:header="567" w:footer="567" w:gutter="0"/>
          <w:cols w:space="396" w:num="2"/>
          <w:docGrid w:linePitch="360"/>
        </w:sectPr>
      </w:pPr>
    </w:p>
    <w:p>
      <w:pPr>
        <w:keepNext/>
        <w:spacing w:before="80" w:after="0"/>
        <w:jc w:val="center"/>
      </w:pPr>
      <w:r>
        <w:drawing>
          <wp:inline xmlns:a="http://schemas.openxmlformats.org/drawingml/2006/main" xmlns:pic="http://schemas.openxmlformats.org/drawingml/2006/picture">
            <wp:extent cx="4896000" cy="2258303"/>
            <wp:docPr id="2" name="Picture 2"/>
            <wp:cNvGraphicFramePr>
              <a:graphicFrameLocks noChangeAspect="1"/>
            </wp:cNvGraphicFramePr>
            <a:graphic>
              <a:graphicData uri="http://schemas.openxmlformats.org/drawingml/2006/picture">
                <pic:pic>
                  <pic:nvPicPr>
                    <pic:cNvPr id="0" name="fig_fh_setup.jpg"/>
                    <pic:cNvPicPr/>
                  </pic:nvPicPr>
                  <pic:blipFill>
                    <a:blip r:embed="rId11"/>
                    <a:stretch>
                      <a:fillRect/>
                    </a:stretch>
                  </pic:blipFill>
                  <pic:spPr>
                    <a:xfrm>
                      <a:off x="0" y="0"/>
                      <a:ext cx="4896000" cy="2258303"/>
                    </a:xfrm>
                    <a:prstGeom prst="rect"/>
                  </pic:spPr>
                </pic:pic>
              </a:graphicData>
            </a:graphic>
          </wp:inline>
        </w:drawing>
      </w:r>
    </w:p>
    <w:p>
      <w:pPr>
        <w:spacing w:after="80"/>
        <w:jc w:val="both"/>
      </w:pPr>
      <w:r>
        <w:rPr>
          <w:rFonts w:ascii="Times New Roman" w:hAnsi="Times New Roman"/>
          <w:b/>
          <w:i w:val="0"/>
          <w:sz w:val="15"/>
          <w:u w:val="none"/>
        </w:rPr>
        <w:t>Figure 2.</w:t>
      </w:r>
      <w:r>
        <w:rPr>
          <w:rFonts w:ascii="Times New Roman" w:hAnsi="Times New Roman"/>
          <w:b w:val="0"/>
          <w:i w:val="0"/>
          <w:sz w:val="15"/>
          <w:u w:val="none"/>
        </w:rPr>
        <w:t xml:space="preserve"> Bench. (a) The FR5 arm holding the ultrasound probe on the dynamic abdominal phantom; the syringe that drives the phantom's surface and the operator console showing the measured contact force. (b) The 3D-printed replica of the 4C-RS convex probe on the phantom's contact pad over the lower-abdomen mannequin, the 500 mL syringe at left.</w:t>
      </w:r>
    </w:p>
    <w:p>
      <w:pPr>
        <w:spacing w:after="0"/>
        <w:sectPr>
          <w:type w:val="continuous"/>
          <w:pgSz w:w="11906" w:h="16838"/>
          <w:pgMar w:top="567" w:right="1417" w:bottom="567" w:left="1417" w:header="567" w:footer="567" w:gutter="0"/>
          <w:cols w:space="396" w:num="1"/>
          <w:docGrid w:linePitch="360"/>
        </w:sectPr>
      </w:pPr>
    </w:p>
    <w:p>
      <w:pPr>
        <w:keepNext/>
        <w:spacing w:before="90" w:after="0"/>
        <w:ind w:left="0"/>
        <w:jc w:val="center"/>
      </w:pPr>
      <w:r>
        <w:rPr>
          <w:rFonts w:ascii="Times New Roman" w:hAnsi="Times New Roman"/>
          <w:b/>
          <w:i w:val="0"/>
          <w:sz w:val="20"/>
          <w:u w:val="none"/>
        </w:rPr>
        <w:t>III. Results</w:t>
      </w:r>
    </w:p>
    <w:p>
      <w:pPr>
        <w:spacing w:before="0" w:after="64"/>
        <w:ind w:left="0"/>
        <w:jc w:val="both"/>
      </w:pPr>
      <w:r>
        <w:rPr>
          <w:rFonts w:ascii="Times New Roman" w:hAnsi="Times New Roman"/>
          <w:b/>
          <w:i w:val="0"/>
          <w:sz w:val="20"/>
          <w:u w:val="none"/>
        </w:rPr>
        <w:t>Steady-state hold.</w:t>
      </w:r>
      <w:r>
        <w:rPr>
          <w:rFonts w:ascii="Times New Roman" w:hAnsi="Times New Roman"/>
          <w:b w:val="0"/>
          <w:i w:val="0"/>
          <w:sz w:val="20"/>
          <w:u w:val="none"/>
        </w:rPr>
        <w:t xml:space="preserve"> All 16 holds sit inside the ±0.05 N deadband (worst mean error 0.049 N), with 0.028 N SD on average and 0.073 N at worst (Table 1, Figure 3); the force is inside the band 87% of the time, and relative error falls from 6.3% of setpoint at 0.5 N to 0.8–1.4% at and above 3 N. That scatter is the sensor's own ±0.05 N per-axis noise floor, so it is bounded by the instrument rather than the controller, and the two separately calibrated sessions agree within 0.047 N. The negative bias is the deadband as designed: the regulator stops inside the band.</w:t>
      </w:r>
    </w:p>
    <w:p>
      <w:pPr>
        <w:spacing w:after="0"/>
        <w:sectPr>
          <w:type w:val="continuous"/>
          <w:pgSz w:w="11906" w:h="16838"/>
          <w:pgMar w:top="567" w:right="1417" w:bottom="567" w:left="1417" w:header="567" w:footer="567" w:gutter="0"/>
          <w:cols w:space="396" w:num="2"/>
          <w:docGrid w:linePitch="360"/>
        </w:sectPr>
      </w:pPr>
    </w:p>
    <w:p>
      <w:pPr>
        <w:keepNext/>
        <w:spacing w:before="80" w:after="0"/>
        <w:jc w:val="center"/>
      </w:pPr>
      <w:r>
        <w:drawing>
          <wp:inline xmlns:a="http://schemas.openxmlformats.org/drawingml/2006/main" xmlns:pic="http://schemas.openxmlformats.org/drawingml/2006/picture">
            <wp:extent cx="4896000" cy="1202808"/>
            <wp:docPr id="3" name="Picture 3"/>
            <wp:cNvGraphicFramePr>
              <a:graphicFrameLocks noChangeAspect="1"/>
            </wp:cNvGraphicFramePr>
            <a:graphic>
              <a:graphicData uri="http://schemas.openxmlformats.org/drawingml/2006/picture">
                <pic:pic>
                  <pic:nvPicPr>
                    <pic:cNvPr id="0" name="fig_fh_hold.png"/>
                    <pic:cNvPicPr/>
                  </pic:nvPicPr>
                  <pic:blipFill>
                    <a:blip r:embed="rId12"/>
                    <a:stretch>
                      <a:fillRect/>
                    </a:stretch>
                  </pic:blipFill>
                  <pic:spPr>
                    <a:xfrm>
                      <a:off x="0" y="0"/>
                      <a:ext cx="4896000" cy="1202808"/>
                    </a:xfrm>
                    <a:prstGeom prst="rect"/>
                  </pic:spPr>
                </pic:pic>
              </a:graphicData>
            </a:graphic>
          </wp:inline>
        </w:drawing>
      </w:r>
    </w:p>
    <w:p>
      <w:pPr>
        <w:spacing w:after="80"/>
        <w:jc w:val="both"/>
      </w:pPr>
      <w:r>
        <w:rPr>
          <w:rFonts w:ascii="Times New Roman" w:hAnsi="Times New Roman"/>
          <w:b/>
          <w:i w:val="0"/>
          <w:sz w:val="15"/>
          <w:u w:val="none"/>
        </w:rPr>
        <w:t>Figure 3.</w:t>
      </w:r>
      <w:r>
        <w:rPr>
          <w:rFonts w:ascii="Times New Roman" w:hAnsi="Times New Roman"/>
          <w:b w:val="0"/>
          <w:i w:val="0"/>
          <w:sz w:val="15"/>
          <w:u w:val="none"/>
        </w:rPr>
        <w:t xml:space="preserve"> (a) Every hold of one session as error from its own setpoint, over the 27 s scored after the entry transient. (b) The eight steady-state equilibria and their fit — the phantom, measured by the holds.</w:t>
      </w:r>
    </w:p>
    <w:p>
      <w:pPr>
        <w:spacing w:after="0"/>
        <w:sectPr>
          <w:type w:val="continuous"/>
          <w:pgSz w:w="11906" w:h="16838"/>
          <w:pgMar w:top="567" w:right="1417" w:bottom="567" w:left="1417" w:header="567" w:footer="567" w:gutter="0"/>
          <w:cols w:space="396" w:num="1"/>
          <w:docGrid w:linePitch="360"/>
        </w:sectPr>
      </w:pPr>
    </w:p>
    <w:p>
      <w:pPr>
        <w:keepNext/>
        <w:spacing w:before="120" w:after="40"/>
      </w:pPr>
      <w:r>
        <w:rPr>
          <w:rFonts w:ascii="Times New Roman" w:hAnsi="Times New Roman"/>
          <w:b/>
          <w:i w:val="0"/>
          <w:sz w:val="15"/>
          <w:u w:val="none"/>
        </w:rPr>
        <w:t>Table 1.</w:t>
      </w:r>
      <w:r>
        <w:rPr>
          <w:rFonts w:ascii="Times New Roman" w:hAnsi="Times New Roman"/>
          <w:b w:val="0"/>
          <w:i w:val="0"/>
          <w:sz w:val="15"/>
          <w:u w:val="none"/>
        </w:rPr>
        <w:t xml:space="preserve"> Constant-force hold by setpoint; each row pools two 30 s holds from two independently calibrated sessions. SD is band-width independent, so rows are comparable.</w:t>
      </w:r>
    </w:p>
    <w:tbl>
      <w:tblPr>
        <w:tblW w:type="auto" w:w="0"/>
        <w:jc w:val="center"/>
        <w:tblLayout w:type="fixed"/>
        <w:tblLook w:firstColumn="1" w:firstRow="1" w:lastColumn="0" w:lastRow="0" w:noHBand="0" w:noVBand="1" w:val="04A0"/>
        <w:tblLayout w:type="fixed"/>
        <w:tblW w:w="4309" w:type="dxa"/>
      </w:tblPr>
      <w:tblGrid>
        <w:gridCol w:w="897"/>
        <w:gridCol w:w="718"/>
        <w:gridCol w:w="1017"/>
        <w:gridCol w:w="778"/>
        <w:gridCol w:w="897"/>
      </w:tblGrid>
      <w:tr>
        <w:trPr>
          <w:cantSplit/>
        </w:trPr>
        <w:tc>
          <w:tcPr>
            <w:tcW w:type="dxa" w:w="898"/>
            <w:tcBorders>
              <w:top w:val="single" w:sz="8" w:color="000000"/>
              <w:bottom w:val="single" w:sz="8" w:color="000000"/>
              <w:left w:val="nil"/>
              <w:right w:val="nil"/>
            </w:tcBorders>
          </w:tcPr>
          <w:p>
            <w:pPr>
              <w:spacing w:after="10"/>
              <w:keepNext/>
            </w:pPr>
            <w:r>
              <w:rPr>
                <w:rFonts w:ascii="Times New Roman" w:hAnsi="Times New Roman"/>
                <w:b/>
                <w:i w:val="0"/>
                <w:sz w:val="14"/>
                <w:u w:val="none"/>
              </w:rPr>
              <w:t>Target [N]</w:t>
            </w:r>
          </w:p>
        </w:tc>
        <w:tc>
          <w:tcPr>
            <w:tcW w:type="dxa" w:w="718"/>
            <w:tcBorders>
              <w:top w:val="single" w:sz="8" w:color="000000"/>
              <w:bottom w:val="single" w:sz="8" w:color="000000"/>
              <w:left w:val="nil"/>
              <w:right w:val="nil"/>
            </w:tcBorders>
          </w:tcPr>
          <w:p>
            <w:pPr>
              <w:spacing w:after="10"/>
              <w:keepNext/>
            </w:pPr>
            <w:r>
              <w:rPr>
                <w:rFonts w:ascii="Times New Roman" w:hAnsi="Times New Roman"/>
                <w:b/>
                <w:i w:val="0"/>
                <w:sz w:val="14"/>
                <w:u w:val="none"/>
              </w:rPr>
              <w:t>SD [N]</w:t>
            </w:r>
          </w:p>
        </w:tc>
        <w:tc>
          <w:tcPr>
            <w:tcW w:type="dxa" w:w="1017"/>
            <w:tcBorders>
              <w:top w:val="single" w:sz="8" w:color="000000"/>
              <w:bottom w:val="single" w:sz="8" w:color="000000"/>
              <w:left w:val="nil"/>
              <w:right w:val="nil"/>
            </w:tcBorders>
          </w:tcPr>
          <w:p>
            <w:pPr>
              <w:spacing w:after="10"/>
              <w:keepNext/>
            </w:pPr>
            <w:r>
              <w:rPr>
                <w:rFonts w:ascii="Times New Roman" w:hAnsi="Times New Roman"/>
                <w:b/>
                <w:i w:val="0"/>
                <w:sz w:val="14"/>
                <w:u w:val="none"/>
              </w:rPr>
              <w:t>Mean error [N]</w:t>
            </w:r>
          </w:p>
        </w:tc>
        <w:tc>
          <w:tcPr>
            <w:tcW w:type="dxa" w:w="778"/>
            <w:tcBorders>
              <w:top w:val="single" w:sz="8" w:color="000000"/>
              <w:bottom w:val="single" w:sz="8" w:color="000000"/>
              <w:left w:val="nil"/>
              <w:right w:val="nil"/>
            </w:tcBorders>
          </w:tcPr>
          <w:p>
            <w:pPr>
              <w:spacing w:after="10"/>
              <w:keepNext/>
            </w:pPr>
            <w:r>
              <w:rPr>
                <w:rFonts w:ascii="Times New Roman" w:hAnsi="Times New Roman"/>
                <w:b/>
                <w:i w:val="0"/>
                <w:sz w:val="14"/>
                <w:u w:val="none"/>
              </w:rPr>
              <w:t>In band [%]</w:t>
            </w:r>
          </w:p>
        </w:tc>
        <w:tc>
          <w:tcPr>
            <w:tcW w:type="dxa" w:w="898"/>
            <w:tcBorders>
              <w:top w:val="single" w:sz="8" w:color="000000"/>
              <w:bottom w:val="single" w:sz="8" w:color="000000"/>
              <w:left w:val="nil"/>
              <w:right w:val="nil"/>
            </w:tcBorders>
          </w:tcPr>
          <w:p>
            <w:pPr>
              <w:spacing w:after="10"/>
              <w:keepNext/>
            </w:pPr>
            <w:r>
              <w:rPr>
                <w:rFonts w:ascii="Times New Roman" w:hAnsi="Times New Roman"/>
                <w:b/>
                <w:i w:val="0"/>
                <w:sz w:val="14"/>
                <w:u w:val="none"/>
              </w:rPr>
              <w:t>Peak ‖F‖ [N]</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0.5</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0.023</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-0.017</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89</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0.60</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1.0</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0.022</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-0.013</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84</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1.10</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1.5</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0.022</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-0.012</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94</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1.57</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2.0</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0.026</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-0.016</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90</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2.09</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2.5</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0.029</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-0.031</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73</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2.59</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3.0</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0.026</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-0.015</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90</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3.10</w:t>
            </w:r>
          </w:p>
        </w:tc>
      </w:tr>
      <w:tr>
        <w:trPr>
          <w:cantSplit/>
        </w:trPr>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3.5</w:t>
            </w:r>
          </w:p>
        </w:tc>
        <w:tc>
          <w:tcPr>
            <w:tcW w:type="dxa" w:w="718"/>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0.025</w:t>
            </w:r>
          </w:p>
        </w:tc>
        <w:tc>
          <w:tcPr>
            <w:tcW w:type="dxa" w:w="1017"/>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-0.008</w:t>
            </w:r>
          </w:p>
        </w:tc>
        <w:tc>
          <w:tcPr>
            <w:tcW w:type="dxa" w:w="778"/>
            <w:tcBorders>
              <w:top w:val="single" w:sz="4" w:color="808080"/>
              <w:bottom w:val="single" w:sz="4" w:color="808080"/>
              <w:left w:val="nil"/>
              <w:right w:val="nil"/>
            </w:tcBorders>
          </w:tcPr>
          <w:p>
            <w:pPr>
              <w:spacing w:after="10"/>
              <w:keepNext/>
            </w:pPr>
            <w:r>
              <w:rPr>
                <w:rFonts w:ascii="Times New Roman" w:hAnsi="Times New Roman"/>
                <w:b w:val="0"/>
                <w:i w:val="0"/>
                <w:sz w:val="14"/>
                <w:u w:val="none"/>
              </w:rPr>
              <w:t>94</w:t>
            </w:r>
          </w:p>
        </w:tc>
        <w:tc>
          <w:tcPr>
            <w:tcW w:type="dxa" w:w="898"/>
            <w:tcBorders>
              <w:top w:val="single" w:sz="4" w:color="808080"/>
              <w:bottom w:val="single" w:sz="4" w:color="808080"/>
              <w:left w:val="nil"/>
              <w:right w:val="nil"/>
            </w:tcBorders>
          </w:tcPr>
          <w:p>
            <w:pPr>
              <w:spacing w:after="10"/>
              <w:keepNext/>
            </w:pPr>
            <w:r>
              <w:rPr>
                <w:rFonts w:ascii="Times New Roman" w:hAnsi="Times New Roman"/>
                <w:b w:val="0"/>
                <w:i w:val="0"/>
                <w:sz w:val="14"/>
                <w:u w:val="none"/>
              </w:rPr>
              <w:t>3.59</w:t>
            </w:r>
          </w:p>
        </w:tc>
      </w:tr>
      <w:tr>
        <w:trPr>
          <w:cantSplit/>
        </w:trPr>
        <w:tc>
          <w:tcPr>
            <w:tcW w:type="dxa" w:w="898"/>
            <w:tcBorders>
              <w:top w:val="single" w:sz="4" w:color="808080"/>
              <w:bottom w:val="single" w:sz="4" w:color="808080"/>
              <w:left w:val="nil"/>
              <w:right w:val="nil"/>
            </w:tcBorders>
          </w:tcPr>
          <w:p>
            <w:pPr>
              <w:spacing w:after="10"/>
            </w:pPr>
            <w:r>
              <w:rPr>
                <w:rFonts w:ascii="Times New Roman" w:hAnsi="Times New Roman"/>
                <w:b w:val="0"/>
                <w:i w:val="0"/>
                <w:sz w:val="14"/>
                <w:u w:val="none"/>
              </w:rPr>
              <w:t>4.0</w:t>
            </w:r>
          </w:p>
        </w:tc>
        <w:tc>
          <w:tcPr>
            <w:tcW w:type="dxa" w:w="718"/>
            <w:tcBorders>
              <w:top w:val="single" w:sz="4" w:color="808080"/>
              <w:bottom w:val="single" w:sz="4" w:color="808080"/>
              <w:left w:val="nil"/>
              <w:right w:val="nil"/>
            </w:tcBorders>
          </w:tcPr>
          <w:p>
            <w:pPr>
              <w:spacing w:after="10"/>
            </w:pPr>
            <w:r>
              <w:rPr>
                <w:rFonts w:ascii="Times New Roman" w:hAnsi="Times New Roman"/>
                <w:b w:val="0"/>
                <w:i w:val="0"/>
                <w:sz w:val="14"/>
                <w:u w:val="none"/>
              </w:rPr>
              <w:t>0.049</w:t>
            </w:r>
          </w:p>
        </w:tc>
        <w:tc>
          <w:tcPr>
            <w:tcW w:type="dxa" w:w="1017"/>
            <w:tcBorders>
              <w:top w:val="single" w:sz="4" w:color="808080"/>
              <w:bottom w:val="single" w:sz="4" w:color="808080"/>
              <w:left w:val="nil"/>
              <w:right w:val="nil"/>
            </w:tcBorders>
          </w:tcPr>
          <w:p>
            <w:pPr>
              <w:spacing w:after="10"/>
            </w:pPr>
            <w:r>
              <w:rPr>
                <w:rFonts w:ascii="Times New Roman" w:hAnsi="Times New Roman"/>
                <w:b w:val="0"/>
                <w:i w:val="0"/>
                <w:sz w:val="14"/>
                <w:u w:val="none"/>
              </w:rPr>
              <w:t>-0.025</w:t>
            </w:r>
          </w:p>
        </w:tc>
        <w:tc>
          <w:tcPr>
            <w:tcW w:type="dxa" w:w="778"/>
            <w:tcBorders>
              <w:top w:val="single" w:sz="4" w:color="808080"/>
              <w:bottom w:val="single" w:sz="4" w:color="808080"/>
              <w:left w:val="nil"/>
              <w:right w:val="nil"/>
            </w:tcBorders>
          </w:tcPr>
          <w:p>
            <w:pPr>
              <w:spacing w:after="10"/>
            </w:pPr>
            <w:r>
              <w:rPr>
                <w:rFonts w:ascii="Times New Roman" w:hAnsi="Times New Roman"/>
                <w:b w:val="0"/>
                <w:i w:val="0"/>
                <w:sz w:val="14"/>
                <w:u w:val="none"/>
              </w:rPr>
              <w:t>83</w:t>
            </w:r>
          </w:p>
        </w:tc>
        <w:tc>
          <w:tcPr>
            <w:tcW w:type="dxa" w:w="898"/>
            <w:tcBorders>
              <w:top w:val="single" w:sz="4" w:color="808080"/>
              <w:bottom w:val="single" w:sz="4" w:color="808080"/>
              <w:left w:val="nil"/>
              <w:right w:val="nil"/>
            </w:tcBorders>
          </w:tcPr>
          <w:p>
            <w:pPr>
              <w:spacing w:after="10"/>
            </w:pPr>
            <w:r>
              <w:rPr>
                <w:rFonts w:ascii="Times New Roman" w:hAnsi="Times New Roman"/>
                <w:b w:val="0"/>
                <w:i w:val="0"/>
                <w:sz w:val="14"/>
                <w:u w:val="none"/>
              </w:rPr>
              <w:t>4.36</w:t>
            </w:r>
          </w:p>
        </w:tc>
      </w:tr>
    </w:tbl>
    <w:p>
      <w:pPr>
        <w:spacing w:after="0"/>
      </w:pPr>
    </w:p>
    <w:p>
      <w:pPr>
        <w:spacing w:before="0" w:after="64"/>
        <w:ind w:left="0"/>
        <w:jc w:val="both"/>
      </w:pPr>
      <w:r>
        <w:rPr>
          <w:rFonts w:ascii="Times New Roman" w:hAnsi="Times New Roman"/>
          <w:b/>
          <w:i w:val="0"/>
          <w:sz w:val="20"/>
          <w:u w:val="none"/>
        </w:rPr>
        <w:t>Disturbance, against its own control.</w:t>
      </w:r>
      <w:r>
        <w:rPr>
          <w:rFonts w:ascii="Times New Roman" w:hAnsi="Times New Roman"/>
          <w:b w:val="0"/>
          <w:i w:val="0"/>
          <w:sz w:val="20"/>
          <w:u w:val="none"/>
        </w:rPr>
        <w:t xml:space="preserve"> The 8 steady-state equilibria lie on a straight force-indentation line (</w:t>
      </w:r>
      <w:r>
        <w:rPr>
          <w:rFonts w:ascii="Times New Roman" w:hAnsi="Times New Roman"/>
          <w:b w:val="0"/>
          <w:i/>
          <w:sz w:val="20"/>
          <w:u w:val="none"/>
        </w:rPr>
        <w:t>k</w:t>
      </w:r>
      <w:r>
        <w:rPr>
          <w:rFonts w:ascii="Times New Roman" w:hAnsi="Times New Roman"/>
          <w:b w:val="0"/>
          <w:i w:val="0"/>
          <w:sz w:val="20"/>
          <w:u w:val="none"/>
        </w:rPr>
        <w:t xml:space="preserve"> = 0.374 N/mm, </w:t>
      </w:r>
      <w:r>
        <w:rPr>
          <w:rFonts w:ascii="Times New Roman" w:hAnsi="Times New Roman"/>
          <w:b w:val="0"/>
          <w:i/>
          <w:sz w:val="20"/>
          <w:u w:val="none"/>
        </w:rPr>
        <w:t>R</w:t>
      </w:r>
      <w:r>
        <w:rPr>
          <w:rFonts w:ascii="Times New Roman" w:hAnsi="Times New Roman"/>
          <w:b w:val="0"/>
          <w:i w:val="0"/>
          <w:sz w:val="20"/>
          <w:u w:val="none"/>
          <w:vertAlign w:val="superscript"/>
        </w:rPr>
        <w:t>2</w:t>
      </w:r>
      <w:r>
        <w:rPr>
          <w:rFonts w:ascii="Times New Roman" w:hAnsi="Times New Roman"/>
          <w:b w:val="0"/>
          <w:i w:val="0"/>
          <w:sz w:val="20"/>
          <w:u w:val="none"/>
        </w:rPr>
        <w:t xml:space="preserve"> = 0.997 over 9.6 mm), a controller-independent measurement of the phantom that turns each syringe step into surface motion: the median open-loop step of 0.89 N is 2.4 mm of travel. Steps arrived every 4.6 s (median) and the force peaked 3.1 s after onset. What separates the arms is what the robot did between steps. With the hold on the probe travelled 0.17 mm per step (IQR 0.13–0.24) against 0.01 mm frozen (rank-sum two-sided p &lt; 0.001), and after the peak brought the force back toward the setpoint at 0.23 N/s (IQR 0.13–0.32) against 0.13 N/s (IQR 0.07–0.16) for the phantom relaxing on its own (p &lt; 0.001). It recovered 38% of each deviation by the next step against 10%, and left 0.28 N of deviation from the setpoint when that step arrived against 0.38 N (p = 0.011); 70 events per arm over 0.5–3.5 N (Table 2, Figure 4). Neither arm re-entered the ±0.05 N deadband before the next step: from the median open-loop excursion that takes about 35 s at this loop's time constant, against a 4.6 s step interval. The peak of each excursion was not reduced — injection, median 0.83 against 0.74 N; withdrawal, 0.60 against 0.58 N — because it comes 3.1 s after the step and the loop's action accrues after it. The withdrawal figures are not alike even so: with the hold off the force was still +0.55 N above the setpoint when the withdrawal came and the window's extreme is that residue, whereas with the hold on the loop had pulled it back to +0.35 N and the withdrawal undershot to −0.60 N.</w:t>
      </w:r>
    </w:p>
    <w:p>
      <w:pPr>
        <w:keepNext/>
        <w:spacing w:before="120" w:after="40"/>
      </w:pPr>
      <w:r>
        <w:rPr>
          <w:rFonts w:ascii="Times New Roman" w:hAnsi="Times New Roman"/>
          <w:b/>
          <w:i w:val="0"/>
          <w:sz w:val="15"/>
          <w:u w:val="none"/>
        </w:rPr>
        <w:t>Table 2.</w:t>
      </w:r>
      <w:r>
        <w:rPr>
          <w:rFonts w:ascii="Times New Roman" w:hAnsi="Times New Roman"/>
          <w:b w:val="0"/>
          <w:i w:val="0"/>
          <w:sz w:val="15"/>
          <w:u w:val="none"/>
        </w:rPr>
        <w:t xml:space="preserve"> Disturbance response over 0.5–3.5 N against the placebo arm — same phantom, contact point and routine. The 4.0 N band is excluded: the forced retreat fired in both arms.</w:t>
      </w:r>
    </w:p>
    <w:tbl>
      <w:tblPr>
        <w:tblW w:type="auto" w:w="0"/>
        <w:jc w:val="center"/>
        <w:tblLayout w:type="fixed"/>
        <w:tblLook w:firstColumn="1" w:firstRow="1" w:lastColumn="0" w:lastRow="0" w:noHBand="0" w:noVBand="1" w:val="04A0"/>
        <w:tblLayout w:type="fixed"/>
        <w:tblW w:w="4309" w:type="dxa"/>
      </w:tblPr>
      <w:tblGrid>
        <w:gridCol w:w="2085"/>
        <w:gridCol w:w="1112"/>
        <w:gridCol w:w="1112"/>
      </w:tblGrid>
      <w:tr>
        <w:trPr>
          <w:cantSplit/>
        </w:trPr>
        <w:tc>
          <w:tcPr>
            <w:tcW w:type="dxa" w:w="2085"/>
            <w:tcBorders>
              <w:top w:val="single" w:sz="8" w:color="000000"/>
              <w:bottom w:val="single" w:sz="8" w:color="000000"/>
              <w:left w:val="nil"/>
              <w:right w:val="nil"/>
            </w:tcBorders>
          </w:tcPr>
          <w:p>
            <w:pPr>
              <w:spacing w:after="10"/>
              <w:keepNext/>
            </w:pPr>
            <w:r>
              <w:rPr>
                <w:rFonts w:ascii="Times New Roman" w:hAnsi="Times New Roman"/>
                <w:b/>
                <w:i w:val="0"/>
                <w:sz w:val="14"/>
                <w:u w:val="none"/>
              </w:rPr>
              <w:t>Metric (per syringe step)</w:t>
            </w:r>
          </w:p>
        </w:tc>
        <w:tc>
          <w:tcPr>
            <w:tcW w:type="dxa" w:w="1112"/>
            <w:tcBorders>
              <w:top w:val="single" w:sz="8" w:color="000000"/>
              <w:bottom w:val="single" w:sz="8" w:color="000000"/>
              <w:left w:val="nil"/>
              <w:right w:val="nil"/>
            </w:tcBorders>
          </w:tcPr>
          <w:p>
            <w:pPr>
              <w:spacing w:after="10"/>
              <w:keepNext/>
            </w:pPr>
            <w:r>
              <w:rPr>
                <w:rFonts w:ascii="Times New Roman" w:hAnsi="Times New Roman"/>
                <w:b/>
                <w:i w:val="0"/>
                <w:sz w:val="14"/>
                <w:u w:val="none"/>
              </w:rPr>
              <w:t>Hold on</w:t>
            </w:r>
          </w:p>
        </w:tc>
        <w:tc>
          <w:tcPr>
            <w:tcW w:type="dxa" w:w="1112"/>
            <w:tcBorders>
              <w:top w:val="single" w:sz="8" w:color="000000"/>
              <w:bottom w:val="single" w:sz="8" w:color="000000"/>
              <w:left w:val="nil"/>
              <w:right w:val="nil"/>
            </w:tcBorders>
          </w:tcPr>
          <w:p>
            <w:pPr>
              <w:spacing w:after="10"/>
              <w:keepNext/>
            </w:pPr>
            <w:r>
              <w:rPr>
                <w:rFonts w:ascii="Times New Roman" w:hAnsi="Times New Roman"/>
                <w:b/>
                <w:i w:val="0"/>
                <w:sz w:val="14"/>
                <w:u w:val="none"/>
              </w:rPr>
              <w:t>Hold off</w:t>
            </w:r>
          </w:p>
        </w:tc>
      </w:tr>
      <w:tr>
        <w:trPr>
          <w:cantSplit/>
        </w:trPr>
        <w:tc>
          <w:tcPr>
            <w:tcW w:type="dxa" w:w="2085"/>
            <w:tcBorders>
              <w:top w:val="single" w:sz="4" w:color="808080"/>
              <w:bottom w:val="single" w:sz="4" w:color="808080"/>
              <w:left w:val="nil"/>
              <w:right w:val="nil"/>
            </w:tcBorders>
          </w:tcPr>
          <w:p>
            <w:pPr>
              <w:spacing w:after="10"/>
              <w:keepNext/>
            </w:pPr>
            <w:r>
              <w:rPr>
                <w:rFonts w:ascii="Times New Roman" w:hAnsi="Times New Roman"/>
                <w:b w:val="0"/>
                <w:i w:val="0"/>
                <w:sz w:val="14"/>
                <w:u w:val="none"/>
              </w:rPr>
              <w:t>Probe travel, |peak| [mm], median (IQR)</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0.17 (0.13–0.24)</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0.01 (0.01–0.01)</w:t>
            </w:r>
          </w:p>
        </w:tc>
      </w:tr>
      <w:tr>
        <w:trPr>
          <w:cantSplit/>
        </w:trPr>
        <w:tc>
          <w:tcPr>
            <w:tcW w:type="dxa" w:w="2085"/>
            <w:tcBorders>
              <w:top w:val="single" w:sz="4" w:color="808080"/>
              <w:bottom w:val="single" w:sz="4" w:color="808080"/>
              <w:left w:val="nil"/>
              <w:right w:val="nil"/>
            </w:tcBorders>
          </w:tcPr>
          <w:p>
            <w:pPr>
              <w:spacing w:after="10"/>
              <w:keepNext/>
            </w:pPr>
            <w:r>
              <w:rPr>
                <w:rFonts w:ascii="Times New Roman" w:hAnsi="Times New Roman"/>
                <w:b w:val="0"/>
                <w:i w:val="0"/>
                <w:sz w:val="14"/>
                <w:u w:val="none"/>
              </w:rPr>
              <w:t>Return toward setpoint after the peak [N/s], median (IQR)</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0.23 (0.13–0.32)</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0.13 (0.07–0.16)</w:t>
            </w:r>
          </w:p>
        </w:tc>
      </w:tr>
      <w:tr>
        <w:trPr>
          <w:cantSplit/>
        </w:trPr>
        <w:tc>
          <w:tcPr>
            <w:tcW w:type="dxa" w:w="2085"/>
            <w:tcBorders>
              <w:top w:val="single" w:sz="4" w:color="808080"/>
              <w:bottom w:val="single" w:sz="4" w:color="808080"/>
              <w:left w:val="nil"/>
              <w:right w:val="nil"/>
            </w:tcBorders>
          </w:tcPr>
          <w:p>
            <w:pPr>
              <w:spacing w:after="10"/>
              <w:keepNext/>
            </w:pPr>
            <w:r>
              <w:rPr>
                <w:rFonts w:ascii="Times New Roman" w:hAnsi="Times New Roman"/>
                <w:b w:val="0"/>
                <w:i w:val="0"/>
                <w:sz w:val="14"/>
                <w:u w:val="none"/>
              </w:rPr>
              <w:t>Deviation left at step end, |‖F‖ − target| [N], median (IQR)</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0.28 (0.19–0.42)</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0.38 (0.23–0.59)</w:t>
            </w:r>
          </w:p>
        </w:tc>
      </w:tr>
      <w:tr>
        <w:trPr>
          <w:cantSplit/>
        </w:trPr>
        <w:tc>
          <w:tcPr>
            <w:tcW w:type="dxa" w:w="2085"/>
            <w:tcBorders>
              <w:top w:val="single" w:sz="4" w:color="808080"/>
              <w:bottom w:val="single" w:sz="4" w:color="808080"/>
              <w:left w:val="nil"/>
              <w:right w:val="nil"/>
            </w:tcBorders>
          </w:tcPr>
          <w:p>
            <w:pPr>
              <w:spacing w:after="10"/>
              <w:keepNext/>
            </w:pPr>
            <w:r>
              <w:rPr>
                <w:rFonts w:ascii="Times New Roman" w:hAnsi="Times New Roman"/>
                <w:b w:val="0"/>
                <w:i w:val="0"/>
                <w:sz w:val="14"/>
                <w:u w:val="none"/>
              </w:rPr>
              <w:t>Deviation recovered by step end [%]</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38</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10</w:t>
            </w:r>
          </w:p>
        </w:tc>
      </w:tr>
      <w:tr>
        <w:trPr>
          <w:cantSplit/>
        </w:trPr>
        <w:tc>
          <w:tcPr>
            <w:tcW w:type="dxa" w:w="2085"/>
            <w:tcBorders>
              <w:top w:val="single" w:sz="4" w:color="808080"/>
              <w:bottom w:val="single" w:sz="4" w:color="808080"/>
              <w:left w:val="nil"/>
              <w:right w:val="nil"/>
            </w:tcBorders>
          </w:tcPr>
          <w:p>
            <w:pPr>
              <w:spacing w:after="10"/>
              <w:keepNext/>
            </w:pPr>
            <w:r>
              <w:rPr>
                <w:rFonts w:ascii="Times New Roman" w:hAnsi="Times New Roman"/>
                <w:b w:val="0"/>
                <w:i w:val="0"/>
                <w:sz w:val="14"/>
                <w:u w:val="none"/>
              </w:rPr>
              <w:t>Peak |‖F‖ − target|, injection [N], median (IQR)</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0.83 (0.67–1.05)</w:t>
            </w:r>
          </w:p>
        </w:tc>
        <w:tc>
          <w:tcPr>
            <w:tcW w:type="dxa" w:w="1112"/>
            <w:tcBorders>
              <w:top w:val="single" w:sz="4" w:color="808080"/>
              <w:bottom w:val="single" w:sz="4" w:color="808080"/>
              <w:left w:val="nil"/>
              <w:right w:val="nil"/>
            </w:tcBorders>
          </w:tcPr>
          <w:p>
            <w:pPr>
              <w:spacing w:after="10"/>
              <w:keepNext/>
            </w:pPr>
            <w:r>
              <w:rPr>
                <w:rFonts w:ascii="Times New Roman" w:hAnsi="Times New Roman"/>
                <w:b w:val="0"/>
                <w:i w:val="0"/>
                <w:sz w:val="14"/>
                <w:u w:val="none"/>
              </w:rPr>
              <w:t>0.74 (0.65–0.81)</w:t>
            </w:r>
          </w:p>
        </w:tc>
      </w:tr>
      <w:tr>
        <w:trPr>
          <w:cantSplit/>
        </w:trPr>
        <w:tc>
          <w:tcPr>
            <w:tcW w:type="dxa" w:w="2085"/>
            <w:tcBorders>
              <w:top w:val="single" w:sz="4" w:color="808080"/>
              <w:bottom w:val="single" w:sz="4" w:color="808080"/>
              <w:left w:val="nil"/>
              <w:right w:val="nil"/>
            </w:tcBorders>
          </w:tcPr>
          <w:p>
            <w:pPr>
              <w:spacing w:after="10"/>
            </w:pPr>
            <w:r>
              <w:rPr>
                <w:rFonts w:ascii="Times New Roman" w:hAnsi="Times New Roman"/>
                <w:b w:val="0"/>
                <w:i w:val="0"/>
                <w:sz w:val="14"/>
                <w:u w:val="none"/>
              </w:rPr>
              <w:t>Peak |‖F‖ − target|, withdrawal [N], median (IQR)</w:t>
            </w:r>
          </w:p>
        </w:tc>
        <w:tc>
          <w:tcPr>
            <w:tcW w:type="dxa" w:w="1112"/>
            <w:tcBorders>
              <w:top w:val="single" w:sz="4" w:color="808080"/>
              <w:bottom w:val="single" w:sz="4" w:color="808080"/>
              <w:left w:val="nil"/>
              <w:right w:val="nil"/>
            </w:tcBorders>
          </w:tcPr>
          <w:p>
            <w:pPr>
              <w:spacing w:after="10"/>
            </w:pPr>
            <w:r>
              <w:rPr>
                <w:rFonts w:ascii="Times New Roman" w:hAnsi="Times New Roman"/>
                <w:b w:val="0"/>
                <w:i w:val="0"/>
                <w:sz w:val="14"/>
                <w:u w:val="none"/>
              </w:rPr>
              <w:t>0.60 (0.46–0.74)</w:t>
            </w:r>
          </w:p>
        </w:tc>
        <w:tc>
          <w:tcPr>
            <w:tcW w:type="dxa" w:w="1112"/>
            <w:tcBorders>
              <w:top w:val="single" w:sz="4" w:color="808080"/>
              <w:bottom w:val="single" w:sz="4" w:color="808080"/>
              <w:left w:val="nil"/>
              <w:right w:val="nil"/>
            </w:tcBorders>
          </w:tcPr>
          <w:p>
            <w:pPr>
              <w:spacing w:after="10"/>
            </w:pPr>
            <w:r>
              <w:rPr>
                <w:rFonts w:ascii="Times New Roman" w:hAnsi="Times New Roman"/>
                <w:b w:val="0"/>
                <w:i w:val="0"/>
                <w:sz w:val="14"/>
                <w:u w:val="none"/>
              </w:rPr>
              <w:t>0.58 (0.48–0.64)</w:t>
            </w:r>
          </w:p>
        </w:tc>
      </w:tr>
    </w:tbl>
    <w:p>
      <w:pPr>
        <w:spacing w:after="0"/>
      </w:pPr>
    </w:p>
    <w:p>
      <w:pPr>
        <w:spacing w:after="0"/>
        <w:sectPr>
          <w:type w:val="continuous"/>
          <w:pgSz w:w="11906" w:h="16838"/>
          <w:pgMar w:top="567" w:right="1417" w:bottom="567" w:left="1417" w:header="567" w:footer="567" w:gutter="0"/>
          <w:cols w:space="396" w:num="2"/>
          <w:docGrid w:linePitch="360"/>
        </w:sectPr>
      </w:pPr>
    </w:p>
    <w:p>
      <w:pPr>
        <w:keepNext/>
        <w:spacing w:before="80" w:after="0"/>
        <w:jc w:val="center"/>
      </w:pPr>
      <w:r>
        <w:drawing>
          <wp:inline xmlns:a="http://schemas.openxmlformats.org/drawingml/2006/main" xmlns:pic="http://schemas.openxmlformats.org/drawingml/2006/picture">
            <wp:extent cx="4896000" cy="1262375"/>
            <wp:docPr id="4" name="Picture 4"/>
            <wp:cNvGraphicFramePr>
              <a:graphicFrameLocks noChangeAspect="1"/>
            </wp:cNvGraphicFramePr>
            <a:graphic>
              <a:graphicData uri="http://schemas.openxmlformats.org/drawingml/2006/picture">
                <pic:pic>
                  <pic:nvPicPr>
                    <pic:cNvPr id="0" name="fig_fh_placebo.png"/>
                    <pic:cNvPicPr/>
                  </pic:nvPicPr>
                  <pic:blipFill>
                    <a:blip r:embed="rId13"/>
                    <a:stretch>
                      <a:fillRect/>
                    </a:stretch>
                  </pic:blipFill>
                  <pic:spPr>
                    <a:xfrm>
                      <a:off x="0" y="0"/>
                      <a:ext cx="4896000" cy="1262375"/>
                    </a:xfrm>
                    <a:prstGeom prst="rect"/>
                  </pic:spPr>
                </pic:pic>
              </a:graphicData>
            </a:graphic>
          </wp:inline>
        </w:drawing>
      </w:r>
    </w:p>
    <w:p>
      <w:pPr>
        <w:spacing w:after="80"/>
        <w:jc w:val="both"/>
      </w:pPr>
      <w:r>
        <w:rPr>
          <w:rFonts w:ascii="Times New Roman" w:hAnsi="Times New Roman"/>
          <w:b/>
          <w:i w:val="0"/>
          <w:sz w:val="15"/>
          <w:u w:val="none"/>
        </w:rPr>
        <w:t>Figure 4.</w:t>
      </w:r>
      <w:r>
        <w:rPr>
          <w:rFonts w:ascii="Times New Roman" w:hAnsi="Times New Roman"/>
          <w:b w:val="0"/>
          <w:i w:val="0"/>
          <w:sz w:val="15"/>
          <w:u w:val="none"/>
        </w:rPr>
        <w:t xml:space="preserve"> Placebo-controlled disturbance response, force hold on against off, median and IQR per band. (a) Probe travel per syringe step — the robot's own motion. (b) Deviation from the setpoint left when the next step arrived. The safety-contaminated 4.0 N band is shaded, its medians printed above the axis.</w:t>
      </w:r>
    </w:p>
    <w:p>
      <w:pPr>
        <w:spacing w:after="0"/>
        <w:sectPr>
          <w:type w:val="continuous"/>
          <w:pgSz w:w="11906" w:h="16838"/>
          <w:pgMar w:top="567" w:right="1417" w:bottom="567" w:left="1417" w:header="567" w:footer="567" w:gutter="0"/>
          <w:cols w:space="396" w:num="1"/>
          <w:docGrid w:linePitch="360"/>
        </w:sectPr>
      </w:pPr>
    </w:p>
    <w:p>
      <w:pPr>
        <w:spacing w:before="0" w:after="64"/>
        <w:ind w:left="0"/>
        <w:jc w:val="both"/>
      </w:pPr>
      <w:r>
        <w:rPr>
          <w:rFonts w:ascii="Times New Roman" w:hAnsi="Times New Roman"/>
          <w:b/>
          <w:i w:val="0"/>
          <w:sz w:val="20"/>
          <w:u w:val="none"/>
        </w:rPr>
        <w:t>Safety layer.</w:t>
      </w:r>
      <w:r>
        <w:rPr>
          <w:rFonts w:ascii="Times New Roman" w:hAnsi="Times New Roman"/>
          <w:b w:val="0"/>
          <w:i w:val="0"/>
          <w:sz w:val="20"/>
          <w:u w:val="none"/>
        </w:rPr>
        <w:t xml:space="preserve"> Undisturbed holds stayed 0.4 N below the 4.5 N warning; under disturbance it was reached in 4 runs and the 5.0 N limit crossed in 2 — the 4.0 N band in both arms, peaking at 5.38 N — where the forced retreat fired and capped it, in the placebo arm as well.</w:t>
      </w:r>
    </w:p>
    <w:p>
      <w:pPr>
        <w:keepNext/>
        <w:spacing w:before="90" w:after="0"/>
        <w:ind w:left="0"/>
        <w:jc w:val="center"/>
      </w:pPr>
      <w:r>
        <w:rPr>
          <w:rFonts w:ascii="Times New Roman" w:hAnsi="Times New Roman"/>
          <w:b/>
          <w:i w:val="0"/>
          <w:sz w:val="20"/>
          <w:u w:val="none"/>
        </w:rPr>
        <w:t>IV. Discussion and Conclusion</w:t>
      </w:r>
    </w:p>
    <w:p>
      <w:pPr>
        <w:spacing w:before="0" w:after="64"/>
        <w:ind w:left="0"/>
        <w:jc w:val="both"/>
      </w:pPr>
      <w:r>
        <w:rPr>
          <w:rFonts w:ascii="Times New Roman" w:hAnsi="Times New Roman"/>
          <w:b w:val="0"/>
          <w:i w:val="0"/>
          <w:sz w:val="20"/>
          <w:u w:val="none"/>
        </w:rPr>
        <w:t xml:space="preserve">The loop holds a commanded contact force across an eightfold range of setpoints to within its own sensor's noise — the precondition for using a fixed force as an operating point. Against 4.6 s forcing the loop acts after the peak: it moves the probe and brings the force back toward the setpoint at twice the rate the phantom relaxes on its own (0.23 against 0.13 N/s), recovering 38% of each deviation by the next step, but does not cut the peak itself — a bandwidth statement about this tuning rather than a defect: the closed-loop time constant </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w:t>
      </w:r>
      <w:r>
        <w:rPr>
          <w:rFonts w:ascii="Times New Roman" w:hAnsi="Times New Roman"/>
          <w:b w:val="0"/>
          <w:i/>
          <w:sz w:val="20"/>
          <w:u w:val="none"/>
        </w:rPr>
        <w:t>k</w:t>
      </w:r>
      <w:r>
        <w:rPr>
          <w:rFonts w:ascii="Times New Roman" w:hAnsi="Times New Roman"/>
          <w:b w:val="0"/>
          <w:i w:val="0"/>
          <w:sz w:val="20"/>
          <w:u w:val="none"/>
        </w:rPr>
        <w:t xml:space="preserve"> is 12 s at the stiffness measured here, so the force peaks long before the loop can answer. </w:t>
      </w:r>
      <w:r>
        <w:rPr>
          <w:rFonts w:ascii="Times New Roman" w:hAnsi="Times New Roman"/>
          <w:b w:val="0"/>
          <w:i/>
          <w:sz w:val="20"/>
          <w:u w:val="none"/>
        </w:rPr>
        <w:t>B</w:t>
      </w:r>
      <w:r>
        <w:rPr>
          <w:rFonts w:ascii="Times New Roman" w:hAnsi="Times New Roman"/>
          <w:b w:val="0"/>
          <w:i w:val="0"/>
          <w:sz w:val="20"/>
          <w:u w:val="none"/>
          <w:vertAlign w:val="subscript"/>
        </w:rPr>
        <w:t>z</w:t>
      </w:r>
      <w:r>
        <w:rPr>
          <w:rFonts w:ascii="Times New Roman" w:hAnsi="Times New Roman"/>
          <w:b w:val="0"/>
          <w:i w:val="0"/>
          <w:sz w:val="20"/>
          <w:u w:val="none"/>
        </w:rPr>
        <w:t xml:space="preserve"> was raised to 4500 N·s/m to remove a sustained limit cycle seen at 1000 and 3000 N·s/m (hold SD 0.31 and 0.17 N against 0.03 N here): precision and bandwidth were traded knowingly, and quasi-static drift (tissue relaxation, bladder filling) falls inside this bandwidth while the 4.6 s steps tested here do not — nor, by the same arithmetic, would respiration-rate motion. Limitations: one contact point and angle, a phantom less viscoelastic than tissue, and a top band shaped by the safety layer. The placebo arm is the transferable part: without it the recovery could not be attributed to the loop, and the unreduced peak would have passed for rejection.</w:t>
      </w:r>
    </w:p>
    <w:p>
      <w:pPr>
        <w:keepNext/>
        <w:spacing w:before="90" w:after="0"/>
        <w:ind w:left="0"/>
        <w:jc w:val="center"/>
      </w:pPr>
      <w:r>
        <w:rPr>
          <w:rFonts w:ascii="Times New Roman" w:hAnsi="Times New Roman"/>
          <w:b/>
          <w:i w:val="0"/>
          <w:sz w:val="20"/>
          <w:u w:val="none"/>
        </w:rPr>
        <w:t>References</w:t>
      </w:r>
    </w:p>
    <w:p>
      <w:pPr>
        <w:spacing w:before="0" w:after="4" w:line="240" w:lineRule="auto"/>
        <w:ind w:left="0"/>
        <w:jc w:val="both"/>
      </w:pPr>
      <w:r>
        <w:rPr>
          <w:rFonts w:ascii="Times New Roman" w:hAnsi="Times New Roman"/>
          <w:b w:val="0"/>
          <w:i w:val="0"/>
          <w:sz w:val="15"/>
          <w:u w:val="none"/>
        </w:rPr>
        <w:t>1. Z. Jiang, S. E. Salcudean, N. Navab. Robotic ultrasound imaging: State-of-the-art and future perspectives. Med. Image Anal. 2023;89:102878.</w:t>
      </w:r>
    </w:p>
    <w:p>
      <w:pPr>
        <w:spacing w:before="0" w:after="4" w:line="240" w:lineRule="auto"/>
        <w:ind w:left="0"/>
        <w:jc w:val="both"/>
      </w:pPr>
      <w:r>
        <w:rPr>
          <w:rFonts w:ascii="Times New Roman" w:hAnsi="Times New Roman"/>
          <w:b w:val="0"/>
          <w:i w:val="0"/>
          <w:sz w:val="15"/>
          <w:u w:val="none"/>
        </w:rPr>
        <w:t>2. C. Hennersperger, B. Fuerst, S. Virga, et al. Towards MRI-based autonomous robotic US acquisitions: A first feasibility study. IEEE Trans. Med. Imaging 2017;36(2):538–548.</w:t>
      </w:r>
    </w:p>
    <w:p>
      <w:pPr>
        <w:spacing w:before="0" w:after="4" w:line="240" w:lineRule="auto"/>
        <w:ind w:left="0"/>
        <w:jc w:val="both"/>
      </w:pPr>
      <w:r>
        <w:rPr>
          <w:rFonts w:ascii="Times New Roman" w:hAnsi="Times New Roman"/>
          <w:b w:val="0"/>
          <w:i w:val="0"/>
          <w:sz w:val="15"/>
          <w:u w:val="none"/>
        </w:rPr>
        <w:t>3. M. W. Gilbertson, B. W. Anthony. Force and position control system for freehand ultrasound. IEEE Trans. Robot. 2015;31(4):835–849.</w:t>
      </w:r>
    </w:p>
    <w:p>
      <w:pPr>
        <w:spacing w:before="0" w:after="4" w:line="240" w:lineRule="auto"/>
        <w:ind w:left="0"/>
        <w:jc w:val="both"/>
      </w:pPr>
      <w:r>
        <w:rPr>
          <w:rFonts w:ascii="Times New Roman" w:hAnsi="Times New Roman"/>
          <w:b w:val="0"/>
          <w:i w:val="0"/>
          <w:sz w:val="15"/>
          <w:u w:val="none"/>
        </w:rPr>
        <w:t>4. P. Chatelain, A. Krupa, N. Navab. Confidence-driven control of an ultrasound probe. IEEE Trans. Robot. 2017;33(6):1410–1424.</w:t>
      </w:r>
    </w:p>
    <w:sectPr w:rsidR="00FC693F" w:rsidRPr="0006063C" w:rsidSect="00034616">
      <w:type w:val="continuous"/>
      <w:pgSz w:w="11906" w:h="16838"/>
      <w:pgMar w:top="567" w:right="1417" w:bottom="567" w:left="1417" w:header="567" w:footer="567"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36" w:lineRule="auto"/>
    </w:pPr>
    <w:rPr>
      <w:rFonts w:ascii="Times New Roman" w:hAnsi="Times New Roman" w:eastAsia="신명조"/>
      <w:sz w:val="20"/>
      <w:w w:val="95"/>
      <w:spacing w:val="-1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