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0"/>
        <w:ind w:left="0"/>
        <w:jc w:val="center"/>
      </w:pPr>
      <w:r>
        <w:rPr>
          <w:rFonts w:ascii="Times New Roman" w:hAnsi="Times New Roman"/>
          <w:b/>
          <w:i w:val="0"/>
          <w:sz w:val="27"/>
        </w:rPr>
        <w:t>From Segmentation to Instruction: Language-Level Operator Guidance Built on an Image-Quality Function in Transabdominal Bladder Ultrasound for HoLEP Morcellation</w:t>
      </w:r>
    </w:p>
    <w:p>
      <w:pPr>
        <w:spacing w:before="0" w:after="120"/>
        <w:ind w:left="0"/>
        <w:jc w:val="center"/>
      </w:pPr>
      <w:r>
        <w:rPr>
          <w:rFonts w:ascii="Times New Roman" w:hAnsi="Times New Roman"/>
          <w:b w:val="0"/>
          <w:i w:val="0"/>
          <w:sz w:val="20"/>
        </w:rPr>
        <w:t>Seong Jeong</w:t>
      </w:r>
      <w:r>
        <w:rPr>
          <w:rFonts w:ascii="Times New Roman" w:hAnsi="Times New Roman"/>
          <w:b w:val="0"/>
          <w:i w:val="0"/>
          <w:sz w:val="20"/>
          <w:vertAlign w:val="superscript"/>
        </w:rPr>
        <w:t>1, 2, 5</w:t>
      </w:r>
      <w:r>
        <w:rPr>
          <w:rFonts w:ascii="Times New Roman" w:hAnsi="Times New Roman"/>
          <w:b w:val="0"/>
          <w:i w:val="0"/>
          <w:sz w:val="20"/>
        </w:rPr>
        <w:t>, Minsung Kim</w:t>
      </w:r>
      <w:r>
        <w:rPr>
          <w:rFonts w:ascii="Times New Roman" w:hAnsi="Times New Roman"/>
          <w:b w:val="0"/>
          <w:i w:val="0"/>
          <w:sz w:val="20"/>
          <w:vertAlign w:val="superscript"/>
        </w:rPr>
        <w:t>1,2,4</w:t>
      </w:r>
      <w:r>
        <w:rPr>
          <w:rFonts w:ascii="Times New Roman" w:hAnsi="Times New Roman"/>
          <w:b w:val="0"/>
          <w:i w:val="0"/>
          <w:sz w:val="20"/>
        </w:rPr>
        <w:t>, Dongho Yee</w:t>
      </w:r>
      <w:r>
        <w:rPr>
          <w:rFonts w:ascii="Times New Roman" w:hAnsi="Times New Roman"/>
          <w:b w:val="0"/>
          <w:i w:val="0"/>
          <w:sz w:val="20"/>
          <w:vertAlign w:val="superscript"/>
        </w:rPr>
        <w:t>1,2,4</w:t>
      </w:r>
      <w:r>
        <w:rPr>
          <w:rFonts w:ascii="Times New Roman" w:hAnsi="Times New Roman"/>
          <w:b w:val="0"/>
          <w:i w:val="0"/>
          <w:sz w:val="20"/>
        </w:rPr>
        <w:t>, Yechan Seo</w:t>
      </w:r>
      <w:r>
        <w:rPr>
          <w:rFonts w:ascii="Times New Roman" w:hAnsi="Times New Roman"/>
          <w:b w:val="0"/>
          <w:i w:val="0"/>
          <w:sz w:val="20"/>
          <w:vertAlign w:val="superscript"/>
        </w:rPr>
        <w:t>1,2,5</w:t>
      </w:r>
      <w:r>
        <w:rPr>
          <w:rFonts w:ascii="Times New Roman" w:hAnsi="Times New Roman"/>
          <w:b w:val="0"/>
          <w:i w:val="0"/>
          <w:sz w:val="20"/>
        </w:rPr>
        <w:t>, Juahn Oh</w:t>
      </w:r>
      <w:r>
        <w:rPr>
          <w:rFonts w:ascii="Times New Roman" w:hAnsi="Times New Roman"/>
          <w:b w:val="0"/>
          <w:i w:val="0"/>
          <w:sz w:val="20"/>
          <w:vertAlign w:val="superscript"/>
        </w:rPr>
        <w:t>1,2,3</w:t>
      </w:r>
      <w:r>
        <w:rPr>
          <w:rFonts w:ascii="Times New Roman" w:hAnsi="Times New Roman"/>
          <w:b w:val="0"/>
          <w:i w:val="0"/>
          <w:sz w:val="20"/>
        </w:rPr>
        <w:t>, Hyoun-Joong Kong</w:t>
      </w:r>
      <w:r>
        <w:rPr>
          <w:rFonts w:ascii="Times New Roman" w:hAnsi="Times New Roman"/>
          <w:b w:val="0"/>
          <w:i w:val="0"/>
          <w:sz w:val="20"/>
          <w:vertAlign w:val="superscript"/>
        </w:rPr>
        <w:t>1,2,5,*</w:t>
      </w:r>
    </w:p>
    <w:p>
      <w:pPr>
        <w:spacing w:before="0" w:after="12"/>
        <w:ind w:left="0"/>
        <w:jc w:val="left"/>
      </w:pPr>
      <w:r>
        <w:rPr>
          <w:rFonts w:ascii="Times New Roman" w:hAnsi="Times New Roman"/>
          <w:b w:val="0"/>
          <w:i w:val="0"/>
          <w:sz w:val="16"/>
          <w:vertAlign w:val="superscript"/>
        </w:rPr>
        <w:t>1</w:t>
      </w:r>
      <w:r>
        <w:rPr>
          <w:rFonts w:ascii="Times New Roman" w:hAnsi="Times New Roman"/>
          <w:b w:val="0"/>
          <w:i w:val="0"/>
          <w:sz w:val="16"/>
        </w:rPr>
        <w:t xml:space="preserve"> Department of Transdisciplinary Medicine, Seoul National University Hospital, Seoul, Republic of Korea</w:t>
      </w:r>
    </w:p>
    <w:p>
      <w:pPr>
        <w:spacing w:before="0" w:after="12"/>
        <w:ind w:left="0"/>
        <w:jc w:val="left"/>
      </w:pPr>
      <w:r>
        <w:rPr>
          <w:rFonts w:ascii="Times New Roman" w:hAnsi="Times New Roman"/>
          <w:b w:val="0"/>
          <w:i w:val="0"/>
          <w:sz w:val="16"/>
          <w:vertAlign w:val="superscript"/>
        </w:rPr>
        <w:t>2</w:t>
      </w:r>
      <w:r>
        <w:rPr>
          <w:rFonts w:ascii="Times New Roman" w:hAnsi="Times New Roman"/>
          <w:b w:val="0"/>
          <w:i w:val="0"/>
          <w:sz w:val="16"/>
        </w:rPr>
        <w:t xml:space="preserve"> Rosota Inc., Seoul, Republic of Korea</w:t>
      </w:r>
    </w:p>
    <w:p>
      <w:pPr>
        <w:spacing w:before="0" w:after="12"/>
        <w:ind w:left="0"/>
        <w:jc w:val="left"/>
      </w:pPr>
      <w:r>
        <w:rPr>
          <w:rFonts w:ascii="Times New Roman" w:hAnsi="Times New Roman"/>
          <w:b w:val="0"/>
          <w:i w:val="0"/>
          <w:sz w:val="16"/>
          <w:vertAlign w:val="superscript"/>
        </w:rPr>
        <w:t>3</w:t>
      </w:r>
      <w:r>
        <w:rPr>
          <w:rFonts w:ascii="Times New Roman" w:hAnsi="Times New Roman"/>
          <w:b w:val="0"/>
          <w:i w:val="0"/>
          <w:sz w:val="16"/>
        </w:rPr>
        <w:t xml:space="preserve"> Eulji University College of Medicine, Daejeon, Republic of Korea</w:t>
      </w:r>
    </w:p>
    <w:p>
      <w:pPr>
        <w:spacing w:before="0" w:after="12"/>
        <w:ind w:left="0"/>
        <w:jc w:val="left"/>
      </w:pPr>
      <w:r>
        <w:rPr>
          <w:rFonts w:ascii="Times New Roman" w:hAnsi="Times New Roman"/>
          <w:b w:val="0"/>
          <w:i w:val="0"/>
          <w:sz w:val="16"/>
          <w:vertAlign w:val="superscript"/>
        </w:rPr>
        <w:t>4</w:t>
      </w:r>
      <w:r>
        <w:rPr>
          <w:rFonts w:ascii="Times New Roman" w:hAnsi="Times New Roman"/>
          <w:b w:val="0"/>
          <w:i w:val="0"/>
          <w:sz w:val="16"/>
        </w:rPr>
        <w:t xml:space="preserve"> Department of Mechanical Engineering, Seoul National University, Seoul, Republic of Korea</w:t>
      </w:r>
    </w:p>
    <w:p>
      <w:pPr>
        <w:spacing w:before="0" w:after="12"/>
        <w:ind w:left="0"/>
        <w:jc w:val="left"/>
      </w:pPr>
      <w:r>
        <w:rPr>
          <w:rFonts w:ascii="Times New Roman" w:hAnsi="Times New Roman"/>
          <w:b w:val="0"/>
          <w:i w:val="0"/>
          <w:sz w:val="16"/>
          <w:vertAlign w:val="superscript"/>
        </w:rPr>
        <w:t>5</w:t>
      </w:r>
      <w:r>
        <w:rPr>
          <w:rFonts w:ascii="Times New Roman" w:hAnsi="Times New Roman"/>
          <w:b w:val="0"/>
          <w:i w:val="0"/>
          <w:sz w:val="16"/>
        </w:rPr>
        <w:t xml:space="preserve"> Department of Medicine, Seoul National University, Seoul, Republic of Korea</w:t>
      </w:r>
    </w:p>
    <w:p>
      <w:pPr>
        <w:spacing w:after="60"/>
      </w:pPr>
    </w:p>
    <w:p>
      <w:pPr>
        <w:spacing w:before="0" w:after="40"/>
        <w:ind w:left="0"/>
        <w:jc w:val="left"/>
      </w:pPr>
      <w:r>
        <w:rPr>
          <w:rFonts w:ascii="Times New Roman" w:hAnsi="Times New Roman"/>
          <w:b/>
          <w:i w:val="0"/>
          <w:sz w:val="19"/>
        </w:rPr>
        <w:t>Abstract</w:t>
      </w:r>
    </w:p>
    <w:p>
      <w:pPr>
        <w:spacing w:before="0" w:after="64"/>
        <w:ind w:left="0"/>
        <w:jc w:val="both"/>
      </w:pPr>
      <w:r>
        <w:rPr>
          <w:rFonts w:ascii="Times New Roman" w:hAnsi="Times New Roman"/>
          <w:b w:val="0"/>
          <w:i w:val="0"/>
          <w:sz w:val="17"/>
        </w:rPr>
        <w:t xml:space="preserve">During the morcellation phase of holmium laser enucleation of the prostate (HoLEP) an operator holds a suprapubic probe and must keep the bladder lumen in view. We present a pipeline that turns each transabdominal frame into guidance for that operator: a U-Net segments the bladder lumen, a transparent image-quality function </w:t>
      </w:r>
      <w:r>
        <w:rPr>
          <w:rFonts w:ascii="Times New Roman" w:hAnsi="Times New Roman"/>
          <w:b w:val="0"/>
          <w:i/>
          <w:sz w:val="17"/>
        </w:rPr>
        <w:t>Q</w:t>
      </w:r>
      <w:r>
        <w:rPr>
          <w:rFonts w:ascii="Times New Roman" w:hAnsi="Times New Roman"/>
          <w:b w:val="0"/>
          <w:i w:val="0"/>
          <w:sz w:val="17"/>
        </w:rPr>
        <w:t xml:space="preserve"> judges the frame from the segmentation and the image, and the judgment is emitted as a </w:t>
      </w:r>
      <w:r>
        <w:rPr>
          <w:rFonts w:ascii="Times New Roman" w:hAnsi="Times New Roman"/>
          <w:b/>
          <w:i w:val="0"/>
          <w:sz w:val="17"/>
        </w:rPr>
        <w:t>language instruction</w:t>
      </w:r>
      <w:r>
        <w:rPr>
          <w:rFonts w:ascii="Times New Roman" w:hAnsi="Times New Roman"/>
          <w:b w:val="0"/>
          <w:i w:val="0"/>
          <w:sz w:val="17"/>
        </w:rPr>
        <w:t xml:space="preserve"> naming the next corrective movement — </w:t>
      </w:r>
      <w:r>
        <w:rPr>
          <w:rFonts w:ascii="Times New Roman" w:hAnsi="Times New Roman"/>
          <w:b w:val="0"/>
          <w:i/>
          <w:sz w:val="17"/>
        </w:rPr>
        <w:t>move left</w:t>
      </w:r>
      <w:r>
        <w:rPr>
          <w:rFonts w:ascii="Times New Roman" w:hAnsi="Times New Roman"/>
          <w:b w:val="0"/>
          <w:i w:val="0"/>
          <w:sz w:val="17"/>
        </w:rPr>
        <w:t xml:space="preserve">, </w:t>
      </w:r>
      <w:r>
        <w:rPr>
          <w:rFonts w:ascii="Times New Roman" w:hAnsi="Times New Roman"/>
          <w:b w:val="0"/>
          <w:i/>
          <w:sz w:val="17"/>
        </w:rPr>
        <w:t>move right</w:t>
      </w:r>
      <w:r>
        <w:rPr>
          <w:rFonts w:ascii="Times New Roman" w:hAnsi="Times New Roman"/>
          <w:b w:val="0"/>
          <w:i w:val="0"/>
          <w:sz w:val="17"/>
        </w:rPr>
        <w:t xml:space="preserve">, </w:t>
      </w:r>
      <w:r>
        <w:rPr>
          <w:rFonts w:ascii="Times New Roman" w:hAnsi="Times New Roman"/>
          <w:b w:val="0"/>
          <w:i/>
          <w:sz w:val="17"/>
        </w:rPr>
        <w:t>hold</w:t>
      </w:r>
      <w:r>
        <w:rPr>
          <w:rFonts w:ascii="Times New Roman" w:hAnsi="Times New Roman"/>
          <w:b w:val="0"/>
          <w:i w:val="0"/>
          <w:sz w:val="17"/>
        </w:rPr>
        <w:t xml:space="preserve">, or </w:t>
      </w:r>
      <w:r>
        <w:rPr>
          <w:rFonts w:ascii="Times New Roman" w:hAnsi="Times New Roman"/>
          <w:b w:val="0"/>
          <w:i/>
          <w:sz w:val="17"/>
        </w:rPr>
        <w:t>check bladder filling</w:t>
      </w:r>
      <w:r>
        <w:rPr>
          <w:rFonts w:ascii="Times New Roman" w:hAnsi="Times New Roman"/>
          <w:b w:val="0"/>
          <w:i w:val="0"/>
          <w:sz w:val="17"/>
        </w:rPr>
        <w:t xml:space="preserve">. Language is the deliberate output format: a human operator can follow the words as displayed or spoken, and each word carries a defined condition and axis, so a robotic probe holder can translate it into a twist command by lookup. An instruction is only as fine as the function issuing it, so we first measure what </w:t>
      </w:r>
      <w:r>
        <w:rPr>
          <w:rFonts w:ascii="Times New Roman" w:hAnsi="Times New Roman"/>
          <w:b w:val="0"/>
          <w:i/>
          <w:sz w:val="17"/>
        </w:rPr>
        <w:t>Q</w:t>
      </w:r>
      <w:r>
        <w:rPr>
          <w:rFonts w:ascii="Times New Roman" w:hAnsi="Times New Roman"/>
          <w:b w:val="0"/>
          <w:i w:val="0"/>
          <w:sz w:val="17"/>
        </w:rPr>
        <w:t xml:space="preserve"> can judge. As originally specified </w:t>
      </w:r>
      <w:r>
        <w:rPr>
          <w:rFonts w:ascii="Times New Roman" w:hAnsi="Times New Roman"/>
          <w:b w:val="0"/>
          <w:i/>
          <w:sz w:val="17"/>
        </w:rPr>
        <w:t>Q</w:t>
      </w:r>
      <w:r>
        <w:rPr>
          <w:rFonts w:ascii="Times New Roman" w:hAnsi="Times New Roman"/>
          <w:b w:val="0"/>
          <w:i w:val="0"/>
          <w:sz w:val="17"/>
        </w:rPr>
        <w:t xml:space="preserve"> attains [0.70, 1.00], 30% of its nominal domain, and resolves only 9 levels above its own frame-to-frame noise — too few to ground an instruction set; reformulated, it attains [0.14, 0.78] and resolves 47 levels. The vocabulary is then derived rather than chosen: one boundary is physical (a lumen that is not anechoic cannot be a filled bladder — </w:t>
      </w:r>
      <w:r>
        <w:rPr>
          <w:rFonts w:ascii="Times New Roman" w:hAnsi="Times New Roman"/>
          <w:b w:val="0"/>
          <w:i/>
          <w:sz w:val="17"/>
        </w:rPr>
        <w:t>check bladder filling</w:t>
      </w:r>
      <w:r>
        <w:rPr>
          <w:rFonts w:ascii="Times New Roman" w:hAnsi="Times New Roman"/>
          <w:b w:val="0"/>
          <w:i w:val="0"/>
          <w:sz w:val="17"/>
        </w:rPr>
        <w:t xml:space="preserve">), the other statistical (a lateral offset below 1.64σ of the segmentation's centroid noise, σ = 4.92 px, cannot be signed reliably — </w:t>
      </w:r>
      <w:r>
        <w:rPr>
          <w:rFonts w:ascii="Times New Roman" w:hAnsi="Times New Roman"/>
          <w:b w:val="0"/>
          <w:i/>
          <w:sz w:val="17"/>
        </w:rPr>
        <w:t>hold</w:t>
      </w:r>
      <w:r>
        <w:rPr>
          <w:rFonts w:ascii="Times New Roman" w:hAnsi="Times New Roman"/>
          <w:b w:val="0"/>
          <w:i w:val="0"/>
          <w:sz w:val="17"/>
        </w:rPr>
        <w:t>). On 1,936 laterally displaced held-out frames the three-word vocabulary is emitted correctly on 85.0% with a 0.10% direction-error rate, and a finer vocabulary is unsupported: five words drop accuracy to 76.0%, seven to 71.0%. We close by outlining how the same judgments would enter robot control — gating, twist scaling, and a noise-floor stopping band — without validating that loop here.</w:t>
      </w:r>
    </w:p>
    <w:p>
      <w:pPr>
        <w:spacing w:before="60" w:after="64"/>
        <w:ind w:left="0"/>
        <w:jc w:val="both"/>
      </w:pPr>
      <w:r>
        <w:rPr>
          <w:rFonts w:ascii="Times New Roman" w:hAnsi="Times New Roman"/>
          <w:b/>
          <w:i w:val="0"/>
          <w:sz w:val="17"/>
        </w:rPr>
        <w:t>Keywords</w:t>
      </w:r>
      <w:r>
        <w:rPr>
          <w:rFonts w:ascii="Times New Roman" w:hAnsi="Times New Roman"/>
          <w:b w:val="0"/>
          <w:i w:val="0"/>
          <w:sz w:val="17"/>
        </w:rPr>
        <w:t xml:space="preserve"> — bladder ultrasound segmentation, image-quality function, operator guidance, language instruction, attained range</w:t>
      </w:r>
    </w:p>
    <w:p>
      <w:pPr>
        <w:spacing w:after="80"/>
      </w:pPr>
    </w:p>
    <w:p>
      <w:pPr>
        <w:sectPr>
          <w:footerReference w:type="default" r:id="rId9"/>
          <w:pgSz w:w="11906" w:h="16838"/>
          <w:pgMar w:top="1077" w:right="1020" w:bottom="1077" w:left="1020" w:header="567" w:footer="567" w:gutter="0"/>
          <w:cols w:space="396" w:num="1"/>
          <w:docGrid w:linePitch="360"/>
        </w:sectPr>
      </w:pPr>
    </w:p>
    <w:p>
      <w:pPr>
        <w:keepNext/>
        <w:spacing w:before="130" w:after="40"/>
        <w:ind w:left="0"/>
        <w:jc w:val="left"/>
      </w:pPr>
      <w:r>
        <w:rPr>
          <w:rFonts w:ascii="Times New Roman" w:hAnsi="Times New Roman"/>
          <w:b/>
          <w:i w:val="0"/>
          <w:sz w:val="20"/>
        </w:rPr>
        <w:t>1. Introduction</w:t>
      </w:r>
    </w:p>
    <w:p>
      <w:pPr>
        <w:spacing w:before="0" w:after="64"/>
        <w:ind w:left="0"/>
        <w:jc w:val="both"/>
      </w:pPr>
      <w:r>
        <w:rPr>
          <w:rFonts w:ascii="Times New Roman" w:hAnsi="Times New Roman"/>
          <w:b w:val="0"/>
          <w:i w:val="0"/>
          <w:sz w:val="19"/>
        </w:rPr>
        <w:t>During the morcellation phase of holmium laser enucleation of the prostate (HoLEP) an assistant holds a suprapubic probe and keeps the bladder lumen in view. Keeping it there is a skill of the kind HoLEP training is built to teach [1]: the lumen drifts as the bladder volume changes, and deciding which way to slide the probe — or recognising that the image has degraded for a reason no probe motion can fix — currently rests on the operator's judgment alone. The image itself carries the information that judgment needs, and for any operator, human or robot alike, the missing piece is not a better segmentation mask but the path from a mask to something the operator can be told to do.</w:t>
      </w:r>
    </w:p>
    <w:p>
      <w:pPr>
        <w:spacing w:before="0" w:after="64"/>
        <w:ind w:left="0"/>
        <w:jc w:val="both"/>
      </w:pPr>
      <w:r>
        <w:rPr>
          <w:rFonts w:ascii="Times New Roman" w:hAnsi="Times New Roman"/>
          <w:b w:val="0"/>
          <w:i w:val="0"/>
          <w:sz w:val="19"/>
        </w:rPr>
        <w:t xml:space="preserve">This paper builds that path as a three-stage pipeline: </w:t>
      </w:r>
      <w:r>
        <w:rPr>
          <w:rFonts w:ascii="Times New Roman" w:hAnsi="Times New Roman"/>
          <w:b/>
          <w:i w:val="0"/>
          <w:sz w:val="19"/>
        </w:rPr>
        <w:t>segmentation</w:t>
      </w:r>
      <w:r>
        <w:rPr>
          <w:rFonts w:ascii="Times New Roman" w:hAnsi="Times New Roman"/>
          <w:b w:val="0"/>
          <w:i w:val="0"/>
          <w:sz w:val="19"/>
        </w:rPr>
        <w:t xml:space="preserve"> — a U-Net delineates the bladder lumen on each transabdominal frame; </w:t>
      </w:r>
      <w:r>
        <w:rPr>
          <w:rFonts w:ascii="Times New Roman" w:hAnsi="Times New Roman"/>
          <w:b/>
          <w:i w:val="0"/>
          <w:sz w:val="19"/>
        </w:rPr>
        <w:t>quality judgment</w:t>
      </w:r>
      <w:r>
        <w:rPr>
          <w:rFonts w:ascii="Times New Roman" w:hAnsi="Times New Roman"/>
          <w:b w:val="0"/>
          <w:i w:val="0"/>
          <w:sz w:val="19"/>
        </w:rPr>
        <w:t xml:space="preserve"> — a transparent function </w:t>
      </w:r>
      <w:r>
        <w:rPr>
          <w:rFonts w:ascii="Times New Roman" w:hAnsi="Times New Roman"/>
          <w:b w:val="0"/>
          <w:i/>
          <w:sz w:val="19"/>
        </w:rPr>
        <w:t>Q</w:t>
      </w:r>
      <w:r>
        <w:rPr>
          <w:rFonts w:ascii="Times New Roman" w:hAnsi="Times New Roman"/>
          <w:b w:val="0"/>
          <w:i w:val="0"/>
          <w:sz w:val="19"/>
        </w:rPr>
        <w:t xml:space="preserve">, computed from the segmentation and the image, decides whether and how the frame falls short; and </w:t>
      </w:r>
      <w:r>
        <w:rPr>
          <w:rFonts w:ascii="Times New Roman" w:hAnsi="Times New Roman"/>
          <w:b/>
          <w:i w:val="0"/>
          <w:sz w:val="19"/>
        </w:rPr>
        <w:t>instruction</w:t>
      </w:r>
      <w:r>
        <w:rPr>
          <w:rFonts w:ascii="Times New Roman" w:hAnsi="Times New Roman"/>
          <w:b w:val="0"/>
          <w:i w:val="0"/>
          <w:sz w:val="19"/>
        </w:rPr>
        <w:t xml:space="preserve"> — the judgment is emitted as one of a small set of words naming the operator's next corrective movement. The output is language by design. To a human operator the words are guidance that can be displayed or spoken; to a robotic probe holder each word, carrying a defined condition and axis, translates deterministically into a twist command. The paper validates the pipeline up to the emitted instruction and deliberately stops short of closing a robot loop; Section 4.1 records how the same judgments would enter one.</w:t>
      </w:r>
    </w:p>
    <w:p>
      <w:pPr>
        <w:spacing w:before="0" w:after="64"/>
        <w:ind w:left="0"/>
        <w:jc w:val="both"/>
      </w:pPr>
      <w:r>
        <w:rPr>
          <w:rFonts w:ascii="Times New Roman" w:hAnsi="Times New Roman"/>
          <w:b w:val="0"/>
          <w:i w:val="0"/>
          <w:sz w:val="19"/>
        </w:rPr>
        <w:t xml:space="preserve">The central technical question is what instruction set </w:t>
      </w:r>
      <w:r>
        <w:rPr>
          <w:rFonts w:ascii="Times New Roman" w:hAnsi="Times New Roman"/>
          <w:b w:val="0"/>
          <w:i/>
          <w:sz w:val="19"/>
        </w:rPr>
        <w:t>Q</w:t>
      </w:r>
      <w:r>
        <w:rPr>
          <w:rFonts w:ascii="Times New Roman" w:hAnsi="Times New Roman"/>
          <w:b w:val="0"/>
          <w:i w:val="0"/>
          <w:sz w:val="19"/>
        </w:rPr>
        <w:t xml:space="preserve"> can honestly support. The property that decides it is the function's </w:t>
      </w:r>
      <w:r>
        <w:rPr>
          <w:rFonts w:ascii="Times New Roman" w:hAnsi="Times New Roman"/>
          <w:b/>
          <w:i w:val="0"/>
          <w:sz w:val="19"/>
        </w:rPr>
        <w:t>attained range</w:t>
      </w:r>
      <w:r>
        <w:rPr>
          <w:rFonts w:ascii="Times New Roman" w:hAnsi="Times New Roman"/>
          <w:b w:val="0"/>
          <w:i w:val="0"/>
          <w:sz w:val="19"/>
        </w:rPr>
        <w:t xml:space="preserve"> — the interval of values it actually takes on real frames — and not its correlation with any accuracy metric. A score that is formally defined on [0, 1] but occupies a band narrower than its own frame-to-frame noise cannot separate any two decisions, however well it ranks. Range divided by noise is the number of levels available, and that number is an upper bound on the size of an honest instruction vocabulary: Sections 3.2 and 3.3 measure it, and Section 3.4 derives the vocabulary from it.</w:t>
      </w:r>
    </w:p>
    <w:p>
      <w:pPr>
        <w:keepNext/>
        <w:spacing w:before="130" w:after="40"/>
        <w:ind w:left="0"/>
        <w:jc w:val="left"/>
      </w:pPr>
      <w:r>
        <w:rPr>
          <w:rFonts w:ascii="Times New Roman" w:hAnsi="Times New Roman"/>
          <w:b/>
          <w:i w:val="0"/>
          <w:sz w:val="20"/>
        </w:rPr>
        <w:t>2. Methods</w:t>
      </w:r>
    </w:p>
    <w:p>
      <w:pPr>
        <w:keepNext/>
        <w:spacing w:before="90" w:after="40"/>
        <w:ind w:left="0"/>
        <w:jc w:val="left"/>
      </w:pPr>
      <w:r>
        <w:rPr>
          <w:rFonts w:ascii="Times New Roman" w:hAnsi="Times New Roman"/>
          <w:b/>
          <w:i w:val="0"/>
          <w:sz w:val="18"/>
        </w:rPr>
        <w:t>2.1 Segmentation and the Image State</w:t>
      </w:r>
    </w:p>
    <w:p>
      <w:pPr>
        <w:spacing w:before="0" w:after="64"/>
        <w:ind w:left="0"/>
        <w:jc w:val="both"/>
      </w:pPr>
      <w:r>
        <w:rPr>
          <w:rFonts w:ascii="Times New Roman" w:hAnsi="Times New Roman"/>
          <w:b w:val="0"/>
          <w:i w:val="0"/>
          <w:sz w:val="19"/>
        </w:rPr>
        <w:t>A U-Net [2] takes a 256 × 256 transabdominal B-mode frame and produces a lumen probability map, thresholded at 0.5 and reduced to its largest connected component with interior holes filled. Frames come from PFUS1, a retrospective transabdominal bladder dataset; the model was trained on a patient-disjoint split and was not retrained or re-tuned for this study. All measurements below are made on the two held-out frame sets (1,661 and 1,292 frames) that share no patient with training or with each other; the segmentation performance on those frames is reported in Section 3.1.</w:t>
      </w:r>
    </w:p>
    <w:p>
      <w:pPr>
        <w:spacing w:before="0" w:after="64"/>
        <w:ind w:left="0"/>
        <w:jc w:val="both"/>
      </w:pPr>
      <w:r>
        <w:rPr>
          <w:rFonts w:ascii="Times New Roman" w:hAnsi="Times New Roman"/>
          <w:b w:val="0"/>
          <w:i w:val="0"/>
          <w:sz w:val="19"/>
        </w:rPr>
        <w:t>From the mask an image state is computed — centroid, area, boundary statistics, and lumen-to-surround intensity contrast. Every ratio is taken over the insonified sector rather than the image rectangle; the sector is not recorded in the frame metadata and was measured from the training images, covering 66.4% of the frame and agreeing with held-out frames at an intersection-over-union of at least 0.964. Without it the frame grabber's crop enters every area ratio and a mask cut by the sector edge registers as touching no edge.</w:t>
      </w:r>
    </w:p>
    <w:p>
      <w:pPr>
        <w:keepNext/>
        <w:spacing w:before="90" w:after="40"/>
        <w:ind w:left="0"/>
        <w:jc w:val="left"/>
      </w:pPr>
      <w:r>
        <w:rPr>
          <w:rFonts w:ascii="Times New Roman" w:hAnsi="Times New Roman"/>
          <w:b/>
          <w:i w:val="0"/>
          <w:sz w:val="18"/>
        </w:rPr>
        <w:t>2.2 The Quality Function</w:t>
      </w:r>
    </w:p>
    <w:p>
      <w:pPr>
        <w:spacing w:before="0" w:after="64"/>
        <w:ind w:left="0"/>
        <w:jc w:val="both"/>
      </w:pPr>
      <w:r>
        <w:rPr>
          <w:rFonts w:ascii="Times New Roman" w:hAnsi="Times New Roman"/>
          <w:b w:val="0"/>
          <w:i/>
          <w:sz w:val="19"/>
        </w:rPr>
        <w:t>Q</w:t>
      </w:r>
      <w:r>
        <w:rPr>
          <w:rFonts w:ascii="Times New Roman" w:hAnsi="Times New Roman"/>
          <w:b w:val="0"/>
          <w:i w:val="0"/>
          <w:sz w:val="19"/>
        </w:rPr>
        <w:t xml:space="preserve"> is a weighted mean of sub-scores, each normalised to [0, 1], every term and weight logged so that a value can be traced back to its components. Two aggregations are compared below: the arithmetic mean of the original specification, and a weighted geometric mean.</w:t>
      </w:r>
    </w:p>
    <w:p>
      <w:pPr>
        <w:tabs>
          <w:tab w:pos="4734" w:val="right"/>
        </w:tabs>
        <w:spacing w:before="80" w:after="80"/>
        <w:jc w:val="left"/>
      </w:pPr>
      <w:r>
        <w:rPr>
          <w:rFonts w:ascii="Times New Roman" w:hAnsi="Times New Roman"/>
          <w:b w:val="0"/>
          <w:i/>
          <w:sz w:val="19"/>
        </w:rPr>
        <w:t>Q = exp( Σ w</w:t>
      </w:r>
      <w:r>
        <w:rPr>
          <w:rFonts w:ascii="Times New Roman" w:hAnsi="Times New Roman"/>
          <w:b w:val="0"/>
          <w:i/>
          <w:sz w:val="19"/>
          <w:vertAlign w:val="subscript"/>
        </w:rPr>
        <w:t>i</w:t>
      </w:r>
      <w:r>
        <w:rPr>
          <w:rFonts w:ascii="Times New Roman" w:hAnsi="Times New Roman"/>
          <w:b w:val="0"/>
          <w:i/>
          <w:sz w:val="19"/>
        </w:rPr>
        <w:t xml:space="preserve"> ln s</w:t>
      </w:r>
      <w:r>
        <w:rPr>
          <w:rFonts w:ascii="Times New Roman" w:hAnsi="Times New Roman"/>
          <w:b w:val="0"/>
          <w:i/>
          <w:sz w:val="19"/>
          <w:vertAlign w:val="subscript"/>
        </w:rPr>
        <w:t>i</w:t>
      </w:r>
      <w:r>
        <w:rPr>
          <w:rFonts w:ascii="Times New Roman" w:hAnsi="Times New Roman"/>
          <w:b w:val="0"/>
          <w:i/>
          <w:sz w:val="19"/>
        </w:rPr>
        <w:t xml:space="preserve"> / Σ w</w:t>
      </w:r>
      <w:r>
        <w:rPr>
          <w:rFonts w:ascii="Times New Roman" w:hAnsi="Times New Roman"/>
          <w:b w:val="0"/>
          <w:i/>
          <w:sz w:val="19"/>
          <w:vertAlign w:val="subscript"/>
        </w:rPr>
        <w:t>i</w:t>
      </w:r>
      <w:r>
        <w:rPr>
          <w:rFonts w:ascii="Times New Roman" w:hAnsi="Times New Roman"/>
          <w:b w:val="0"/>
          <w:i/>
          <w:sz w:val="19"/>
        </w:rPr>
        <w:t xml:space="preserve"> )</w:t>
      </w:r>
      <w:r>
        <w:tab/>
      </w:r>
      <w:r>
        <w:rPr>
          <w:rFonts w:ascii="Times New Roman" w:hAnsi="Times New Roman"/>
          <w:b w:val="0"/>
          <w:i w:val="0"/>
          <w:sz w:val="19"/>
        </w:rPr>
        <w:t>(1)</w:t>
      </w:r>
    </w:p>
    <w:p>
      <w:pPr>
        <w:spacing w:before="0" w:after="64"/>
        <w:ind w:left="0"/>
        <w:jc w:val="both"/>
      </w:pPr>
      <w:r>
        <w:rPr>
          <w:rFonts w:ascii="Times New Roman" w:hAnsi="Times New Roman"/>
          <w:b w:val="0"/>
          <w:i w:val="0"/>
          <w:sz w:val="19"/>
        </w:rPr>
        <w:t>The aggregation is not a cosmetic choice. With eight terms an arithmetic mean caps the effect of one collapsed sub-score at its weight share, so a frame whose lumen contrast has vanished entirely still scores near the top of the range. A geometric mean is dominated by its smallest term, which is the shape a decision needs.</w:t>
      </w:r>
    </w:p>
    <w:p>
      <w:pPr>
        <w:keepNext/>
        <w:spacing w:before="120" w:after="40"/>
      </w:pPr>
      <w:r>
        <w:rPr>
          <w:rFonts w:ascii="Times New Roman" w:hAnsi="Times New Roman"/>
          <w:b/>
          <w:i w:val="0"/>
          <w:sz w:val="15"/>
        </w:rPr>
        <w:t>Table 1.</w:t>
      </w:r>
      <w:r>
        <w:rPr>
          <w:rFonts w:ascii="Times New Roman" w:hAnsi="Times New Roman"/>
          <w:b w:val="0"/>
          <w:i w:val="0"/>
          <w:sz w:val="15"/>
        </w:rPr>
        <w:t xml:space="preserve"> Sub-scores of </w:t>
      </w:r>
      <w:r>
        <w:rPr>
          <w:rFonts w:ascii="Times New Roman" w:hAnsi="Times New Roman"/>
          <w:b w:val="0"/>
          <w:i/>
          <w:sz w:val="15"/>
        </w:rPr>
        <w:t>Q</w:t>
      </w:r>
      <w:r>
        <w:rPr>
          <w:rFonts w:ascii="Times New Roman" w:hAnsi="Times New Roman"/>
          <w:b w:val="0"/>
          <w:i w:val="0"/>
          <w:sz w:val="15"/>
        </w:rPr>
        <w:t xml:space="preserve"> and what each reads. Only the first three consult the ultrasound image; the rest restate the mask or its history.</w:t>
      </w:r>
    </w:p>
    <w:tbl>
      <w:tblPr>
        <w:tblW w:type="auto" w:w="0"/>
        <w:jc w:val="center"/>
        <w:tblLayout w:type="fixed"/>
        <w:tblLook w:firstColumn="1" w:firstRow="1" w:lastColumn="0" w:lastRow="0" w:noHBand="0" w:noVBand="1" w:val="04A0"/>
        <w:tblLayout w:type="fixed"/>
        <w:tblW w:w="4706" w:type="dxa"/>
      </w:tblPr>
      <w:tblGrid>
        <w:gridCol w:w="1470"/>
        <w:gridCol w:w="882"/>
        <w:gridCol w:w="2353"/>
      </w:tblGrid>
      <w:tr>
        <w:tc>
          <w:tcPr>
            <w:tcW w:type="dxa" w:w="1470"/>
            <w:tcBorders>
              <w:top w:val="single" w:sz="8" w:color="000000"/>
              <w:bottom w:val="single" w:sz="8" w:color="000000"/>
              <w:left w:val="nil"/>
              <w:right w:val="nil"/>
            </w:tcBorders>
          </w:tcPr>
          <w:p>
            <w:pPr>
              <w:spacing w:after="10"/>
            </w:pPr>
            <w:r>
              <w:rPr>
                <w:rFonts w:ascii="Times New Roman" w:hAnsi="Times New Roman"/>
                <w:b/>
                <w:i w:val="0"/>
                <w:sz w:val="15"/>
              </w:rPr>
              <w:t>Sub-score</w:t>
            </w:r>
          </w:p>
        </w:tc>
        <w:tc>
          <w:tcPr>
            <w:tcW w:type="dxa" w:w="882"/>
            <w:tcBorders>
              <w:top w:val="single" w:sz="8" w:color="000000"/>
              <w:bottom w:val="single" w:sz="8" w:color="000000"/>
              <w:left w:val="nil"/>
              <w:right w:val="nil"/>
            </w:tcBorders>
          </w:tcPr>
          <w:p>
            <w:pPr>
              <w:spacing w:after="10"/>
            </w:pPr>
            <w:r>
              <w:rPr>
                <w:rFonts w:ascii="Times New Roman" w:hAnsi="Times New Roman"/>
                <w:b/>
                <w:i w:val="0"/>
                <w:sz w:val="15"/>
              </w:rPr>
              <w:t>Reads</w:t>
            </w:r>
          </w:p>
        </w:tc>
        <w:tc>
          <w:tcPr>
            <w:tcW w:type="dxa" w:w="2353"/>
            <w:tcBorders>
              <w:top w:val="single" w:sz="8" w:color="000000"/>
              <w:bottom w:val="single" w:sz="8" w:color="000000"/>
              <w:left w:val="nil"/>
              <w:right w:val="nil"/>
            </w:tcBorders>
          </w:tcPr>
          <w:p>
            <w:pPr>
              <w:spacing w:after="10"/>
            </w:pPr>
            <w:r>
              <w:rPr>
                <w:rFonts w:ascii="Times New Roman" w:hAnsi="Times New Roman"/>
                <w:b/>
                <w:i w:val="0"/>
                <w:sz w:val="15"/>
              </w:rPr>
              <w:t>Definition</w:t>
            </w:r>
          </w:p>
        </w:tc>
      </w:tr>
      <w:tr>
        <w:tc>
          <w:tcPr>
            <w:tcW w:type="dxa" w:w="1470"/>
            <w:tcBorders>
              <w:top w:val="single" w:sz="4" w:color="808080"/>
              <w:bottom w:val="single" w:sz="4" w:color="808080"/>
              <w:left w:val="nil"/>
              <w:right w:val="nil"/>
            </w:tcBorders>
          </w:tcPr>
          <w:p>
            <w:pPr>
              <w:spacing w:after="10"/>
            </w:pPr>
            <w:r>
              <w:rPr>
                <w:rFonts w:ascii="Times New Roman" w:hAnsi="Times New Roman"/>
                <w:b w:val="0"/>
                <w:i w:val="0"/>
                <w:sz w:val="15"/>
              </w:rPr>
              <w:t>lumen contrast</w:t>
            </w:r>
          </w:p>
        </w:tc>
        <w:tc>
          <w:tcPr>
            <w:tcW w:type="dxa" w:w="882"/>
            <w:tcBorders>
              <w:top w:val="single" w:sz="4" w:color="808080"/>
              <w:bottom w:val="single" w:sz="4" w:color="808080"/>
              <w:left w:val="nil"/>
              <w:right w:val="nil"/>
            </w:tcBorders>
          </w:tcPr>
          <w:p>
            <w:pPr>
              <w:spacing w:after="10"/>
            </w:pPr>
            <w:r>
              <w:rPr>
                <w:rFonts w:ascii="Times New Roman" w:hAnsi="Times New Roman"/>
                <w:b w:val="0"/>
                <w:i w:val="0"/>
                <w:sz w:val="15"/>
              </w:rPr>
              <w:t>image</w:t>
            </w:r>
          </w:p>
        </w:tc>
        <w:tc>
          <w:tcPr>
            <w:tcW w:type="dxa" w:w="2353"/>
            <w:tcBorders>
              <w:top w:val="single" w:sz="4" w:color="808080"/>
              <w:bottom w:val="single" w:sz="4" w:color="808080"/>
              <w:left w:val="nil"/>
              <w:right w:val="nil"/>
            </w:tcBorders>
          </w:tcPr>
          <w:p>
            <w:pPr>
              <w:spacing w:after="10"/>
            </w:pPr>
            <w:r>
              <w:rPr>
                <w:rFonts w:ascii="Times New Roman" w:hAnsi="Times New Roman"/>
                <w:b w:val="0"/>
                <w:i w:val="0"/>
                <w:sz w:val="15"/>
              </w:rPr>
              <w:t>(ring − lumen) / (ring + lumen), normalised</w:t>
            </w:r>
          </w:p>
        </w:tc>
      </w:tr>
      <w:tr>
        <w:tc>
          <w:tcPr>
            <w:tcW w:type="dxa" w:w="1470"/>
            <w:tcBorders>
              <w:top w:val="single" w:sz="4" w:color="808080"/>
              <w:bottom w:val="single" w:sz="4" w:color="808080"/>
              <w:left w:val="nil"/>
              <w:right w:val="nil"/>
            </w:tcBorders>
          </w:tcPr>
          <w:p>
            <w:pPr>
              <w:spacing w:after="10"/>
            </w:pPr>
            <w:r>
              <w:rPr>
                <w:rFonts w:ascii="Times New Roman" w:hAnsi="Times New Roman"/>
                <w:b w:val="0"/>
                <w:i w:val="0"/>
                <w:sz w:val="15"/>
              </w:rPr>
              <w:t>lumen centering</w:t>
            </w:r>
          </w:p>
        </w:tc>
        <w:tc>
          <w:tcPr>
            <w:tcW w:type="dxa" w:w="882"/>
            <w:tcBorders>
              <w:top w:val="single" w:sz="4" w:color="808080"/>
              <w:bottom w:val="single" w:sz="4" w:color="808080"/>
              <w:left w:val="nil"/>
              <w:right w:val="nil"/>
            </w:tcBorders>
          </w:tcPr>
          <w:p>
            <w:pPr>
              <w:spacing w:after="10"/>
            </w:pPr>
            <w:r>
              <w:rPr>
                <w:rFonts w:ascii="Times New Roman" w:hAnsi="Times New Roman"/>
                <w:b w:val="0"/>
                <w:i w:val="0"/>
                <w:sz w:val="15"/>
              </w:rPr>
              <w:t>image</w:t>
            </w:r>
          </w:p>
        </w:tc>
        <w:tc>
          <w:tcPr>
            <w:tcW w:type="dxa" w:w="2353"/>
            <w:tcBorders>
              <w:top w:val="single" w:sz="4" w:color="808080"/>
              <w:bottom w:val="single" w:sz="4" w:color="808080"/>
              <w:left w:val="nil"/>
              <w:right w:val="nil"/>
            </w:tcBorders>
          </w:tcPr>
          <w:p>
            <w:pPr>
              <w:spacing w:after="10"/>
            </w:pPr>
            <w:r>
              <w:rPr>
                <w:rFonts w:ascii="Times New Roman" w:hAnsi="Times New Roman"/>
                <w:b w:val="0"/>
                <w:i w:val="0"/>
                <w:sz w:val="15"/>
              </w:rPr>
              <w:t>exp(−offset to the darkness centroid / 0.25)</w:t>
            </w:r>
          </w:p>
        </w:tc>
      </w:tr>
      <w:tr>
        <w:tc>
          <w:tcPr>
            <w:tcW w:type="dxa" w:w="1470"/>
            <w:tcBorders>
              <w:top w:val="single" w:sz="4" w:color="808080"/>
              <w:bottom w:val="single" w:sz="4" w:color="808080"/>
              <w:left w:val="nil"/>
              <w:right w:val="nil"/>
            </w:tcBorders>
          </w:tcPr>
          <w:p>
            <w:pPr>
              <w:spacing w:after="10"/>
            </w:pPr>
            <w:r>
              <w:rPr>
                <w:rFonts w:ascii="Times New Roman" w:hAnsi="Times New Roman"/>
                <w:b w:val="0"/>
                <w:i w:val="0"/>
                <w:sz w:val="15"/>
              </w:rPr>
              <w:t>boundary sharpness</w:t>
            </w:r>
          </w:p>
        </w:tc>
        <w:tc>
          <w:tcPr>
            <w:tcW w:type="dxa" w:w="882"/>
            <w:tcBorders>
              <w:top w:val="single" w:sz="4" w:color="808080"/>
              <w:bottom w:val="single" w:sz="4" w:color="808080"/>
              <w:left w:val="nil"/>
              <w:right w:val="nil"/>
            </w:tcBorders>
          </w:tcPr>
          <w:p>
            <w:pPr>
              <w:spacing w:after="10"/>
            </w:pPr>
            <w:r>
              <w:rPr>
                <w:rFonts w:ascii="Times New Roman" w:hAnsi="Times New Roman"/>
                <w:b w:val="0"/>
                <w:i w:val="0"/>
                <w:sz w:val="15"/>
              </w:rPr>
              <w:t>prob. map</w:t>
            </w:r>
          </w:p>
        </w:tc>
        <w:tc>
          <w:tcPr>
            <w:tcW w:type="dxa" w:w="2353"/>
            <w:tcBorders>
              <w:top w:val="single" w:sz="4" w:color="808080"/>
              <w:bottom w:val="single" w:sz="4" w:color="808080"/>
              <w:left w:val="nil"/>
              <w:right w:val="nil"/>
            </w:tcBorders>
          </w:tcPr>
          <w:p>
            <w:pPr>
              <w:spacing w:after="10"/>
            </w:pPr>
            <w:r>
              <w:rPr>
                <w:rFonts w:ascii="Times New Roman" w:hAnsi="Times New Roman"/>
                <w:b w:val="0"/>
                <w:i w:val="0"/>
                <w:sz w:val="15"/>
              </w:rPr>
              <w:t>exp(−mean boundary entropy / 0.30)</w:t>
            </w:r>
          </w:p>
        </w:tc>
      </w:tr>
      <w:tr>
        <w:tc>
          <w:tcPr>
            <w:tcW w:type="dxa" w:w="1470"/>
            <w:tcBorders>
              <w:top w:val="single" w:sz="4" w:color="808080"/>
              <w:bottom w:val="single" w:sz="4" w:color="808080"/>
              <w:left w:val="nil"/>
              <w:right w:val="nil"/>
            </w:tcBorders>
          </w:tcPr>
          <w:p>
            <w:pPr>
              <w:spacing w:after="10"/>
            </w:pPr>
            <w:r>
              <w:rPr>
                <w:rFonts w:ascii="Times New Roman" w:hAnsi="Times New Roman"/>
                <w:b w:val="0"/>
                <w:i w:val="0"/>
                <w:sz w:val="15"/>
              </w:rPr>
              <w:t>mask completeness</w:t>
            </w:r>
          </w:p>
        </w:tc>
        <w:tc>
          <w:tcPr>
            <w:tcW w:type="dxa" w:w="882"/>
            <w:tcBorders>
              <w:top w:val="single" w:sz="4" w:color="808080"/>
              <w:bottom w:val="single" w:sz="4" w:color="808080"/>
              <w:left w:val="nil"/>
              <w:right w:val="nil"/>
            </w:tcBorders>
          </w:tcPr>
          <w:p>
            <w:pPr>
              <w:spacing w:after="10"/>
            </w:pPr>
            <w:r>
              <w:rPr>
                <w:rFonts w:ascii="Times New Roman" w:hAnsi="Times New Roman"/>
                <w:b w:val="0"/>
                <w:i w:val="0"/>
                <w:sz w:val="15"/>
              </w:rPr>
              <w:t>mask</w:t>
            </w:r>
          </w:p>
        </w:tc>
        <w:tc>
          <w:tcPr>
            <w:tcW w:type="dxa" w:w="2353"/>
            <w:tcBorders>
              <w:top w:val="single" w:sz="4" w:color="808080"/>
              <w:bottom w:val="single" w:sz="4" w:color="808080"/>
              <w:left w:val="nil"/>
              <w:right w:val="nil"/>
            </w:tcBorders>
          </w:tcPr>
          <w:p>
            <w:pPr>
              <w:spacing w:after="10"/>
            </w:pPr>
            <w:r>
              <w:rPr>
                <w:rFonts w:ascii="Times New Roman" w:hAnsi="Times New Roman"/>
                <w:b w:val="0"/>
                <w:i w:val="0"/>
                <w:sz w:val="15"/>
              </w:rPr>
              <w:t>plateau on the lumen area ratio</w:t>
            </w:r>
          </w:p>
        </w:tc>
      </w:tr>
      <w:tr>
        <w:tc>
          <w:tcPr>
            <w:tcW w:type="dxa" w:w="1470"/>
            <w:tcBorders>
              <w:top w:val="single" w:sz="4" w:color="808080"/>
              <w:bottom w:val="single" w:sz="4" w:color="808080"/>
              <w:left w:val="nil"/>
              <w:right w:val="nil"/>
            </w:tcBorders>
          </w:tcPr>
          <w:p>
            <w:pPr>
              <w:spacing w:after="10"/>
            </w:pPr>
            <w:r>
              <w:rPr>
                <w:rFonts w:ascii="Times New Roman" w:hAnsi="Times New Roman"/>
                <w:b w:val="0"/>
                <w:i w:val="0"/>
                <w:sz w:val="15"/>
              </w:rPr>
              <w:t>segmentation confidence</w:t>
            </w:r>
          </w:p>
        </w:tc>
        <w:tc>
          <w:tcPr>
            <w:tcW w:type="dxa" w:w="882"/>
            <w:tcBorders>
              <w:top w:val="single" w:sz="4" w:color="808080"/>
              <w:bottom w:val="single" w:sz="4" w:color="808080"/>
              <w:left w:val="nil"/>
              <w:right w:val="nil"/>
            </w:tcBorders>
          </w:tcPr>
          <w:p>
            <w:pPr>
              <w:spacing w:after="10"/>
            </w:pPr>
            <w:r>
              <w:rPr>
                <w:rFonts w:ascii="Times New Roman" w:hAnsi="Times New Roman"/>
                <w:b w:val="0"/>
                <w:i w:val="0"/>
                <w:sz w:val="15"/>
              </w:rPr>
              <w:t>prob. map</w:t>
            </w:r>
          </w:p>
        </w:tc>
        <w:tc>
          <w:tcPr>
            <w:tcW w:type="dxa" w:w="2353"/>
            <w:tcBorders>
              <w:top w:val="single" w:sz="4" w:color="808080"/>
              <w:bottom w:val="single" w:sz="4" w:color="808080"/>
              <w:left w:val="nil"/>
              <w:right w:val="nil"/>
            </w:tcBorders>
          </w:tcPr>
          <w:p>
            <w:pPr>
              <w:spacing w:after="10"/>
            </w:pPr>
            <w:r>
              <w:rPr>
                <w:rFonts w:ascii="Times New Roman" w:hAnsi="Times New Roman"/>
                <w:b w:val="0"/>
                <w:i w:val="0"/>
                <w:sz w:val="15"/>
              </w:rPr>
              <w:t>mean |2p − 1| over the sector</w:t>
            </w:r>
          </w:p>
        </w:tc>
      </w:tr>
      <w:tr>
        <w:tc>
          <w:tcPr>
            <w:tcW w:type="dxa" w:w="1470"/>
            <w:tcBorders>
              <w:top w:val="single" w:sz="4" w:color="808080"/>
              <w:bottom w:val="single" w:sz="4" w:color="808080"/>
              <w:left w:val="nil"/>
              <w:right w:val="nil"/>
            </w:tcBorders>
          </w:tcPr>
          <w:p>
            <w:pPr>
              <w:spacing w:after="10"/>
            </w:pPr>
            <w:r>
              <w:rPr>
                <w:rFonts w:ascii="Times New Roman" w:hAnsi="Times New Roman"/>
                <w:b w:val="0"/>
                <w:i w:val="0"/>
                <w:sz w:val="15"/>
              </w:rPr>
              <w:t>border penalty, component quality</w:t>
            </w:r>
          </w:p>
        </w:tc>
        <w:tc>
          <w:tcPr>
            <w:tcW w:type="dxa" w:w="882"/>
            <w:tcBorders>
              <w:top w:val="single" w:sz="4" w:color="808080"/>
              <w:bottom w:val="single" w:sz="4" w:color="808080"/>
              <w:left w:val="nil"/>
              <w:right w:val="nil"/>
            </w:tcBorders>
          </w:tcPr>
          <w:p>
            <w:pPr>
              <w:spacing w:after="10"/>
            </w:pPr>
            <w:r>
              <w:rPr>
                <w:rFonts w:ascii="Times New Roman" w:hAnsi="Times New Roman"/>
                <w:b w:val="0"/>
                <w:i w:val="0"/>
                <w:sz w:val="15"/>
              </w:rPr>
              <w:t>mask</w:t>
            </w:r>
          </w:p>
        </w:tc>
        <w:tc>
          <w:tcPr>
            <w:tcW w:type="dxa" w:w="2353"/>
            <w:tcBorders>
              <w:top w:val="single" w:sz="4" w:color="808080"/>
              <w:bottom w:val="single" w:sz="4" w:color="808080"/>
              <w:left w:val="nil"/>
              <w:right w:val="nil"/>
            </w:tcBorders>
          </w:tcPr>
          <w:p>
            <w:pPr>
              <w:spacing w:after="10"/>
            </w:pPr>
            <w:r>
              <w:rPr>
                <w:rFonts w:ascii="Times New Roman" w:hAnsi="Times New Roman"/>
                <w:b w:val="0"/>
                <w:i w:val="0"/>
                <w:sz w:val="15"/>
              </w:rPr>
              <w:t>mask geometry (weight 0 here)</w:t>
            </w:r>
          </w:p>
        </w:tc>
      </w:tr>
      <w:tr>
        <w:tc>
          <w:tcPr>
            <w:tcW w:type="dxa" w:w="1470"/>
            <w:tcBorders>
              <w:top w:val="single" w:sz="4" w:color="808080"/>
              <w:bottom w:val="single" w:sz="4" w:color="808080"/>
              <w:left w:val="nil"/>
              <w:right w:val="nil"/>
            </w:tcBorders>
          </w:tcPr>
          <w:p>
            <w:pPr>
              <w:spacing w:after="10"/>
            </w:pPr>
            <w:r>
              <w:rPr>
                <w:rFonts w:ascii="Times New Roman" w:hAnsi="Times New Roman"/>
                <w:b w:val="0"/>
                <w:i w:val="0"/>
                <w:sz w:val="15"/>
              </w:rPr>
              <w:t>temporal terms (3)</w:t>
            </w:r>
          </w:p>
        </w:tc>
        <w:tc>
          <w:tcPr>
            <w:tcW w:type="dxa" w:w="882"/>
            <w:tcBorders>
              <w:top w:val="single" w:sz="4" w:color="808080"/>
              <w:bottom w:val="single" w:sz="4" w:color="808080"/>
              <w:left w:val="nil"/>
              <w:right w:val="nil"/>
            </w:tcBorders>
          </w:tcPr>
          <w:p>
            <w:pPr>
              <w:spacing w:after="10"/>
            </w:pPr>
            <w:r>
              <w:rPr>
                <w:rFonts w:ascii="Times New Roman" w:hAnsi="Times New Roman"/>
                <w:b w:val="0"/>
                <w:i w:val="0"/>
                <w:sz w:val="15"/>
              </w:rPr>
              <w:t>mask history</w:t>
            </w:r>
          </w:p>
        </w:tc>
        <w:tc>
          <w:tcPr>
            <w:tcW w:type="dxa" w:w="2353"/>
            <w:tcBorders>
              <w:top w:val="single" w:sz="4" w:color="808080"/>
              <w:bottom w:val="single" w:sz="4" w:color="808080"/>
              <w:left w:val="nil"/>
              <w:right w:val="nil"/>
            </w:tcBorders>
          </w:tcPr>
          <w:p>
            <w:pPr>
              <w:spacing w:after="10"/>
            </w:pPr>
            <w:r>
              <w:rPr>
                <w:rFonts w:ascii="Times New Roman" w:hAnsi="Times New Roman"/>
                <w:b w:val="0"/>
                <w:i w:val="0"/>
                <w:sz w:val="15"/>
              </w:rPr>
              <w:t>agreement with the previous mask</w:t>
            </w:r>
          </w:p>
        </w:tc>
      </w:tr>
    </w:tbl>
    <w:p>
      <w:pPr>
        <w:spacing w:after="60"/>
      </w:pPr>
    </w:p>
    <w:p>
      <w:pPr>
        <w:spacing w:before="0" w:after="64"/>
        <w:ind w:left="0"/>
        <w:jc w:val="both"/>
      </w:pPr>
      <w:r>
        <w:rPr>
          <w:rFonts w:ascii="Times New Roman" w:hAnsi="Times New Roman"/>
          <w:b w:val="0"/>
          <w:i w:val="0"/>
          <w:sz w:val="19"/>
        </w:rPr>
        <w:t>The weights are set by rule, not fitted. A pre-declared tuning protocol — candidate weightings scored on the validation cohort by their AUROC for Dice ≥ 0.80 within bladder-volume bands, ties broken by dynamic range, the test cohort untouched — was run and then set aside for cause: with eleven patients per split, every candidate's bootstrapped confidence interval on the selection metric spanned most of the unit interval, so this cohort cannot rank weightings and a fitted weight would report sampling noise. The weights are therefore tiered, and equal within a tier: the three terms that read the ultrasound image share the top weight (1.5 each, 4.5 of the 6.0 total), the mask-side domain check keeps a minority 0.5, and terms whose measured behaviour disqualifies them — a border penalty duplicating a hard limit the validity gate already enforces, a component-quality term that returns one value — are set to zero rather than down-weighted, because a consistently inverted or saturated term is not a tuning question. `segmentation confidence` keeps its inherited weight of 1.0; what that buys is measured rather than assumed, in Section 3.2.</w:t>
      </w:r>
    </w:p>
    <w:p>
      <w:pPr>
        <w:spacing w:before="0" w:after="64"/>
        <w:ind w:left="0"/>
        <w:jc w:val="both"/>
      </w:pPr>
      <w:r>
        <w:rPr>
          <w:rFonts w:ascii="Times New Roman" w:hAnsi="Times New Roman"/>
          <w:b w:val="0"/>
          <w:i w:val="0"/>
          <w:sz w:val="19"/>
        </w:rPr>
        <w:t xml:space="preserve">The three temporal terms are switched off for this study. The frames are static examinations in which nothing moved in response to the image, so frame-to-frame agreement measures the smoothness of a recording rather than the stability of a control loop; scoring it would credit </w:t>
      </w:r>
      <w:r>
        <w:rPr>
          <w:rFonts w:ascii="Times New Roman" w:hAnsi="Times New Roman"/>
          <w:b w:val="0"/>
          <w:i/>
          <w:sz w:val="19"/>
        </w:rPr>
        <w:t>Q</w:t>
      </w:r>
      <w:r>
        <w:rPr>
          <w:rFonts w:ascii="Times New Roman" w:hAnsi="Times New Roman"/>
          <w:b w:val="0"/>
          <w:i w:val="0"/>
          <w:sz w:val="19"/>
        </w:rPr>
        <w:t xml:space="preserve"> for a property the setting has not been asked to produce.</w:t>
      </w:r>
    </w:p>
    <w:p>
      <w:pPr>
        <w:keepNext/>
        <w:spacing w:before="90" w:after="40"/>
        <w:ind w:left="0"/>
        <w:jc w:val="left"/>
      </w:pPr>
      <w:r>
        <w:rPr>
          <w:rFonts w:ascii="Times New Roman" w:hAnsi="Times New Roman"/>
          <w:b/>
          <w:i w:val="0"/>
          <w:sz w:val="18"/>
        </w:rPr>
        <w:t>2.3 Range, Noise, and Resolvable Levels</w:t>
      </w:r>
    </w:p>
    <w:p>
      <w:pPr>
        <w:spacing w:before="0" w:after="64"/>
        <w:ind w:left="0"/>
        <w:jc w:val="both"/>
      </w:pPr>
      <w:r>
        <w:rPr>
          <w:rFonts w:ascii="Times New Roman" w:hAnsi="Times New Roman"/>
          <w:b w:val="0"/>
          <w:i w:val="0"/>
          <w:sz w:val="19"/>
        </w:rPr>
        <w:t xml:space="preserve">The first property measured is the </w:t>
      </w:r>
      <w:r>
        <w:rPr>
          <w:rFonts w:ascii="Times New Roman" w:hAnsi="Times New Roman"/>
          <w:b/>
          <w:i w:val="0"/>
          <w:sz w:val="19"/>
        </w:rPr>
        <w:t>attained range</w:t>
      </w:r>
      <w:r>
        <w:rPr>
          <w:rFonts w:ascii="Times New Roman" w:hAnsi="Times New Roman"/>
          <w:b w:val="0"/>
          <w:i w:val="0"/>
          <w:sz w:val="19"/>
        </w:rPr>
        <w:t xml:space="preserve"> — the interval of values </w:t>
      </w:r>
      <w:r>
        <w:rPr>
          <w:rFonts w:ascii="Times New Roman" w:hAnsi="Times New Roman"/>
          <w:b w:val="0"/>
          <w:i/>
          <w:sz w:val="19"/>
        </w:rPr>
        <w:t>Q</w:t>
      </w:r>
      <w:r>
        <w:rPr>
          <w:rFonts w:ascii="Times New Roman" w:hAnsi="Times New Roman"/>
          <w:b w:val="0"/>
          <w:i w:val="0"/>
          <w:sz w:val="19"/>
        </w:rPr>
        <w:t xml:space="preserve"> actually takes, read over all 2,953 held-out frames and set against its nominal domain [0, 1]. Because the geometric mean is additive in the logarithm, the attained range decomposes exactly: each sub-score contributes its weight share times the log-width of the interval it attains, so every part of the range is traceable to one term.</w:t>
      </w:r>
    </w:p>
    <w:p>
      <w:pPr>
        <w:spacing w:before="0" w:after="64"/>
        <w:ind w:left="0"/>
        <w:jc w:val="both"/>
      </w:pPr>
      <w:r>
        <w:rPr>
          <w:rFonts w:ascii="Times New Roman" w:hAnsi="Times New Roman"/>
          <w:b w:val="0"/>
          <w:i w:val="0"/>
          <w:sz w:val="19"/>
        </w:rPr>
        <w:t xml:space="preserve">A range is only useful relative to the noise on it. These are static examinations, so the change in </w:t>
      </w:r>
      <w:r>
        <w:rPr>
          <w:rFonts w:ascii="Times New Roman" w:hAnsi="Times New Roman"/>
          <w:b w:val="0"/>
          <w:i/>
          <w:sz w:val="19"/>
        </w:rPr>
        <w:t>Q</w:t>
      </w:r>
      <w:r>
        <w:rPr>
          <w:rFonts w:ascii="Times New Roman" w:hAnsi="Times New Roman"/>
          <w:b w:val="0"/>
          <w:i w:val="0"/>
          <w:sz w:val="19"/>
        </w:rPr>
        <w:t xml:space="preserve"> between adjacent frames is almost entirely measurement noise, and its standard deviation is a direct estimate of the function's own jitter. Two frames whose scores differ by less than that jitter cannot be ordered — the difference is as likely noise as signal — so thresholds spaced closer than one jitter step do not define distinct decisions; they hand the same frame different labels on different frames. Dividing the attained range by the jitter therefore gives the number of levels a reader of </w:t>
      </w:r>
      <w:r>
        <w:rPr>
          <w:rFonts w:ascii="Times New Roman" w:hAnsi="Times New Roman"/>
          <w:b w:val="0"/>
          <w:i/>
          <w:sz w:val="19"/>
        </w:rPr>
        <w:t>Q</w:t>
      </w:r>
      <w:r>
        <w:rPr>
          <w:rFonts w:ascii="Times New Roman" w:hAnsi="Times New Roman"/>
          <w:b w:val="0"/>
          <w:i w:val="0"/>
          <w:sz w:val="19"/>
        </w:rPr>
        <w:t xml:space="preserve"> can distinguish; the central 80% of the distribution — the operating region a threshold would actually be placed in — is reported alongside the full range.</w:t>
      </w:r>
    </w:p>
    <w:p>
      <w:pPr>
        <w:keepNext/>
        <w:spacing w:before="90" w:after="40"/>
        <w:ind w:left="0"/>
        <w:jc w:val="left"/>
      </w:pPr>
      <w:r>
        <w:rPr>
          <w:rFonts w:ascii="Times New Roman" w:hAnsi="Times New Roman"/>
          <w:b/>
          <w:i w:val="0"/>
          <w:sz w:val="18"/>
        </w:rPr>
        <w:t>2.4 The Instruction Axis</w:t>
      </w:r>
    </w:p>
    <w:p>
      <w:pPr>
        <w:spacing w:before="0" w:after="64"/>
        <w:ind w:left="0"/>
        <w:jc w:val="both"/>
      </w:pPr>
      <w:r>
        <w:rPr>
          <w:rFonts w:ascii="Times New Roman" w:hAnsi="Times New Roman"/>
          <w:b w:val="0"/>
          <w:i w:val="0"/>
          <w:sz w:val="19"/>
        </w:rPr>
        <w:t xml:space="preserve">The instruction is issued on the one image axis that leaves the imaging plane invariant. Of the probe's six axes only </w:t>
      </w:r>
      <w:r>
        <w:rPr>
          <w:rFonts w:ascii="Times New Roman" w:hAnsi="Times New Roman"/>
          <w:b w:val="0"/>
          <w:i/>
          <w:sz w:val="19"/>
        </w:rPr>
        <w:t>v</w:t>
      </w:r>
      <w:r>
        <w:rPr>
          <w:rFonts w:ascii="Times New Roman" w:hAnsi="Times New Roman"/>
          <w:b w:val="0"/>
          <w:i w:val="0"/>
          <w:sz w:val="19"/>
          <w:vertAlign w:val="subscript"/>
        </w:rPr>
        <w:t>x</w:t>
      </w:r>
      <w:r>
        <w:rPr>
          <w:rFonts w:ascii="Times New Roman" w:hAnsi="Times New Roman"/>
          <w:b w:val="0"/>
          <w:i w:val="0"/>
          <w:sz w:val="19"/>
        </w:rPr>
        <w:t xml:space="preserve">, </w:t>
      </w:r>
      <w:r>
        <w:rPr>
          <w:rFonts w:ascii="Times New Roman" w:hAnsi="Times New Roman"/>
          <w:b w:val="0"/>
          <w:i/>
          <w:sz w:val="19"/>
        </w:rPr>
        <w:t>v</w:t>
      </w:r>
      <w:r>
        <w:rPr>
          <w:rFonts w:ascii="Times New Roman" w:hAnsi="Times New Roman"/>
          <w:b w:val="0"/>
          <w:i w:val="0"/>
          <w:sz w:val="19"/>
          <w:vertAlign w:val="subscript"/>
        </w:rPr>
        <w:t>z</w:t>
      </w:r>
      <w:r>
        <w:rPr>
          <w:rFonts w:ascii="Times New Roman" w:hAnsi="Times New Roman"/>
          <w:b w:val="0"/>
          <w:i w:val="0"/>
          <w:sz w:val="19"/>
        </w:rPr>
        <w:t xml:space="preserve"> and </w:t>
      </w:r>
      <w:r>
        <w:rPr>
          <w:rFonts w:ascii="Times New Roman" w:hAnsi="Times New Roman"/>
          <w:b w:val="0"/>
          <w:i/>
          <w:sz w:val="19"/>
        </w:rPr>
        <w:t>ω</w:t>
      </w:r>
      <w:r>
        <w:rPr>
          <w:rFonts w:ascii="Times New Roman" w:hAnsi="Times New Roman"/>
          <w:b w:val="0"/>
          <w:i w:val="0"/>
          <w:sz w:val="19"/>
          <w:vertAlign w:val="subscript"/>
        </w:rPr>
        <w:t>y</w:t>
      </w:r>
      <w:r>
        <w:rPr>
          <w:rFonts w:ascii="Times New Roman" w:hAnsi="Times New Roman"/>
          <w:b w:val="0"/>
          <w:i w:val="0"/>
          <w:sz w:val="19"/>
        </w:rPr>
        <w:t xml:space="preserve"> preserve the plane; of the three the image policy holds, only lateral sliding </w:t>
      </w:r>
      <w:r>
        <w:rPr>
          <w:rFonts w:ascii="Times New Roman" w:hAnsi="Times New Roman"/>
          <w:b w:val="0"/>
          <w:i/>
          <w:sz w:val="19"/>
        </w:rPr>
        <w:t>v</w:t>
      </w:r>
      <w:r>
        <w:rPr>
          <w:rFonts w:ascii="Times New Roman" w:hAnsi="Times New Roman"/>
          <w:b w:val="0"/>
          <w:i w:val="0"/>
          <w:sz w:val="19"/>
          <w:vertAlign w:val="subscript"/>
        </w:rPr>
        <w:t>x</w:t>
      </w:r>
      <w:r>
        <w:rPr>
          <w:rFonts w:ascii="Times New Roman" w:hAnsi="Times New Roman"/>
          <w:b w:val="0"/>
          <w:i w:val="0"/>
          <w:sz w:val="19"/>
        </w:rPr>
        <w:t xml:space="preserve"> does, and only it presents a measurable vector error rather than a scalar to be searched (Figure 1a). Write the instruction as </w:t>
      </w:r>
      <w:r>
        <w:rPr>
          <w:rFonts w:ascii="Times New Roman" w:hAnsi="Times New Roman"/>
          <w:b w:val="0"/>
          <w:i/>
          <w:sz w:val="19"/>
        </w:rPr>
        <w:t>ê</w:t>
      </w:r>
      <w:r>
        <w:rPr>
          <w:rFonts w:ascii="Times New Roman" w:hAnsi="Times New Roman"/>
          <w:b w:val="0"/>
          <w:i w:val="0"/>
          <w:sz w:val="19"/>
        </w:rPr>
        <w:t xml:space="preserve"> = </w:t>
      </w:r>
      <w:r>
        <w:rPr>
          <w:rFonts w:ascii="Times New Roman" w:hAnsi="Times New Roman"/>
          <w:b w:val="0"/>
          <w:i/>
          <w:sz w:val="19"/>
        </w:rPr>
        <w:t>A</w:t>
      </w:r>
      <w:r>
        <w:rPr>
          <w:rFonts w:ascii="Times New Roman" w:hAnsi="Times New Roman"/>
          <w:b w:val="0"/>
          <w:i w:val="0"/>
          <w:sz w:val="19"/>
        </w:rPr>
        <w:t xml:space="preserve"> − </w:t>
      </w:r>
      <w:r>
        <w:rPr>
          <w:rFonts w:ascii="Times New Roman" w:hAnsi="Times New Roman"/>
          <w:b w:val="0"/>
          <w:i/>
          <w:sz w:val="19"/>
        </w:rPr>
        <w:t>ĉ</w:t>
      </w:r>
      <w:r>
        <w:rPr>
          <w:rFonts w:ascii="Times New Roman" w:hAnsi="Times New Roman"/>
          <w:b w:val="0"/>
          <w:i w:val="0"/>
          <w:sz w:val="19"/>
        </w:rPr>
        <w:t xml:space="preserve">, with </w:t>
      </w:r>
      <w:r>
        <w:rPr>
          <w:rFonts w:ascii="Times New Roman" w:hAnsi="Times New Roman"/>
          <w:b w:val="0"/>
          <w:i/>
          <w:sz w:val="19"/>
        </w:rPr>
        <w:t>A</w:t>
      </w:r>
      <w:r>
        <w:rPr>
          <w:rFonts w:ascii="Times New Roman" w:hAnsi="Times New Roman"/>
          <w:b w:val="0"/>
          <w:i w:val="0"/>
          <w:sz w:val="19"/>
        </w:rPr>
        <w:t xml:space="preserve"> the beam axis and </w:t>
      </w:r>
      <w:r>
        <w:rPr>
          <w:rFonts w:ascii="Times New Roman" w:hAnsi="Times New Roman"/>
          <w:b w:val="0"/>
          <w:i/>
          <w:sz w:val="19"/>
        </w:rPr>
        <w:t>ĉ</w:t>
      </w:r>
      <w:r>
        <w:rPr>
          <w:rFonts w:ascii="Times New Roman" w:hAnsi="Times New Roman"/>
          <w:b w:val="0"/>
          <w:i w:val="0"/>
          <w:sz w:val="19"/>
        </w:rPr>
        <w:t xml:space="preserve"> the predicted lumen centroid abscissa (Figure 1b).</w:t>
      </w:r>
    </w:p>
    <w:p>
      <w:pPr>
        <w:sectPr>
          <w:type w:val="continuous"/>
          <w:pgSz w:w="11906" w:h="16838"/>
          <w:pgMar w:top="1077" w:right="1020" w:bottom="1077" w:left="1020" w:header="567" w:footer="567" w:gutter="0"/>
          <w:cols w:space="396" w:num="2"/>
          <w:docGrid w:linePitch="360"/>
        </w:sectPr>
      </w:pPr>
    </w:p>
    <w:p>
      <w:pPr>
        <w:keepNext/>
        <w:spacing w:before="120" w:after="40"/>
        <w:jc w:val="center"/>
      </w:pPr>
      <w:r>
        <w:drawing>
          <wp:inline xmlns:a="http://schemas.openxmlformats.org/drawingml/2006/main" xmlns:pic="http://schemas.openxmlformats.org/drawingml/2006/picture">
            <wp:extent cx="5040000" cy="2080393"/>
            <wp:docPr id="1" name="Picture 1"/>
            <wp:cNvGraphicFramePr>
              <a:graphicFrameLocks noChangeAspect="1"/>
            </wp:cNvGraphicFramePr>
            <a:graphic>
              <a:graphicData uri="http://schemas.openxmlformats.org/drawingml/2006/picture">
                <pic:pic>
                  <pic:nvPicPr>
                    <pic:cNvPr id="0" name="fig_axes.png"/>
                    <pic:cNvPicPr/>
                  </pic:nvPicPr>
                  <pic:blipFill>
                    <a:blip r:embed="rId10"/>
                    <a:stretch>
                      <a:fillRect/>
                    </a:stretch>
                  </pic:blipFill>
                  <pic:spPr>
                    <a:xfrm>
                      <a:off x="0" y="0"/>
                      <a:ext cx="5040000" cy="2080393"/>
                    </a:xfrm>
                    <a:prstGeom prst="rect"/>
                  </pic:spPr>
                </pic:pic>
              </a:graphicData>
            </a:graphic>
          </wp:inline>
        </w:drawing>
      </w:r>
    </w:p>
    <w:p>
      <w:pPr>
        <w:spacing w:after="120"/>
        <w:jc w:val="both"/>
      </w:pPr>
      <w:r>
        <w:rPr>
          <w:rFonts w:ascii="Times New Roman" w:hAnsi="Times New Roman"/>
          <w:b/>
          <w:i w:val="0"/>
          <w:sz w:val="15"/>
        </w:rPr>
        <w:t>Figure 1.</w:t>
      </w:r>
      <w:r>
        <w:rPr>
          <w:rFonts w:ascii="Times New Roman" w:hAnsi="Times New Roman"/>
          <w:b w:val="0"/>
          <w:i w:val="0"/>
          <w:sz w:val="15"/>
        </w:rPr>
        <w:t xml:space="preserve"> (a) Only </w:t>
      </w:r>
      <w:r>
        <w:rPr>
          <w:rFonts w:ascii="Times New Roman" w:hAnsi="Times New Roman"/>
          <w:b w:val="0"/>
          <w:i/>
          <w:sz w:val="15"/>
        </w:rPr>
        <w:t>v</w:t>
      </w:r>
      <w:r>
        <w:rPr>
          <w:rFonts w:ascii="Times New Roman" w:hAnsi="Times New Roman"/>
          <w:b w:val="0"/>
          <w:i w:val="0"/>
          <w:sz w:val="15"/>
          <w:vertAlign w:val="subscript"/>
        </w:rPr>
        <w:t>x</w:t>
      </w:r>
      <w:r>
        <w:rPr>
          <w:rFonts w:ascii="Times New Roman" w:hAnsi="Times New Roman"/>
          <w:b w:val="0"/>
          <w:i w:val="0"/>
          <w:sz w:val="15"/>
        </w:rPr>
        <w:t xml:space="preserve"> leaves the imaging plane invariant among the three axes the image policy holds. (b) The lateral instruction on one frame: </w:t>
      </w:r>
      <w:r>
        <w:rPr>
          <w:rFonts w:ascii="Times New Roman" w:hAnsi="Times New Roman"/>
          <w:b w:val="0"/>
          <w:i/>
          <w:sz w:val="15"/>
        </w:rPr>
        <w:t>A</w:t>
      </w:r>
      <w:r>
        <w:rPr>
          <w:rFonts w:ascii="Times New Roman" w:hAnsi="Times New Roman"/>
          <w:b w:val="0"/>
          <w:i w:val="0"/>
          <w:sz w:val="15"/>
        </w:rPr>
        <w:t xml:space="preserve"> is the beam axis, </w:t>
      </w:r>
      <w:r>
        <w:rPr>
          <w:rFonts w:ascii="Times New Roman" w:hAnsi="Times New Roman"/>
          <w:b w:val="0"/>
          <w:i/>
          <w:sz w:val="15"/>
        </w:rPr>
        <w:t>c</w:t>
      </w:r>
      <w:r>
        <w:rPr>
          <w:rFonts w:ascii="Times New Roman" w:hAnsi="Times New Roman"/>
          <w:b w:val="0"/>
          <w:i w:val="0"/>
          <w:sz w:val="15"/>
        </w:rPr>
        <w:t xml:space="preserve"> the lumen centroid abscissa, </w:t>
      </w:r>
      <w:r>
        <w:rPr>
          <w:rFonts w:ascii="Times New Roman" w:hAnsi="Times New Roman"/>
          <w:b w:val="0"/>
          <w:i/>
          <w:sz w:val="15"/>
        </w:rPr>
        <w:t>e</w:t>
      </w:r>
      <w:r>
        <w:rPr>
          <w:rFonts w:ascii="Times New Roman" w:hAnsi="Times New Roman"/>
          <w:b w:val="0"/>
          <w:i w:val="0"/>
          <w:sz w:val="15"/>
        </w:rPr>
        <w:t xml:space="preserve"> = </w:t>
      </w:r>
      <w:r>
        <w:rPr>
          <w:rFonts w:ascii="Times New Roman" w:hAnsi="Times New Roman"/>
          <w:b w:val="0"/>
          <w:i/>
          <w:sz w:val="15"/>
        </w:rPr>
        <w:t>A</w:t>
      </w:r>
      <w:r>
        <w:rPr>
          <w:rFonts w:ascii="Times New Roman" w:hAnsi="Times New Roman"/>
          <w:b w:val="0"/>
          <w:i w:val="0"/>
          <w:sz w:val="15"/>
        </w:rPr>
        <w:t xml:space="preserve"> − </w:t>
      </w:r>
      <w:r>
        <w:rPr>
          <w:rFonts w:ascii="Times New Roman" w:hAnsi="Times New Roman"/>
          <w:b w:val="0"/>
          <w:i/>
          <w:sz w:val="15"/>
        </w:rPr>
        <w:t>c</w:t>
      </w:r>
      <w:r>
        <w:rPr>
          <w:rFonts w:ascii="Times New Roman" w:hAnsi="Times New Roman"/>
          <w:b w:val="0"/>
          <w:i w:val="0"/>
          <w:sz w:val="15"/>
        </w:rPr>
        <w:t>.</w:t>
      </w:r>
    </w:p>
    <w:p>
      <w:pPr>
        <w:sectPr>
          <w:type w:val="continuous"/>
          <w:pgSz w:w="11906" w:h="16838"/>
          <w:pgMar w:top="1077" w:right="1020" w:bottom="1077" w:left="1020" w:header="567" w:footer="567" w:gutter="0"/>
          <w:cols w:space="396" w:num="1"/>
          <w:docGrid w:linePitch="360"/>
        </w:sectPr>
      </w:pPr>
    </w:p>
    <w:p>
      <w:pPr>
        <w:keepNext/>
        <w:spacing w:before="90" w:after="40"/>
        <w:ind w:left="0"/>
        <w:jc w:val="left"/>
      </w:pPr>
      <w:r>
        <w:rPr>
          <w:rFonts w:ascii="Times New Roman" w:hAnsi="Times New Roman"/>
          <w:b/>
          <w:i w:val="0"/>
          <w:sz w:val="18"/>
        </w:rPr>
        <w:t>2.5 Validation by Lateral Translation</w:t>
      </w:r>
    </w:p>
    <w:p>
      <w:pPr>
        <w:spacing w:before="0" w:after="64"/>
        <w:ind w:left="0"/>
        <w:jc w:val="both"/>
      </w:pPr>
      <w:r>
        <w:rPr>
          <w:rFonts w:ascii="Times New Roman" w:hAnsi="Times New Roman"/>
          <w:b w:val="0"/>
          <w:i w:val="0"/>
          <w:sz w:val="19"/>
        </w:rPr>
        <w:t xml:space="preserve">One property of the frames prevents the direction from being validated on them as recorded: in all 2,953 the lumen lies on the same side of the beam axis, so </w:t>
      </w:r>
      <w:r>
        <w:rPr>
          <w:rFonts w:ascii="Times New Roman" w:hAnsi="Times New Roman"/>
          <w:b w:val="0"/>
          <w:i/>
          <w:sz w:val="19"/>
        </w:rPr>
        <w:t>e</w:t>
      </w:r>
      <w:r>
        <w:rPr>
          <w:rFonts w:ascii="Times New Roman" w:hAnsi="Times New Roman"/>
          <w:b w:val="0"/>
          <w:i w:val="0"/>
          <w:sz w:val="19"/>
        </w:rPr>
        <w:t xml:space="preserve"> never changes sign and a constant output would score 99.3%. The sonographer holds a diagnostic view rather than centring the lumen on the axis, which is a property of how the frames were acquired and not of the function.</w:t>
      </w:r>
    </w:p>
    <w:p>
      <w:pPr>
        <w:spacing w:before="0" w:after="64"/>
        <w:ind w:left="0"/>
        <w:jc w:val="both"/>
      </w:pPr>
      <w:r>
        <w:rPr>
          <w:rFonts w:ascii="Times New Roman" w:hAnsi="Times New Roman"/>
          <w:b w:val="0"/>
          <w:i w:val="0"/>
          <w:sz w:val="19"/>
        </w:rPr>
        <w:t xml:space="preserve">The instruction is therefore exercised on laterally translated frames. Lateral translation is the one probe motion single-plane frames can reproduce faithfully, and it carries the lumen across the axis so that </w:t>
      </w:r>
      <w:r>
        <w:rPr>
          <w:rFonts w:ascii="Times New Roman" w:hAnsi="Times New Roman"/>
          <w:b w:val="0"/>
          <w:i/>
          <w:sz w:val="19"/>
        </w:rPr>
        <w:t>e</w:t>
      </w:r>
      <w:r>
        <w:rPr>
          <w:rFonts w:ascii="Times New Roman" w:hAnsi="Times New Roman"/>
          <w:b w:val="0"/>
          <w:i w:val="0"/>
          <w:sz w:val="19"/>
        </w:rPr>
        <w:t xml:space="preserve"> changes sign; each frame is shifted by the amount that places </w:t>
      </w:r>
      <w:r>
        <w:rPr>
          <w:rFonts w:ascii="Times New Roman" w:hAnsi="Times New Roman"/>
          <w:b w:val="0"/>
          <w:i/>
          <w:sz w:val="19"/>
        </w:rPr>
        <w:t>e</w:t>
      </w:r>
      <w:r>
        <w:rPr>
          <w:rFonts w:ascii="Times New Roman" w:hAnsi="Times New Roman"/>
          <w:b w:val="0"/>
          <w:i w:val="0"/>
          <w:sz w:val="19"/>
        </w:rPr>
        <w:t xml:space="preserve"> on a prescribed target, sampled densely near the crossing and sparsely away from it. Fabricated margin is filled by edge replication, never black, which every intensity term would read as anechoic lumen. Across the sweep the segmentation is unaffected — Dice holds at 0.858 — and 1,936 frames result, 43% with </w:t>
      </w:r>
      <w:r>
        <w:rPr>
          <w:rFonts w:ascii="Times New Roman" w:hAnsi="Times New Roman"/>
          <w:b w:val="0"/>
          <w:i/>
          <w:sz w:val="19"/>
        </w:rPr>
        <w:t>e</w:t>
      </w:r>
      <w:r>
        <w:rPr>
          <w:rFonts w:ascii="Times New Roman" w:hAnsi="Times New Roman"/>
          <w:b w:val="0"/>
          <w:i w:val="0"/>
          <w:sz w:val="19"/>
        </w:rPr>
        <w:t xml:space="preserve"> &lt; 0.</w:t>
      </w:r>
    </w:p>
    <w:p>
      <w:pPr>
        <w:keepNext/>
        <w:spacing w:before="130" w:after="40"/>
        <w:ind w:left="0"/>
        <w:jc w:val="left"/>
      </w:pPr>
      <w:r>
        <w:rPr>
          <w:rFonts w:ascii="Times New Roman" w:hAnsi="Times New Roman"/>
          <w:b/>
          <w:i w:val="0"/>
          <w:sz w:val="20"/>
        </w:rPr>
        <w:t>3. Results</w:t>
      </w:r>
    </w:p>
    <w:p>
      <w:pPr>
        <w:keepNext/>
        <w:spacing w:before="90" w:after="40"/>
        <w:ind w:left="0"/>
        <w:jc w:val="left"/>
      </w:pPr>
      <w:r>
        <w:rPr>
          <w:rFonts w:ascii="Times New Roman" w:hAnsi="Times New Roman"/>
          <w:b/>
          <w:i w:val="0"/>
          <w:sz w:val="18"/>
        </w:rPr>
        <w:t>3.1 Segmentation Performance</w:t>
      </w:r>
    </w:p>
    <w:p>
      <w:pPr>
        <w:spacing w:before="0" w:after="64"/>
        <w:ind w:left="0"/>
        <w:jc w:val="both"/>
      </w:pPr>
      <w:r>
        <w:rPr>
          <w:rFonts w:ascii="Times New Roman" w:hAnsi="Times New Roman"/>
          <w:b w:val="0"/>
          <w:i w:val="0"/>
          <w:sz w:val="19"/>
        </w:rPr>
        <w:t xml:space="preserve">Table 2 reports the segmentation stage on the two held-out frame sets, both unfiltered and restricted to the distended-bladder working domain — frames whose annotated lumen occupies at least 5.7% of the sector, the state morcellation irrigation is meant to maintain. Within that domain the lateral centroid error, the quantity the instruction is built on, has a median near 4 px. The tail below the domain is the same population the </w:t>
      </w:r>
      <w:r>
        <w:rPr>
          <w:rFonts w:ascii="Times New Roman" w:hAnsi="Times New Roman"/>
          <w:b w:val="0"/>
          <w:i/>
          <w:sz w:val="19"/>
        </w:rPr>
        <w:t>check bladder filling</w:t>
      </w:r>
      <w:r>
        <w:rPr>
          <w:rFonts w:ascii="Times New Roman" w:hAnsi="Times New Roman"/>
          <w:b w:val="0"/>
          <w:i w:val="0"/>
          <w:sz w:val="19"/>
        </w:rPr>
        <w:t xml:space="preserve"> branch of Section 3.4 addresses: segmentation degrades exactly where the instruction refuses to steer.</w:t>
      </w:r>
    </w:p>
    <w:p>
      <w:pPr>
        <w:keepNext/>
        <w:spacing w:before="120" w:after="40"/>
      </w:pPr>
      <w:r>
        <w:rPr>
          <w:rFonts w:ascii="Times New Roman" w:hAnsi="Times New Roman"/>
          <w:b/>
          <w:i w:val="0"/>
          <w:sz w:val="15"/>
        </w:rPr>
        <w:t>Table 2.</w:t>
      </w:r>
      <w:r>
        <w:rPr>
          <w:rFonts w:ascii="Times New Roman" w:hAnsi="Times New Roman"/>
          <w:b w:val="0"/>
          <w:i w:val="0"/>
          <w:sz w:val="15"/>
        </w:rPr>
        <w:t xml:space="preserve"> Segmentation performance of the U-Net [2] on the held-out frame sets. The working domain keeps frames whose annotated lumen area is at least 5.7% of the sector; IoU and the lateral centroid error (median, px at 256 × 256) are computed there.</w:t>
      </w:r>
    </w:p>
    <w:tbl>
      <w:tblPr>
        <w:tblW w:type="auto" w:w="0"/>
        <w:jc w:val="center"/>
        <w:tblLayout w:type="fixed"/>
        <w:tblLook w:firstColumn="1" w:firstRow="1" w:lastColumn="0" w:lastRow="0" w:noHBand="0" w:noVBand="1" w:val="04A0"/>
        <w:tblLayout w:type="fixed"/>
        <w:tblW w:w="4706" w:type="dxa"/>
      </w:tblPr>
      <w:tblGrid>
        <w:gridCol w:w="1103"/>
        <w:gridCol w:w="697"/>
        <w:gridCol w:w="871"/>
        <w:gridCol w:w="580"/>
        <w:gridCol w:w="871"/>
        <w:gridCol w:w="580"/>
      </w:tblGrid>
      <w:tr>
        <w:tc>
          <w:tcPr>
            <w:tcW w:type="dxa" w:w="1104"/>
            <w:tcBorders>
              <w:top w:val="single" w:sz="8" w:color="000000"/>
              <w:bottom w:val="single" w:sz="8" w:color="000000"/>
              <w:left w:val="nil"/>
              <w:right w:val="nil"/>
            </w:tcBorders>
          </w:tcPr>
          <w:p>
            <w:pPr>
              <w:spacing w:after="10"/>
            </w:pPr>
            <w:r>
              <w:rPr>
                <w:rFonts w:ascii="Times New Roman" w:hAnsi="Times New Roman"/>
                <w:b/>
                <w:i w:val="0"/>
                <w:sz w:val="15"/>
              </w:rPr>
              <w:t>Frame set</w:t>
            </w:r>
          </w:p>
        </w:tc>
        <w:tc>
          <w:tcPr>
            <w:tcW w:type="dxa" w:w="697"/>
            <w:tcBorders>
              <w:top w:val="single" w:sz="8" w:color="000000"/>
              <w:bottom w:val="single" w:sz="8" w:color="000000"/>
              <w:left w:val="nil"/>
              <w:right w:val="nil"/>
            </w:tcBorders>
          </w:tcPr>
          <w:p>
            <w:pPr>
              <w:spacing w:after="10"/>
            </w:pPr>
            <w:r>
              <w:rPr>
                <w:rFonts w:ascii="Times New Roman" w:hAnsi="Times New Roman"/>
                <w:b/>
                <w:i w:val="0"/>
                <w:sz w:val="15"/>
              </w:rPr>
              <w:t>Frames / pts</w:t>
            </w:r>
          </w:p>
        </w:tc>
        <w:tc>
          <w:tcPr>
            <w:tcW w:type="dxa" w:w="871"/>
            <w:tcBorders>
              <w:top w:val="single" w:sz="8" w:color="000000"/>
              <w:bottom w:val="single" w:sz="8" w:color="000000"/>
              <w:left w:val="nil"/>
              <w:right w:val="nil"/>
            </w:tcBorders>
          </w:tcPr>
          <w:p>
            <w:pPr>
              <w:spacing w:after="10"/>
            </w:pPr>
            <w:r>
              <w:rPr>
                <w:rFonts w:ascii="Times New Roman" w:hAnsi="Times New Roman"/>
                <w:b/>
                <w:i w:val="0"/>
                <w:sz w:val="15"/>
              </w:rPr>
              <w:t>Dice</w:t>
            </w:r>
          </w:p>
        </w:tc>
        <w:tc>
          <w:tcPr>
            <w:tcW w:type="dxa" w:w="581"/>
            <w:tcBorders>
              <w:top w:val="single" w:sz="8" w:color="000000"/>
              <w:bottom w:val="single" w:sz="8" w:color="000000"/>
              <w:left w:val="nil"/>
              <w:right w:val="nil"/>
            </w:tcBorders>
          </w:tcPr>
          <w:p>
            <w:pPr>
              <w:spacing w:after="10"/>
            </w:pPr>
            <w:r>
              <w:rPr>
                <w:rFonts w:ascii="Times New Roman" w:hAnsi="Times New Roman"/>
                <w:b/>
                <w:i w:val="0"/>
                <w:sz w:val="15"/>
              </w:rPr>
              <w:t>Dice med.</w:t>
            </w:r>
          </w:p>
        </w:tc>
        <w:tc>
          <w:tcPr>
            <w:tcW w:type="dxa" w:w="871"/>
            <w:tcBorders>
              <w:top w:val="single" w:sz="8" w:color="000000"/>
              <w:bottom w:val="single" w:sz="8" w:color="000000"/>
              <w:left w:val="nil"/>
              <w:right w:val="nil"/>
            </w:tcBorders>
          </w:tcPr>
          <w:p>
            <w:pPr>
              <w:spacing w:after="10"/>
            </w:pPr>
            <w:r>
              <w:rPr>
                <w:rFonts w:ascii="Times New Roman" w:hAnsi="Times New Roman"/>
                <w:b/>
                <w:i w:val="0"/>
                <w:sz w:val="15"/>
              </w:rPr>
              <w:t>IoU</w:t>
            </w:r>
          </w:p>
        </w:tc>
        <w:tc>
          <w:tcPr>
            <w:tcW w:type="dxa" w:w="581"/>
            <w:tcBorders>
              <w:top w:val="single" w:sz="8" w:color="000000"/>
              <w:bottom w:val="single" w:sz="8" w:color="000000"/>
              <w:left w:val="nil"/>
              <w:right w:val="nil"/>
            </w:tcBorders>
          </w:tcPr>
          <w:p>
            <w:pPr>
              <w:spacing w:after="10"/>
            </w:pPr>
            <w:r>
              <w:rPr>
                <w:rFonts w:ascii="Times New Roman" w:hAnsi="Times New Roman"/>
                <w:b/>
                <w:i w:val="0"/>
                <w:sz w:val="15"/>
              </w:rPr>
              <w:t>Centr. err.</w:t>
            </w:r>
          </w:p>
        </w:tc>
      </w:tr>
      <w:tr>
        <w:tc>
          <w:tcPr>
            <w:tcW w:type="dxa" w:w="1104"/>
            <w:tcBorders>
              <w:top w:val="single" w:sz="4" w:color="808080"/>
              <w:bottom w:val="single" w:sz="4" w:color="808080"/>
              <w:left w:val="nil"/>
              <w:right w:val="nil"/>
            </w:tcBorders>
          </w:tcPr>
          <w:p>
            <w:pPr>
              <w:spacing w:after="10"/>
            </w:pPr>
            <w:r>
              <w:rPr>
                <w:rFonts w:ascii="Times New Roman" w:hAnsi="Times New Roman"/>
                <w:b w:val="0"/>
                <w:i w:val="0"/>
                <w:sz w:val="15"/>
              </w:rPr>
              <w:t>val, all frames</w:t>
            </w:r>
          </w:p>
        </w:tc>
        <w:tc>
          <w:tcPr>
            <w:tcW w:type="dxa" w:w="697"/>
            <w:tcBorders>
              <w:top w:val="single" w:sz="4" w:color="808080"/>
              <w:bottom w:val="single" w:sz="4" w:color="808080"/>
              <w:left w:val="nil"/>
              <w:right w:val="nil"/>
            </w:tcBorders>
          </w:tcPr>
          <w:p>
            <w:pPr>
              <w:spacing w:after="10"/>
            </w:pPr>
            <w:r>
              <w:rPr>
                <w:rFonts w:ascii="Times New Roman" w:hAnsi="Times New Roman"/>
                <w:b w:val="0"/>
                <w:i w:val="0"/>
                <w:sz w:val="15"/>
              </w:rPr>
              <w:t>1,661 / 11</w:t>
            </w:r>
          </w:p>
        </w:tc>
        <w:tc>
          <w:tcPr>
            <w:tcW w:type="dxa" w:w="871"/>
            <w:tcBorders>
              <w:top w:val="single" w:sz="4" w:color="808080"/>
              <w:bottom w:val="single" w:sz="4" w:color="808080"/>
              <w:left w:val="nil"/>
              <w:right w:val="nil"/>
            </w:tcBorders>
          </w:tcPr>
          <w:p>
            <w:pPr>
              <w:spacing w:after="10"/>
            </w:pPr>
            <w:r>
              <w:rPr>
                <w:rFonts w:ascii="Times New Roman" w:hAnsi="Times New Roman"/>
                <w:b w:val="0"/>
                <w:i w:val="0"/>
                <w:sz w:val="15"/>
              </w:rPr>
              <w:t>0.825 ± 0.091</w:t>
            </w:r>
          </w:p>
        </w:tc>
        <w:tc>
          <w:tcPr>
            <w:tcW w:type="dxa" w:w="581"/>
            <w:tcBorders>
              <w:top w:val="single" w:sz="4" w:color="808080"/>
              <w:bottom w:val="single" w:sz="4" w:color="808080"/>
              <w:left w:val="nil"/>
              <w:right w:val="nil"/>
            </w:tcBorders>
          </w:tcPr>
          <w:p>
            <w:pPr>
              <w:spacing w:after="10"/>
            </w:pPr>
            <w:r>
              <w:rPr>
                <w:rFonts w:ascii="Times New Roman" w:hAnsi="Times New Roman"/>
                <w:b w:val="0"/>
                <w:i w:val="0"/>
                <w:sz w:val="15"/>
              </w:rPr>
              <w:t>0.848</w:t>
            </w:r>
          </w:p>
        </w:tc>
        <w:tc>
          <w:tcPr>
            <w:tcW w:type="dxa" w:w="871"/>
            <w:tcBorders>
              <w:top w:val="single" w:sz="4" w:color="808080"/>
              <w:bottom w:val="single" w:sz="4" w:color="808080"/>
              <w:left w:val="nil"/>
              <w:right w:val="nil"/>
            </w:tcBorders>
          </w:tcPr>
          <w:p>
            <w:pPr>
              <w:spacing w:after="10"/>
            </w:pPr>
            <w:r>
              <w:rPr>
                <w:rFonts w:ascii="Times New Roman" w:hAnsi="Times New Roman"/>
                <w:b w:val="0"/>
                <w:i w:val="0"/>
                <w:sz w:val="15"/>
              </w:rPr>
              <w:t>—</w:t>
            </w:r>
          </w:p>
        </w:tc>
        <w:tc>
          <w:tcPr>
            <w:tcW w:type="dxa" w:w="581"/>
            <w:tcBorders>
              <w:top w:val="single" w:sz="4" w:color="808080"/>
              <w:bottom w:val="single" w:sz="4" w:color="808080"/>
              <w:left w:val="nil"/>
              <w:right w:val="nil"/>
            </w:tcBorders>
          </w:tcPr>
          <w:p>
            <w:pPr>
              <w:spacing w:after="10"/>
            </w:pPr>
            <w:r>
              <w:rPr>
                <w:rFonts w:ascii="Times New Roman" w:hAnsi="Times New Roman"/>
                <w:b w:val="0"/>
                <w:i w:val="0"/>
                <w:sz w:val="15"/>
              </w:rPr>
              <w:t>—</w:t>
            </w:r>
          </w:p>
        </w:tc>
      </w:tr>
      <w:tr>
        <w:tc>
          <w:tcPr>
            <w:tcW w:type="dxa" w:w="1104"/>
            <w:tcBorders>
              <w:top w:val="single" w:sz="4" w:color="808080"/>
              <w:bottom w:val="single" w:sz="4" w:color="808080"/>
              <w:left w:val="nil"/>
              <w:right w:val="nil"/>
            </w:tcBorders>
          </w:tcPr>
          <w:p>
            <w:pPr>
              <w:spacing w:after="10"/>
            </w:pPr>
            <w:r>
              <w:rPr>
                <w:rFonts w:ascii="Times New Roman" w:hAnsi="Times New Roman"/>
                <w:b w:val="0"/>
                <w:i w:val="0"/>
                <w:sz w:val="15"/>
              </w:rPr>
              <w:t>test, all frames</w:t>
            </w:r>
          </w:p>
        </w:tc>
        <w:tc>
          <w:tcPr>
            <w:tcW w:type="dxa" w:w="697"/>
            <w:tcBorders>
              <w:top w:val="single" w:sz="4" w:color="808080"/>
              <w:bottom w:val="single" w:sz="4" w:color="808080"/>
              <w:left w:val="nil"/>
              <w:right w:val="nil"/>
            </w:tcBorders>
          </w:tcPr>
          <w:p>
            <w:pPr>
              <w:spacing w:after="10"/>
            </w:pPr>
            <w:r>
              <w:rPr>
                <w:rFonts w:ascii="Times New Roman" w:hAnsi="Times New Roman"/>
                <w:b w:val="0"/>
                <w:i w:val="0"/>
                <w:sz w:val="15"/>
              </w:rPr>
              <w:t>1,292 / 11</w:t>
            </w:r>
          </w:p>
        </w:tc>
        <w:tc>
          <w:tcPr>
            <w:tcW w:type="dxa" w:w="871"/>
            <w:tcBorders>
              <w:top w:val="single" w:sz="4" w:color="808080"/>
              <w:bottom w:val="single" w:sz="4" w:color="808080"/>
              <w:left w:val="nil"/>
              <w:right w:val="nil"/>
            </w:tcBorders>
          </w:tcPr>
          <w:p>
            <w:pPr>
              <w:spacing w:after="10"/>
            </w:pPr>
            <w:r>
              <w:rPr>
                <w:rFonts w:ascii="Times New Roman" w:hAnsi="Times New Roman"/>
                <w:b w:val="0"/>
                <w:i w:val="0"/>
                <w:sz w:val="15"/>
              </w:rPr>
              <w:t>0.807 ± 0.123</w:t>
            </w:r>
          </w:p>
        </w:tc>
        <w:tc>
          <w:tcPr>
            <w:tcW w:type="dxa" w:w="581"/>
            <w:tcBorders>
              <w:top w:val="single" w:sz="4" w:color="808080"/>
              <w:bottom w:val="single" w:sz="4" w:color="808080"/>
              <w:left w:val="nil"/>
              <w:right w:val="nil"/>
            </w:tcBorders>
          </w:tcPr>
          <w:p>
            <w:pPr>
              <w:spacing w:after="10"/>
            </w:pPr>
            <w:r>
              <w:rPr>
                <w:rFonts w:ascii="Times New Roman" w:hAnsi="Times New Roman"/>
                <w:b w:val="0"/>
                <w:i w:val="0"/>
                <w:sz w:val="15"/>
              </w:rPr>
              <w:t>0.848</w:t>
            </w:r>
          </w:p>
        </w:tc>
        <w:tc>
          <w:tcPr>
            <w:tcW w:type="dxa" w:w="871"/>
            <w:tcBorders>
              <w:top w:val="single" w:sz="4" w:color="808080"/>
              <w:bottom w:val="single" w:sz="4" w:color="808080"/>
              <w:left w:val="nil"/>
              <w:right w:val="nil"/>
            </w:tcBorders>
          </w:tcPr>
          <w:p>
            <w:pPr>
              <w:spacing w:after="10"/>
            </w:pPr>
            <w:r>
              <w:rPr>
                <w:rFonts w:ascii="Times New Roman" w:hAnsi="Times New Roman"/>
                <w:b w:val="0"/>
                <w:i w:val="0"/>
                <w:sz w:val="15"/>
              </w:rPr>
              <w:t>—</w:t>
            </w:r>
          </w:p>
        </w:tc>
        <w:tc>
          <w:tcPr>
            <w:tcW w:type="dxa" w:w="581"/>
            <w:tcBorders>
              <w:top w:val="single" w:sz="4" w:color="808080"/>
              <w:bottom w:val="single" w:sz="4" w:color="808080"/>
              <w:left w:val="nil"/>
              <w:right w:val="nil"/>
            </w:tcBorders>
          </w:tcPr>
          <w:p>
            <w:pPr>
              <w:spacing w:after="10"/>
            </w:pPr>
            <w:r>
              <w:rPr>
                <w:rFonts w:ascii="Times New Roman" w:hAnsi="Times New Roman"/>
                <w:b w:val="0"/>
                <w:i w:val="0"/>
                <w:sz w:val="15"/>
              </w:rPr>
              <w:t>—</w:t>
            </w:r>
          </w:p>
        </w:tc>
      </w:tr>
      <w:tr>
        <w:tc>
          <w:tcPr>
            <w:tcW w:type="dxa" w:w="1104"/>
            <w:tcBorders>
              <w:top w:val="single" w:sz="4" w:color="808080"/>
              <w:bottom w:val="single" w:sz="4" w:color="808080"/>
              <w:left w:val="nil"/>
              <w:right w:val="nil"/>
            </w:tcBorders>
          </w:tcPr>
          <w:p>
            <w:pPr>
              <w:spacing w:after="10"/>
            </w:pPr>
            <w:r>
              <w:rPr>
                <w:rFonts w:ascii="Times New Roman" w:hAnsi="Times New Roman"/>
                <w:b w:val="0"/>
                <w:i w:val="0"/>
                <w:sz w:val="15"/>
              </w:rPr>
              <w:t>val, working domain</w:t>
            </w:r>
          </w:p>
        </w:tc>
        <w:tc>
          <w:tcPr>
            <w:tcW w:type="dxa" w:w="697"/>
            <w:tcBorders>
              <w:top w:val="single" w:sz="4" w:color="808080"/>
              <w:bottom w:val="single" w:sz="4" w:color="808080"/>
              <w:left w:val="nil"/>
              <w:right w:val="nil"/>
            </w:tcBorders>
          </w:tcPr>
          <w:p>
            <w:pPr>
              <w:spacing w:after="10"/>
            </w:pPr>
            <w:r>
              <w:rPr>
                <w:rFonts w:ascii="Times New Roman" w:hAnsi="Times New Roman"/>
                <w:b w:val="0"/>
                <w:i w:val="0"/>
                <w:sz w:val="15"/>
              </w:rPr>
              <w:t>994 / 7</w:t>
            </w:r>
          </w:p>
        </w:tc>
        <w:tc>
          <w:tcPr>
            <w:tcW w:type="dxa" w:w="871"/>
            <w:tcBorders>
              <w:top w:val="single" w:sz="4" w:color="808080"/>
              <w:bottom w:val="single" w:sz="4" w:color="808080"/>
              <w:left w:val="nil"/>
              <w:right w:val="nil"/>
            </w:tcBorders>
          </w:tcPr>
          <w:p>
            <w:pPr>
              <w:spacing w:after="10"/>
            </w:pPr>
            <w:r>
              <w:rPr>
                <w:rFonts w:ascii="Times New Roman" w:hAnsi="Times New Roman"/>
                <w:b w:val="0"/>
                <w:i w:val="0"/>
                <w:sz w:val="15"/>
              </w:rPr>
              <w:t>0.882 ± 0.044</w:t>
            </w:r>
          </w:p>
        </w:tc>
        <w:tc>
          <w:tcPr>
            <w:tcW w:type="dxa" w:w="581"/>
            <w:tcBorders>
              <w:top w:val="single" w:sz="4" w:color="808080"/>
              <w:bottom w:val="single" w:sz="4" w:color="808080"/>
              <w:left w:val="nil"/>
              <w:right w:val="nil"/>
            </w:tcBorders>
          </w:tcPr>
          <w:p>
            <w:pPr>
              <w:spacing w:after="10"/>
            </w:pPr>
            <w:r>
              <w:rPr>
                <w:rFonts w:ascii="Times New Roman" w:hAnsi="Times New Roman"/>
                <w:b w:val="0"/>
                <w:i w:val="0"/>
                <w:sz w:val="15"/>
              </w:rPr>
              <w:t>0.888</w:t>
            </w:r>
          </w:p>
        </w:tc>
        <w:tc>
          <w:tcPr>
            <w:tcW w:type="dxa" w:w="871"/>
            <w:tcBorders>
              <w:top w:val="single" w:sz="4" w:color="808080"/>
              <w:bottom w:val="single" w:sz="4" w:color="808080"/>
              <w:left w:val="nil"/>
              <w:right w:val="nil"/>
            </w:tcBorders>
          </w:tcPr>
          <w:p>
            <w:pPr>
              <w:spacing w:after="10"/>
            </w:pPr>
            <w:r>
              <w:rPr>
                <w:rFonts w:ascii="Times New Roman" w:hAnsi="Times New Roman"/>
                <w:b w:val="0"/>
                <w:i w:val="0"/>
                <w:sz w:val="15"/>
              </w:rPr>
              <w:t>0.792 ± 0.069</w:t>
            </w:r>
          </w:p>
        </w:tc>
        <w:tc>
          <w:tcPr>
            <w:tcW w:type="dxa" w:w="581"/>
            <w:tcBorders>
              <w:top w:val="single" w:sz="4" w:color="808080"/>
              <w:bottom w:val="single" w:sz="4" w:color="808080"/>
              <w:left w:val="nil"/>
              <w:right w:val="nil"/>
            </w:tcBorders>
          </w:tcPr>
          <w:p>
            <w:pPr>
              <w:spacing w:after="10"/>
            </w:pPr>
            <w:r>
              <w:rPr>
                <w:rFonts w:ascii="Times New Roman" w:hAnsi="Times New Roman"/>
                <w:b w:val="0"/>
                <w:i w:val="0"/>
                <w:sz w:val="15"/>
              </w:rPr>
              <w:t>3.85</w:t>
            </w:r>
          </w:p>
        </w:tc>
      </w:tr>
      <w:tr>
        <w:tc>
          <w:tcPr>
            <w:tcW w:type="dxa" w:w="1104"/>
            <w:tcBorders>
              <w:top w:val="single" w:sz="4" w:color="808080"/>
              <w:bottom w:val="single" w:sz="4" w:color="808080"/>
              <w:left w:val="nil"/>
              <w:right w:val="nil"/>
            </w:tcBorders>
          </w:tcPr>
          <w:p>
            <w:pPr>
              <w:spacing w:after="10"/>
            </w:pPr>
            <w:r>
              <w:rPr>
                <w:rFonts w:ascii="Times New Roman" w:hAnsi="Times New Roman"/>
                <w:b w:val="0"/>
                <w:i w:val="0"/>
                <w:sz w:val="15"/>
              </w:rPr>
              <w:t>test, working domain</w:t>
            </w:r>
          </w:p>
        </w:tc>
        <w:tc>
          <w:tcPr>
            <w:tcW w:type="dxa" w:w="697"/>
            <w:tcBorders>
              <w:top w:val="single" w:sz="4" w:color="808080"/>
              <w:bottom w:val="single" w:sz="4" w:color="808080"/>
              <w:left w:val="nil"/>
              <w:right w:val="nil"/>
            </w:tcBorders>
          </w:tcPr>
          <w:p>
            <w:pPr>
              <w:spacing w:after="10"/>
            </w:pPr>
            <w:r>
              <w:rPr>
                <w:rFonts w:ascii="Times New Roman" w:hAnsi="Times New Roman"/>
                <w:b w:val="0"/>
                <w:i w:val="0"/>
                <w:sz w:val="15"/>
              </w:rPr>
              <w:t>396 / 6</w:t>
            </w:r>
          </w:p>
        </w:tc>
        <w:tc>
          <w:tcPr>
            <w:tcW w:type="dxa" w:w="871"/>
            <w:tcBorders>
              <w:top w:val="single" w:sz="4" w:color="808080"/>
              <w:bottom w:val="single" w:sz="4" w:color="808080"/>
              <w:left w:val="nil"/>
              <w:right w:val="nil"/>
            </w:tcBorders>
          </w:tcPr>
          <w:p>
            <w:pPr>
              <w:spacing w:after="10"/>
            </w:pPr>
            <w:r>
              <w:rPr>
                <w:rFonts w:ascii="Times New Roman" w:hAnsi="Times New Roman"/>
                <w:b w:val="0"/>
                <w:i w:val="0"/>
                <w:sz w:val="15"/>
              </w:rPr>
              <w:t>0.892 ± 0.047</w:t>
            </w:r>
          </w:p>
        </w:tc>
        <w:tc>
          <w:tcPr>
            <w:tcW w:type="dxa" w:w="581"/>
            <w:tcBorders>
              <w:top w:val="single" w:sz="4" w:color="808080"/>
              <w:bottom w:val="single" w:sz="4" w:color="808080"/>
              <w:left w:val="nil"/>
              <w:right w:val="nil"/>
            </w:tcBorders>
          </w:tcPr>
          <w:p>
            <w:pPr>
              <w:spacing w:after="10"/>
            </w:pPr>
            <w:r>
              <w:rPr>
                <w:rFonts w:ascii="Times New Roman" w:hAnsi="Times New Roman"/>
                <w:b w:val="0"/>
                <w:i w:val="0"/>
                <w:sz w:val="15"/>
              </w:rPr>
              <w:t>0.910</w:t>
            </w:r>
          </w:p>
        </w:tc>
        <w:tc>
          <w:tcPr>
            <w:tcW w:type="dxa" w:w="871"/>
            <w:tcBorders>
              <w:top w:val="single" w:sz="4" w:color="808080"/>
              <w:bottom w:val="single" w:sz="4" w:color="808080"/>
              <w:left w:val="nil"/>
              <w:right w:val="nil"/>
            </w:tcBorders>
          </w:tcPr>
          <w:p>
            <w:pPr>
              <w:spacing w:after="10"/>
            </w:pPr>
            <w:r>
              <w:rPr>
                <w:rFonts w:ascii="Times New Roman" w:hAnsi="Times New Roman"/>
                <w:b w:val="0"/>
                <w:i w:val="0"/>
                <w:sz w:val="15"/>
              </w:rPr>
              <w:t>0.809 ± 0.073</w:t>
            </w:r>
          </w:p>
        </w:tc>
        <w:tc>
          <w:tcPr>
            <w:tcW w:type="dxa" w:w="581"/>
            <w:tcBorders>
              <w:top w:val="single" w:sz="4" w:color="808080"/>
              <w:bottom w:val="single" w:sz="4" w:color="808080"/>
              <w:left w:val="nil"/>
              <w:right w:val="nil"/>
            </w:tcBorders>
          </w:tcPr>
          <w:p>
            <w:pPr>
              <w:spacing w:after="10"/>
            </w:pPr>
            <w:r>
              <w:rPr>
                <w:rFonts w:ascii="Times New Roman" w:hAnsi="Times New Roman"/>
                <w:b w:val="0"/>
                <w:i w:val="0"/>
                <w:sz w:val="15"/>
              </w:rPr>
              <w:t>3.65</w:t>
            </w:r>
          </w:p>
        </w:tc>
      </w:tr>
    </w:tbl>
    <w:p>
      <w:pPr>
        <w:spacing w:after="60"/>
      </w:pPr>
    </w:p>
    <w:p>
      <w:pPr>
        <w:keepNext/>
        <w:spacing w:before="90" w:after="40"/>
        <w:ind w:left="0"/>
        <w:jc w:val="left"/>
      </w:pPr>
      <w:r>
        <w:rPr>
          <w:rFonts w:ascii="Times New Roman" w:hAnsi="Times New Roman"/>
          <w:b/>
          <w:i w:val="0"/>
          <w:sz w:val="18"/>
        </w:rPr>
        <w:t xml:space="preserve">3.2 The Attained Range of </w:t>
      </w:r>
      <w:r>
        <w:rPr>
          <w:rFonts w:ascii="Times New Roman" w:hAnsi="Times New Roman"/>
          <w:b/>
          <w:i/>
          <w:sz w:val="18"/>
        </w:rPr>
        <w:t>Q</w:t>
      </w:r>
    </w:p>
    <w:p>
      <w:pPr>
        <w:spacing w:before="0" w:after="64"/>
        <w:ind w:left="0"/>
        <w:jc w:val="both"/>
      </w:pPr>
      <w:r>
        <w:rPr>
          <w:rFonts w:ascii="Times New Roman" w:hAnsi="Times New Roman"/>
          <w:b w:val="0"/>
          <w:i/>
          <w:sz w:val="19"/>
        </w:rPr>
        <w:t>Q</w:t>
      </w:r>
      <w:r>
        <w:rPr>
          <w:rFonts w:ascii="Times New Roman" w:hAnsi="Times New Roman"/>
          <w:b w:val="0"/>
          <w:i w:val="0"/>
          <w:sz w:val="19"/>
        </w:rPr>
        <w:t xml:space="preserve"> is defined on [0, 1]. On 2,953 held-out frames the original specification attains [0.70, 1.00] — a width of 0.30, or 30% of the nominal domain — and its central 80% spans only 0.12. Reformulated with the geometric aggregation and weighted toward the terms that read the image, it attains [0.14, 0.78], a width of 0.64, with a central 80% of 0.45 (Figure 2a).</w:t>
      </w:r>
    </w:p>
    <w:p>
      <w:pPr>
        <w:spacing w:before="0" w:after="64"/>
        <w:ind w:left="0"/>
        <w:jc w:val="both"/>
      </w:pPr>
      <w:r>
        <w:rPr>
          <w:rFonts w:ascii="Times New Roman" w:hAnsi="Times New Roman"/>
          <w:b w:val="0"/>
          <w:i w:val="0"/>
          <w:sz w:val="19"/>
        </w:rPr>
        <w:t xml:space="preserve">The decomposition of Section 2.3 attributes </w:t>
      </w:r>
      <w:r>
        <w:rPr>
          <w:rFonts w:ascii="Times New Roman" w:hAnsi="Times New Roman"/>
          <w:b/>
          <w:i w:val="0"/>
          <w:sz w:val="19"/>
        </w:rPr>
        <w:t>92.4% of the range to two sub-scores</w:t>
      </w:r>
      <w:r>
        <w:rPr>
          <w:rFonts w:ascii="Times New Roman" w:hAnsi="Times New Roman"/>
          <w:b w:val="0"/>
          <w:i w:val="0"/>
          <w:sz w:val="19"/>
        </w:rPr>
        <w:t xml:space="preserve"> (Figure 2b, Table 3), and both are terms that consult the ultrasound image rather than the mask.</w:t>
      </w:r>
    </w:p>
    <w:p>
      <w:pPr>
        <w:sectPr>
          <w:type w:val="continuous"/>
          <w:pgSz w:w="11906" w:h="16838"/>
          <w:pgMar w:top="1077" w:right="1020" w:bottom="1077" w:left="1020" w:header="567" w:footer="567" w:gutter="0"/>
          <w:cols w:space="396" w:num="2"/>
          <w:docGrid w:linePitch="360"/>
        </w:sectPr>
      </w:pPr>
    </w:p>
    <w:p>
      <w:pPr>
        <w:keepNext/>
        <w:spacing w:before="120" w:after="40"/>
        <w:jc w:val="center"/>
      </w:pPr>
      <w:r>
        <w:drawing>
          <wp:inline xmlns:a="http://schemas.openxmlformats.org/drawingml/2006/main" xmlns:pic="http://schemas.openxmlformats.org/drawingml/2006/picture">
            <wp:extent cx="5544000" cy="1808205"/>
            <wp:docPr id="2" name="Picture 2"/>
            <wp:cNvGraphicFramePr>
              <a:graphicFrameLocks noChangeAspect="1"/>
            </wp:cNvGraphicFramePr>
            <a:graphic>
              <a:graphicData uri="http://schemas.openxmlformats.org/drawingml/2006/picture">
                <pic:pic>
                  <pic:nvPicPr>
                    <pic:cNvPr id="0" name="fig_range.png"/>
                    <pic:cNvPicPr/>
                  </pic:nvPicPr>
                  <pic:blipFill>
                    <a:blip r:embed="rId11"/>
                    <a:stretch>
                      <a:fillRect/>
                    </a:stretch>
                  </pic:blipFill>
                  <pic:spPr>
                    <a:xfrm>
                      <a:off x="0" y="0"/>
                      <a:ext cx="5544000" cy="1808205"/>
                    </a:xfrm>
                    <a:prstGeom prst="rect"/>
                  </pic:spPr>
                </pic:pic>
              </a:graphicData>
            </a:graphic>
          </wp:inline>
        </w:drawing>
      </w:r>
    </w:p>
    <w:p>
      <w:pPr>
        <w:spacing w:after="120"/>
        <w:jc w:val="both"/>
      </w:pPr>
      <w:r>
        <w:rPr>
          <w:rFonts w:ascii="Times New Roman" w:hAnsi="Times New Roman"/>
          <w:b/>
          <w:i w:val="0"/>
          <w:sz w:val="15"/>
        </w:rPr>
        <w:t>Figure 2.</w:t>
      </w:r>
      <w:r>
        <w:rPr>
          <w:rFonts w:ascii="Times New Roman" w:hAnsi="Times New Roman"/>
          <w:b w:val="0"/>
          <w:i w:val="0"/>
          <w:sz w:val="15"/>
        </w:rPr>
        <w:t xml:space="preserve"> (a) The interval </w:t>
      </w:r>
      <w:r>
        <w:rPr>
          <w:rFonts w:ascii="Times New Roman" w:hAnsi="Times New Roman"/>
          <w:b w:val="0"/>
          <w:i/>
          <w:sz w:val="15"/>
        </w:rPr>
        <w:t>Q</w:t>
      </w:r>
      <w:r>
        <w:rPr>
          <w:rFonts w:ascii="Times New Roman" w:hAnsi="Times New Roman"/>
          <w:b w:val="0"/>
          <w:i w:val="0"/>
          <w:sz w:val="15"/>
        </w:rPr>
        <w:t xml:space="preserve"> actually attains under the two aggregations, against its nominal domain [0, 1]. (b) The interval each active sub-score attains and its share of the resulting range. `segmentation confidence` occupies a band 0.007 wide and contributes nothing.</w:t>
      </w:r>
    </w:p>
    <w:p>
      <w:pPr>
        <w:sectPr>
          <w:type w:val="continuous"/>
          <w:pgSz w:w="11906" w:h="16838"/>
          <w:pgMar w:top="1077" w:right="1020" w:bottom="1077" w:left="1020" w:header="567" w:footer="567" w:gutter="0"/>
          <w:cols w:space="396" w:num="1"/>
          <w:docGrid w:linePitch="360"/>
        </w:sectPr>
      </w:pPr>
    </w:p>
    <w:p>
      <w:pPr>
        <w:keepNext/>
        <w:spacing w:before="120" w:after="40"/>
      </w:pPr>
      <w:r>
        <w:rPr>
          <w:rFonts w:ascii="Times New Roman" w:hAnsi="Times New Roman"/>
          <w:b/>
          <w:i w:val="0"/>
          <w:sz w:val="15"/>
        </w:rPr>
        <w:t>Table 3.</w:t>
      </w:r>
      <w:r>
        <w:rPr>
          <w:rFonts w:ascii="Times New Roman" w:hAnsi="Times New Roman"/>
          <w:b w:val="0"/>
          <w:i w:val="0"/>
          <w:sz w:val="15"/>
        </w:rPr>
        <w:t xml:space="preserve"> Attained interval of each active sub-score and its share of the range of </w:t>
      </w:r>
      <w:r>
        <w:rPr>
          <w:rFonts w:ascii="Times New Roman" w:hAnsi="Times New Roman"/>
          <w:b w:val="0"/>
          <w:i/>
          <w:sz w:val="15"/>
        </w:rPr>
        <w:t>Q</w:t>
      </w:r>
      <w:r>
        <w:rPr>
          <w:rFonts w:ascii="Times New Roman" w:hAnsi="Times New Roman"/>
          <w:b w:val="0"/>
          <w:i w:val="0"/>
          <w:sz w:val="15"/>
        </w:rPr>
        <w:t>. Shares follow from the geometric aggregation and sum to 100%.</w:t>
      </w:r>
    </w:p>
    <w:tbl>
      <w:tblPr>
        <w:tblW w:type="auto" w:w="0"/>
        <w:jc w:val="center"/>
        <w:tblLayout w:type="fixed"/>
        <w:tblLook w:firstColumn="1" w:firstRow="1" w:lastColumn="0" w:lastRow="0" w:noHBand="0" w:noVBand="1" w:val="04A0"/>
        <w:tblLayout w:type="fixed"/>
        <w:tblW w:w="4706" w:type="dxa"/>
      </w:tblPr>
      <w:tblGrid>
        <w:gridCol w:w="1526"/>
        <w:gridCol w:w="635"/>
        <w:gridCol w:w="1271"/>
        <w:gridCol w:w="635"/>
        <w:gridCol w:w="635"/>
      </w:tblGrid>
      <w:tr>
        <w:tc>
          <w:tcPr>
            <w:tcW w:type="dxa" w:w="1526"/>
            <w:tcBorders>
              <w:top w:val="single" w:sz="8" w:color="000000"/>
              <w:bottom w:val="single" w:sz="8" w:color="000000"/>
              <w:left w:val="nil"/>
              <w:right w:val="nil"/>
            </w:tcBorders>
          </w:tcPr>
          <w:p>
            <w:pPr>
              <w:spacing w:after="10"/>
            </w:pPr>
            <w:r>
              <w:rPr>
                <w:rFonts w:ascii="Times New Roman" w:hAnsi="Times New Roman"/>
                <w:b/>
                <w:i w:val="0"/>
                <w:sz w:val="15"/>
              </w:rPr>
              <w:t>Sub-score</w:t>
            </w:r>
          </w:p>
        </w:tc>
        <w:tc>
          <w:tcPr>
            <w:tcW w:type="dxa" w:w="636"/>
            <w:tcBorders>
              <w:top w:val="single" w:sz="8" w:color="000000"/>
              <w:bottom w:val="single" w:sz="8" w:color="000000"/>
              <w:left w:val="nil"/>
              <w:right w:val="nil"/>
            </w:tcBorders>
          </w:tcPr>
          <w:p>
            <w:pPr>
              <w:spacing w:after="10"/>
            </w:pPr>
            <w:r>
              <w:rPr>
                <w:rFonts w:ascii="Times New Roman" w:hAnsi="Times New Roman"/>
                <w:b/>
                <w:i w:val="0"/>
                <w:sz w:val="15"/>
              </w:rPr>
              <w:t>Weight</w:t>
            </w:r>
          </w:p>
        </w:tc>
        <w:tc>
          <w:tcPr>
            <w:tcW w:type="dxa" w:w="1272"/>
            <w:tcBorders>
              <w:top w:val="single" w:sz="8" w:color="000000"/>
              <w:bottom w:val="single" w:sz="8" w:color="000000"/>
              <w:left w:val="nil"/>
              <w:right w:val="nil"/>
            </w:tcBorders>
          </w:tcPr>
          <w:p>
            <w:pPr>
              <w:spacing w:after="10"/>
            </w:pPr>
            <w:r>
              <w:rPr>
                <w:rFonts w:ascii="Times New Roman" w:hAnsi="Times New Roman"/>
                <w:b/>
                <w:i w:val="0"/>
                <w:sz w:val="15"/>
              </w:rPr>
              <w:t>Attained interval</w:t>
            </w:r>
          </w:p>
        </w:tc>
        <w:tc>
          <w:tcPr>
            <w:tcW w:type="dxa" w:w="636"/>
            <w:tcBorders>
              <w:top w:val="single" w:sz="8" w:color="000000"/>
              <w:bottom w:val="single" w:sz="8" w:color="000000"/>
              <w:left w:val="nil"/>
              <w:right w:val="nil"/>
            </w:tcBorders>
          </w:tcPr>
          <w:p>
            <w:pPr>
              <w:spacing w:after="10"/>
            </w:pPr>
            <w:r>
              <w:rPr>
                <w:rFonts w:ascii="Times New Roman" w:hAnsi="Times New Roman"/>
                <w:b/>
                <w:i w:val="0"/>
                <w:sz w:val="15"/>
              </w:rPr>
              <w:t>Width</w:t>
            </w:r>
          </w:p>
        </w:tc>
        <w:tc>
          <w:tcPr>
            <w:tcW w:type="dxa" w:w="636"/>
            <w:tcBorders>
              <w:top w:val="single" w:sz="8" w:color="000000"/>
              <w:bottom w:val="single" w:sz="8" w:color="000000"/>
              <w:left w:val="nil"/>
              <w:right w:val="nil"/>
            </w:tcBorders>
          </w:tcPr>
          <w:p>
            <w:pPr>
              <w:spacing w:after="10"/>
            </w:pPr>
            <w:r>
              <w:rPr>
                <w:rFonts w:ascii="Times New Roman" w:hAnsi="Times New Roman"/>
                <w:b/>
                <w:i w:val="0"/>
                <w:sz w:val="15"/>
              </w:rPr>
              <w:t>Share</w:t>
            </w:r>
          </w:p>
        </w:tc>
      </w:tr>
      <w:tr>
        <w:tc>
          <w:tcPr>
            <w:tcW w:type="dxa" w:w="1526"/>
            <w:tcBorders>
              <w:top w:val="single" w:sz="4" w:color="808080"/>
              <w:bottom w:val="single" w:sz="4" w:color="808080"/>
              <w:left w:val="nil"/>
              <w:right w:val="nil"/>
            </w:tcBorders>
          </w:tcPr>
          <w:p>
            <w:pPr>
              <w:spacing w:after="10"/>
            </w:pPr>
            <w:r>
              <w:rPr>
                <w:rFonts w:ascii="Times New Roman" w:hAnsi="Times New Roman"/>
                <w:b w:val="0"/>
                <w:i w:val="0"/>
                <w:sz w:val="15"/>
              </w:rPr>
              <w:t>lumen contrast</w:t>
            </w:r>
          </w:p>
        </w:tc>
        <w:tc>
          <w:tcPr>
            <w:tcW w:type="dxa" w:w="636"/>
            <w:tcBorders>
              <w:top w:val="single" w:sz="4" w:color="808080"/>
              <w:bottom w:val="single" w:sz="4" w:color="808080"/>
              <w:left w:val="nil"/>
              <w:right w:val="nil"/>
            </w:tcBorders>
          </w:tcPr>
          <w:p>
            <w:pPr>
              <w:spacing w:after="10"/>
            </w:pPr>
            <w:r>
              <w:rPr>
                <w:rFonts w:ascii="Times New Roman" w:hAnsi="Times New Roman"/>
                <w:b w:val="0"/>
                <w:i w:val="0"/>
                <w:sz w:val="15"/>
              </w:rPr>
              <w:t>1.5</w:t>
            </w:r>
          </w:p>
        </w:tc>
        <w:tc>
          <w:tcPr>
            <w:tcW w:type="dxa" w:w="1272"/>
            <w:tcBorders>
              <w:top w:val="single" w:sz="4" w:color="808080"/>
              <w:bottom w:val="single" w:sz="4" w:color="808080"/>
              <w:left w:val="nil"/>
              <w:right w:val="nil"/>
            </w:tcBorders>
          </w:tcPr>
          <w:p>
            <w:pPr>
              <w:spacing w:after="10"/>
            </w:pPr>
            <w:r>
              <w:rPr>
                <w:rFonts w:ascii="Times New Roman" w:hAnsi="Times New Roman"/>
                <w:b w:val="0"/>
                <w:i w:val="0"/>
                <w:sz w:val="15"/>
              </w:rPr>
              <w:t>0.000 – 1.000</w:t>
            </w:r>
          </w:p>
        </w:tc>
        <w:tc>
          <w:tcPr>
            <w:tcW w:type="dxa" w:w="636"/>
            <w:tcBorders>
              <w:top w:val="single" w:sz="4" w:color="808080"/>
              <w:bottom w:val="single" w:sz="4" w:color="808080"/>
              <w:left w:val="nil"/>
              <w:right w:val="nil"/>
            </w:tcBorders>
          </w:tcPr>
          <w:p>
            <w:pPr>
              <w:spacing w:after="10"/>
            </w:pPr>
            <w:r>
              <w:rPr>
                <w:rFonts w:ascii="Times New Roman" w:hAnsi="Times New Roman"/>
                <w:b w:val="0"/>
                <w:i w:val="0"/>
                <w:sz w:val="15"/>
              </w:rPr>
              <w:t>1.000</w:t>
            </w:r>
          </w:p>
        </w:tc>
        <w:tc>
          <w:tcPr>
            <w:tcW w:type="dxa" w:w="636"/>
            <w:tcBorders>
              <w:top w:val="single" w:sz="4" w:color="808080"/>
              <w:bottom w:val="single" w:sz="4" w:color="808080"/>
              <w:left w:val="nil"/>
              <w:right w:val="nil"/>
            </w:tcBorders>
          </w:tcPr>
          <w:p>
            <w:pPr>
              <w:spacing w:after="10"/>
            </w:pPr>
            <w:r>
              <w:rPr>
                <w:rFonts w:ascii="Times New Roman" w:hAnsi="Times New Roman"/>
                <w:b w:val="0"/>
                <w:i w:val="0"/>
                <w:sz w:val="15"/>
              </w:rPr>
              <w:t>47.6%</w:t>
            </w:r>
          </w:p>
        </w:tc>
      </w:tr>
      <w:tr>
        <w:tc>
          <w:tcPr>
            <w:tcW w:type="dxa" w:w="1526"/>
            <w:tcBorders>
              <w:top w:val="single" w:sz="4" w:color="808080"/>
              <w:bottom w:val="single" w:sz="4" w:color="808080"/>
              <w:left w:val="nil"/>
              <w:right w:val="nil"/>
            </w:tcBorders>
          </w:tcPr>
          <w:p>
            <w:pPr>
              <w:spacing w:after="10"/>
            </w:pPr>
            <w:r>
              <w:rPr>
                <w:rFonts w:ascii="Times New Roman" w:hAnsi="Times New Roman"/>
                <w:b w:val="0"/>
                <w:i w:val="0"/>
                <w:sz w:val="15"/>
              </w:rPr>
              <w:t>lumen centering</w:t>
            </w:r>
          </w:p>
        </w:tc>
        <w:tc>
          <w:tcPr>
            <w:tcW w:type="dxa" w:w="636"/>
            <w:tcBorders>
              <w:top w:val="single" w:sz="4" w:color="808080"/>
              <w:bottom w:val="single" w:sz="4" w:color="808080"/>
              <w:left w:val="nil"/>
              <w:right w:val="nil"/>
            </w:tcBorders>
          </w:tcPr>
          <w:p>
            <w:pPr>
              <w:spacing w:after="10"/>
            </w:pPr>
            <w:r>
              <w:rPr>
                <w:rFonts w:ascii="Times New Roman" w:hAnsi="Times New Roman"/>
                <w:b w:val="0"/>
                <w:i w:val="0"/>
                <w:sz w:val="15"/>
              </w:rPr>
              <w:t>1.5</w:t>
            </w:r>
          </w:p>
        </w:tc>
        <w:tc>
          <w:tcPr>
            <w:tcW w:type="dxa" w:w="1272"/>
            <w:tcBorders>
              <w:top w:val="single" w:sz="4" w:color="808080"/>
              <w:bottom w:val="single" w:sz="4" w:color="808080"/>
              <w:left w:val="nil"/>
              <w:right w:val="nil"/>
            </w:tcBorders>
          </w:tcPr>
          <w:p>
            <w:pPr>
              <w:spacing w:after="10"/>
            </w:pPr>
            <w:r>
              <w:rPr>
                <w:rFonts w:ascii="Times New Roman" w:hAnsi="Times New Roman"/>
                <w:b w:val="0"/>
                <w:i w:val="0"/>
                <w:sz w:val="15"/>
              </w:rPr>
              <w:t>0.001 – 0.999</w:t>
            </w:r>
          </w:p>
        </w:tc>
        <w:tc>
          <w:tcPr>
            <w:tcW w:type="dxa" w:w="636"/>
            <w:tcBorders>
              <w:top w:val="single" w:sz="4" w:color="808080"/>
              <w:bottom w:val="single" w:sz="4" w:color="808080"/>
              <w:left w:val="nil"/>
              <w:right w:val="nil"/>
            </w:tcBorders>
          </w:tcPr>
          <w:p>
            <w:pPr>
              <w:spacing w:after="10"/>
            </w:pPr>
            <w:r>
              <w:rPr>
                <w:rFonts w:ascii="Times New Roman" w:hAnsi="Times New Roman"/>
                <w:b w:val="0"/>
                <w:i w:val="0"/>
                <w:sz w:val="15"/>
              </w:rPr>
              <w:t>0.997</w:t>
            </w:r>
          </w:p>
        </w:tc>
        <w:tc>
          <w:tcPr>
            <w:tcW w:type="dxa" w:w="636"/>
            <w:tcBorders>
              <w:top w:val="single" w:sz="4" w:color="808080"/>
              <w:bottom w:val="single" w:sz="4" w:color="808080"/>
              <w:left w:val="nil"/>
              <w:right w:val="nil"/>
            </w:tcBorders>
          </w:tcPr>
          <w:p>
            <w:pPr>
              <w:spacing w:after="10"/>
            </w:pPr>
            <w:r>
              <w:rPr>
                <w:rFonts w:ascii="Times New Roman" w:hAnsi="Times New Roman"/>
                <w:b w:val="0"/>
                <w:i w:val="0"/>
                <w:sz w:val="15"/>
              </w:rPr>
              <w:t>44.8%</w:t>
            </w:r>
          </w:p>
        </w:tc>
      </w:tr>
      <w:tr>
        <w:tc>
          <w:tcPr>
            <w:tcW w:type="dxa" w:w="1526"/>
            <w:tcBorders>
              <w:top w:val="single" w:sz="4" w:color="808080"/>
              <w:bottom w:val="single" w:sz="4" w:color="808080"/>
              <w:left w:val="nil"/>
              <w:right w:val="nil"/>
            </w:tcBorders>
          </w:tcPr>
          <w:p>
            <w:pPr>
              <w:spacing w:after="10"/>
            </w:pPr>
            <w:r>
              <w:rPr>
                <w:rFonts w:ascii="Times New Roman" w:hAnsi="Times New Roman"/>
                <w:b w:val="0"/>
                <w:i w:val="0"/>
                <w:sz w:val="15"/>
              </w:rPr>
              <w:t>boundary sharpness</w:t>
            </w:r>
          </w:p>
        </w:tc>
        <w:tc>
          <w:tcPr>
            <w:tcW w:type="dxa" w:w="636"/>
            <w:tcBorders>
              <w:top w:val="single" w:sz="4" w:color="808080"/>
              <w:bottom w:val="single" w:sz="4" w:color="808080"/>
              <w:left w:val="nil"/>
              <w:right w:val="nil"/>
            </w:tcBorders>
          </w:tcPr>
          <w:p>
            <w:pPr>
              <w:spacing w:after="10"/>
            </w:pPr>
            <w:r>
              <w:rPr>
                <w:rFonts w:ascii="Times New Roman" w:hAnsi="Times New Roman"/>
                <w:b w:val="0"/>
                <w:i w:val="0"/>
                <w:sz w:val="15"/>
              </w:rPr>
              <w:t>1.5</w:t>
            </w:r>
          </w:p>
        </w:tc>
        <w:tc>
          <w:tcPr>
            <w:tcW w:type="dxa" w:w="1272"/>
            <w:tcBorders>
              <w:top w:val="single" w:sz="4" w:color="808080"/>
              <w:bottom w:val="single" w:sz="4" w:color="808080"/>
              <w:left w:val="nil"/>
              <w:right w:val="nil"/>
            </w:tcBorders>
          </w:tcPr>
          <w:p>
            <w:pPr>
              <w:spacing w:after="10"/>
            </w:pPr>
            <w:r>
              <w:rPr>
                <w:rFonts w:ascii="Times New Roman" w:hAnsi="Times New Roman"/>
                <w:b w:val="0"/>
                <w:i w:val="0"/>
                <w:sz w:val="15"/>
              </w:rPr>
              <w:t>0.237 – 0.451</w:t>
            </w:r>
          </w:p>
        </w:tc>
        <w:tc>
          <w:tcPr>
            <w:tcW w:type="dxa" w:w="636"/>
            <w:tcBorders>
              <w:top w:val="single" w:sz="4" w:color="808080"/>
              <w:bottom w:val="single" w:sz="4" w:color="808080"/>
              <w:left w:val="nil"/>
              <w:right w:val="nil"/>
            </w:tcBorders>
          </w:tcPr>
          <w:p>
            <w:pPr>
              <w:spacing w:after="10"/>
            </w:pPr>
            <w:r>
              <w:rPr>
                <w:rFonts w:ascii="Times New Roman" w:hAnsi="Times New Roman"/>
                <w:b w:val="0"/>
                <w:i w:val="0"/>
                <w:sz w:val="15"/>
              </w:rPr>
              <w:t>0.214</w:t>
            </w:r>
          </w:p>
        </w:tc>
        <w:tc>
          <w:tcPr>
            <w:tcW w:type="dxa" w:w="636"/>
            <w:tcBorders>
              <w:top w:val="single" w:sz="4" w:color="808080"/>
              <w:bottom w:val="single" w:sz="4" w:color="808080"/>
              <w:left w:val="nil"/>
              <w:right w:val="nil"/>
            </w:tcBorders>
          </w:tcPr>
          <w:p>
            <w:pPr>
              <w:spacing w:after="10"/>
            </w:pPr>
            <w:r>
              <w:rPr>
                <w:rFonts w:ascii="Times New Roman" w:hAnsi="Times New Roman"/>
                <w:b w:val="0"/>
                <w:i w:val="0"/>
                <w:sz w:val="15"/>
              </w:rPr>
              <w:t>4.4%</w:t>
            </w:r>
          </w:p>
        </w:tc>
      </w:tr>
      <w:tr>
        <w:tc>
          <w:tcPr>
            <w:tcW w:type="dxa" w:w="1526"/>
            <w:tcBorders>
              <w:top w:val="single" w:sz="4" w:color="808080"/>
              <w:bottom w:val="single" w:sz="4" w:color="808080"/>
              <w:left w:val="nil"/>
              <w:right w:val="nil"/>
            </w:tcBorders>
          </w:tcPr>
          <w:p>
            <w:pPr>
              <w:spacing w:after="10"/>
            </w:pPr>
            <w:r>
              <w:rPr>
                <w:rFonts w:ascii="Times New Roman" w:hAnsi="Times New Roman"/>
                <w:b w:val="0"/>
                <w:i w:val="0"/>
                <w:sz w:val="15"/>
              </w:rPr>
              <w:t>mask completeness</w:t>
            </w:r>
          </w:p>
        </w:tc>
        <w:tc>
          <w:tcPr>
            <w:tcW w:type="dxa" w:w="636"/>
            <w:tcBorders>
              <w:top w:val="single" w:sz="4" w:color="808080"/>
              <w:bottom w:val="single" w:sz="4" w:color="808080"/>
              <w:left w:val="nil"/>
              <w:right w:val="nil"/>
            </w:tcBorders>
          </w:tcPr>
          <w:p>
            <w:pPr>
              <w:spacing w:after="10"/>
            </w:pPr>
            <w:r>
              <w:rPr>
                <w:rFonts w:ascii="Times New Roman" w:hAnsi="Times New Roman"/>
                <w:b w:val="0"/>
                <w:i w:val="0"/>
                <w:sz w:val="15"/>
              </w:rPr>
              <w:t>0.5</w:t>
            </w:r>
          </w:p>
        </w:tc>
        <w:tc>
          <w:tcPr>
            <w:tcW w:type="dxa" w:w="1272"/>
            <w:tcBorders>
              <w:top w:val="single" w:sz="4" w:color="808080"/>
              <w:bottom w:val="single" w:sz="4" w:color="808080"/>
              <w:left w:val="nil"/>
              <w:right w:val="nil"/>
            </w:tcBorders>
          </w:tcPr>
          <w:p>
            <w:pPr>
              <w:spacing w:after="10"/>
            </w:pPr>
            <w:r>
              <w:rPr>
                <w:rFonts w:ascii="Times New Roman" w:hAnsi="Times New Roman"/>
                <w:b w:val="0"/>
                <w:i w:val="0"/>
                <w:sz w:val="15"/>
              </w:rPr>
              <w:t>0.250 – 1.000</w:t>
            </w:r>
          </w:p>
        </w:tc>
        <w:tc>
          <w:tcPr>
            <w:tcW w:type="dxa" w:w="636"/>
            <w:tcBorders>
              <w:top w:val="single" w:sz="4" w:color="808080"/>
              <w:bottom w:val="single" w:sz="4" w:color="808080"/>
              <w:left w:val="nil"/>
              <w:right w:val="nil"/>
            </w:tcBorders>
          </w:tcPr>
          <w:p>
            <w:pPr>
              <w:spacing w:after="10"/>
            </w:pPr>
            <w:r>
              <w:rPr>
                <w:rFonts w:ascii="Times New Roman" w:hAnsi="Times New Roman"/>
                <w:b w:val="0"/>
                <w:i w:val="0"/>
                <w:sz w:val="15"/>
              </w:rPr>
              <w:t>0.750</w:t>
            </w:r>
          </w:p>
        </w:tc>
        <w:tc>
          <w:tcPr>
            <w:tcW w:type="dxa" w:w="636"/>
            <w:tcBorders>
              <w:top w:val="single" w:sz="4" w:color="808080"/>
              <w:bottom w:val="single" w:sz="4" w:color="808080"/>
              <w:left w:val="nil"/>
              <w:right w:val="nil"/>
            </w:tcBorders>
          </w:tcPr>
          <w:p>
            <w:pPr>
              <w:spacing w:after="10"/>
            </w:pPr>
            <w:r>
              <w:rPr>
                <w:rFonts w:ascii="Times New Roman" w:hAnsi="Times New Roman"/>
                <w:b w:val="0"/>
                <w:i w:val="0"/>
                <w:sz w:val="15"/>
              </w:rPr>
              <w:t>3.2%</w:t>
            </w:r>
          </w:p>
        </w:tc>
      </w:tr>
      <w:tr>
        <w:tc>
          <w:tcPr>
            <w:tcW w:type="dxa" w:w="1526"/>
            <w:tcBorders>
              <w:top w:val="single" w:sz="4" w:color="808080"/>
              <w:bottom w:val="single" w:sz="4" w:color="808080"/>
              <w:left w:val="nil"/>
              <w:right w:val="nil"/>
            </w:tcBorders>
          </w:tcPr>
          <w:p>
            <w:pPr>
              <w:spacing w:after="10"/>
            </w:pPr>
            <w:r>
              <w:rPr>
                <w:rFonts w:ascii="Times New Roman" w:hAnsi="Times New Roman"/>
                <w:b w:val="0"/>
                <w:i w:val="0"/>
                <w:sz w:val="15"/>
              </w:rPr>
              <w:t>segmentation confidence</w:t>
            </w:r>
          </w:p>
        </w:tc>
        <w:tc>
          <w:tcPr>
            <w:tcW w:type="dxa" w:w="636"/>
            <w:tcBorders>
              <w:top w:val="single" w:sz="4" w:color="808080"/>
              <w:bottom w:val="single" w:sz="4" w:color="808080"/>
              <w:left w:val="nil"/>
              <w:right w:val="nil"/>
            </w:tcBorders>
          </w:tcPr>
          <w:p>
            <w:pPr>
              <w:spacing w:after="10"/>
            </w:pPr>
            <w:r>
              <w:rPr>
                <w:rFonts w:ascii="Times New Roman" w:hAnsi="Times New Roman"/>
                <w:b w:val="0"/>
                <w:i w:val="0"/>
                <w:sz w:val="15"/>
              </w:rPr>
              <w:t>1.0</w:t>
            </w:r>
          </w:p>
        </w:tc>
        <w:tc>
          <w:tcPr>
            <w:tcW w:type="dxa" w:w="1272"/>
            <w:tcBorders>
              <w:top w:val="single" w:sz="4" w:color="808080"/>
              <w:bottom w:val="single" w:sz="4" w:color="808080"/>
              <w:left w:val="nil"/>
              <w:right w:val="nil"/>
            </w:tcBorders>
          </w:tcPr>
          <w:p>
            <w:pPr>
              <w:spacing w:after="10"/>
            </w:pPr>
            <w:r>
              <w:rPr>
                <w:rFonts w:ascii="Times New Roman" w:hAnsi="Times New Roman"/>
                <w:b w:val="0"/>
                <w:i w:val="0"/>
                <w:sz w:val="15"/>
              </w:rPr>
              <w:t>0.992 – 0.999</w:t>
            </w:r>
          </w:p>
        </w:tc>
        <w:tc>
          <w:tcPr>
            <w:tcW w:type="dxa" w:w="636"/>
            <w:tcBorders>
              <w:top w:val="single" w:sz="4" w:color="808080"/>
              <w:bottom w:val="single" w:sz="4" w:color="808080"/>
              <w:left w:val="nil"/>
              <w:right w:val="nil"/>
            </w:tcBorders>
          </w:tcPr>
          <w:p>
            <w:pPr>
              <w:spacing w:after="10"/>
            </w:pPr>
            <w:r>
              <w:rPr>
                <w:rFonts w:ascii="Times New Roman" w:hAnsi="Times New Roman"/>
                <w:b/>
                <w:i w:val="0"/>
                <w:sz w:val="15"/>
              </w:rPr>
              <w:t>0.007</w:t>
            </w:r>
          </w:p>
        </w:tc>
        <w:tc>
          <w:tcPr>
            <w:tcW w:type="dxa" w:w="636"/>
            <w:tcBorders>
              <w:top w:val="single" w:sz="4" w:color="808080"/>
              <w:bottom w:val="single" w:sz="4" w:color="808080"/>
              <w:left w:val="nil"/>
              <w:right w:val="nil"/>
            </w:tcBorders>
          </w:tcPr>
          <w:p>
            <w:pPr>
              <w:spacing w:after="10"/>
            </w:pPr>
            <w:r>
              <w:rPr>
                <w:rFonts w:ascii="Times New Roman" w:hAnsi="Times New Roman"/>
                <w:b/>
                <w:i w:val="0"/>
                <w:sz w:val="15"/>
              </w:rPr>
              <w:t>0.0%</w:t>
            </w:r>
          </w:p>
        </w:tc>
      </w:tr>
    </w:tbl>
    <w:p>
      <w:pPr>
        <w:spacing w:after="60"/>
      </w:pPr>
    </w:p>
    <w:p>
      <w:pPr>
        <w:spacing w:before="0" w:after="64"/>
        <w:ind w:left="0"/>
        <w:jc w:val="both"/>
      </w:pPr>
      <w:r>
        <w:rPr>
          <w:rFonts w:ascii="Times New Roman" w:hAnsi="Times New Roman"/>
          <w:b w:val="0"/>
          <w:i w:val="0"/>
          <w:sz w:val="19"/>
        </w:rPr>
        <w:t xml:space="preserve">The last row is the point of the section. `segmentation confidence` is not a weak term that could be rescued by more weight: it returns essentially one value, so it has no range, and a function with no range cannot participate in any decision. It carries a weight of 1.0 while contributing 0.0% of what </w:t>
      </w:r>
      <w:r>
        <w:rPr>
          <w:rFonts w:ascii="Times New Roman" w:hAnsi="Times New Roman"/>
          <w:b w:val="0"/>
          <w:i/>
          <w:sz w:val="19"/>
        </w:rPr>
        <w:t>Q</w:t>
      </w:r>
      <w:r>
        <w:rPr>
          <w:rFonts w:ascii="Times New Roman" w:hAnsi="Times New Roman"/>
          <w:b w:val="0"/>
          <w:i w:val="0"/>
          <w:sz w:val="19"/>
        </w:rPr>
        <w:t xml:space="preserve"> can express. Two further terms — border penalty and component quality — behave the same way and are already at weight 0.</w:t>
      </w:r>
    </w:p>
    <w:p>
      <w:pPr>
        <w:keepNext/>
        <w:spacing w:before="90" w:after="40"/>
        <w:ind w:left="0"/>
        <w:jc w:val="left"/>
      </w:pPr>
      <w:r>
        <w:rPr>
          <w:rFonts w:ascii="Times New Roman" w:hAnsi="Times New Roman"/>
          <w:b/>
          <w:i w:val="0"/>
          <w:sz w:val="18"/>
        </w:rPr>
        <w:t>3.3 Resolvable Levels</w:t>
      </w:r>
    </w:p>
    <w:p>
      <w:pPr>
        <w:spacing w:before="0" w:after="64"/>
        <w:ind w:left="0"/>
        <w:jc w:val="both"/>
      </w:pPr>
      <w:r>
        <w:rPr>
          <w:rFonts w:ascii="Times New Roman" w:hAnsi="Times New Roman"/>
          <w:b w:val="0"/>
          <w:i w:val="0"/>
          <w:sz w:val="19"/>
        </w:rPr>
        <w:t>Table 4 divides the attained range by the frame-to-frame jitter measured on the same frames (Section 2.3).</w:t>
      </w:r>
    </w:p>
    <w:p>
      <w:pPr>
        <w:keepNext/>
        <w:spacing w:before="120" w:after="40"/>
      </w:pPr>
      <w:r>
        <w:rPr>
          <w:rFonts w:ascii="Times New Roman" w:hAnsi="Times New Roman"/>
          <w:b/>
          <w:i w:val="0"/>
          <w:sz w:val="15"/>
        </w:rPr>
        <w:t>Table 4.</w:t>
      </w:r>
      <w:r>
        <w:rPr>
          <w:rFonts w:ascii="Times New Roman" w:hAnsi="Times New Roman"/>
          <w:b w:val="0"/>
          <w:i w:val="0"/>
          <w:sz w:val="15"/>
        </w:rPr>
        <w:t xml:space="preserve"> Resolution of </w:t>
      </w:r>
      <w:r>
        <w:rPr>
          <w:rFonts w:ascii="Times New Roman" w:hAnsi="Times New Roman"/>
          <w:b w:val="0"/>
          <w:i/>
          <w:sz w:val="15"/>
        </w:rPr>
        <w:t>Q</w:t>
      </w:r>
      <w:r>
        <w:rPr>
          <w:rFonts w:ascii="Times New Roman" w:hAnsi="Times New Roman"/>
          <w:b w:val="0"/>
          <w:i w:val="0"/>
          <w:sz w:val="15"/>
        </w:rPr>
        <w:t>: attained range over frame-to-frame jitter. The central 80% figure is the operating region a threshold would actually be placed in.</w:t>
      </w:r>
    </w:p>
    <w:tbl>
      <w:tblPr>
        <w:tblW w:type="auto" w:w="0"/>
        <w:jc w:val="center"/>
        <w:tblLayout w:type="fixed"/>
        <w:tblLook w:firstColumn="1" w:firstRow="1" w:lastColumn="0" w:lastRow="0" w:noHBand="0" w:noVBand="1" w:val="04A0"/>
        <w:tblLayout w:type="fixed"/>
        <w:tblW w:w="4706" w:type="dxa"/>
      </w:tblPr>
      <w:tblGrid>
        <w:gridCol w:w="1429"/>
        <w:gridCol w:w="595"/>
        <w:gridCol w:w="655"/>
        <w:gridCol w:w="595"/>
        <w:gridCol w:w="833"/>
        <w:gridCol w:w="595"/>
      </w:tblGrid>
      <w:tr>
        <w:tc>
          <w:tcPr>
            <w:tcW w:type="dxa" w:w="1430"/>
            <w:tcBorders>
              <w:top w:val="single" w:sz="8" w:color="000000"/>
              <w:bottom w:val="single" w:sz="8" w:color="000000"/>
              <w:left w:val="nil"/>
              <w:right w:val="nil"/>
            </w:tcBorders>
          </w:tcPr>
          <w:p>
            <w:pPr>
              <w:spacing w:after="10"/>
            </w:pPr>
            <w:r>
              <w:rPr>
                <w:rFonts w:ascii="Times New Roman" w:hAnsi="Times New Roman"/>
                <w:b/>
                <w:i w:val="0"/>
                <w:sz w:val="15"/>
              </w:rPr>
              <w:t>Aggregation</w:t>
            </w:r>
          </w:p>
        </w:tc>
        <w:tc>
          <w:tcPr>
            <w:tcW w:type="dxa" w:w="596"/>
            <w:tcBorders>
              <w:top w:val="single" w:sz="8" w:color="000000"/>
              <w:bottom w:val="single" w:sz="8" w:color="000000"/>
              <w:left w:val="nil"/>
              <w:right w:val="nil"/>
            </w:tcBorders>
          </w:tcPr>
          <w:p>
            <w:pPr>
              <w:spacing w:after="10"/>
            </w:pPr>
            <w:r>
              <w:rPr>
                <w:rFonts w:ascii="Times New Roman" w:hAnsi="Times New Roman"/>
                <w:b/>
                <w:i w:val="0"/>
                <w:sz w:val="15"/>
              </w:rPr>
              <w:t>Range</w:t>
            </w:r>
          </w:p>
        </w:tc>
        <w:tc>
          <w:tcPr>
            <w:tcW w:type="dxa" w:w="655"/>
            <w:tcBorders>
              <w:top w:val="single" w:sz="8" w:color="000000"/>
              <w:bottom w:val="single" w:sz="8" w:color="000000"/>
              <w:left w:val="nil"/>
              <w:right w:val="nil"/>
            </w:tcBorders>
          </w:tcPr>
          <w:p>
            <w:pPr>
              <w:spacing w:after="10"/>
            </w:pPr>
            <w:r>
              <w:rPr>
                <w:rFonts w:ascii="Times New Roman" w:hAnsi="Times New Roman"/>
                <w:b/>
                <w:i w:val="0"/>
                <w:sz w:val="15"/>
              </w:rPr>
              <w:t>Jitter</w:t>
            </w:r>
          </w:p>
        </w:tc>
        <w:tc>
          <w:tcPr>
            <w:tcW w:type="dxa" w:w="596"/>
            <w:tcBorders>
              <w:top w:val="single" w:sz="8" w:color="000000"/>
              <w:bottom w:val="single" w:sz="8" w:color="000000"/>
              <w:left w:val="nil"/>
              <w:right w:val="nil"/>
            </w:tcBorders>
          </w:tcPr>
          <w:p>
            <w:pPr>
              <w:spacing w:after="10"/>
            </w:pPr>
            <w:r>
              <w:rPr>
                <w:rFonts w:ascii="Times New Roman" w:hAnsi="Times New Roman"/>
                <w:b/>
                <w:i w:val="0"/>
                <w:sz w:val="15"/>
              </w:rPr>
              <w:t>Levels</w:t>
            </w:r>
          </w:p>
        </w:tc>
        <w:tc>
          <w:tcPr>
            <w:tcW w:type="dxa" w:w="834"/>
            <w:tcBorders>
              <w:top w:val="single" w:sz="8" w:color="000000"/>
              <w:bottom w:val="single" w:sz="8" w:color="000000"/>
              <w:left w:val="nil"/>
              <w:right w:val="nil"/>
            </w:tcBorders>
          </w:tcPr>
          <w:p>
            <w:pPr>
              <w:spacing w:after="10"/>
            </w:pPr>
            <w:r>
              <w:rPr>
                <w:rFonts w:ascii="Times New Roman" w:hAnsi="Times New Roman"/>
                <w:b/>
                <w:i w:val="0"/>
                <w:sz w:val="15"/>
              </w:rPr>
              <w:t>Central 80%</w:t>
            </w:r>
          </w:p>
        </w:tc>
        <w:tc>
          <w:tcPr>
            <w:tcW w:type="dxa" w:w="596"/>
            <w:tcBorders>
              <w:top w:val="single" w:sz="8" w:color="000000"/>
              <w:bottom w:val="single" w:sz="8" w:color="000000"/>
              <w:left w:val="nil"/>
              <w:right w:val="nil"/>
            </w:tcBorders>
          </w:tcPr>
          <w:p>
            <w:pPr>
              <w:spacing w:after="10"/>
            </w:pPr>
            <w:r>
              <w:rPr>
                <w:rFonts w:ascii="Times New Roman" w:hAnsi="Times New Roman"/>
                <w:b/>
                <w:i w:val="0"/>
                <w:sz w:val="15"/>
              </w:rPr>
              <w:t>Levels</w:t>
            </w:r>
          </w:p>
        </w:tc>
      </w:tr>
      <w:tr>
        <w:tc>
          <w:tcPr>
            <w:tcW w:type="dxa" w:w="1430"/>
            <w:tcBorders>
              <w:top w:val="single" w:sz="4" w:color="808080"/>
              <w:bottom w:val="single" w:sz="4" w:color="808080"/>
              <w:left w:val="nil"/>
              <w:right w:val="nil"/>
            </w:tcBorders>
          </w:tcPr>
          <w:p>
            <w:pPr>
              <w:spacing w:after="10"/>
            </w:pPr>
            <w:r>
              <w:rPr>
                <w:rFonts w:ascii="Times New Roman" w:hAnsi="Times New Roman"/>
                <w:b w:val="0"/>
                <w:i w:val="0"/>
                <w:sz w:val="15"/>
              </w:rPr>
              <w:t>arithmetic, 8 terms</w:t>
            </w:r>
          </w:p>
        </w:tc>
        <w:tc>
          <w:tcPr>
            <w:tcW w:type="dxa" w:w="596"/>
            <w:tcBorders>
              <w:top w:val="single" w:sz="4" w:color="808080"/>
              <w:bottom w:val="single" w:sz="4" w:color="808080"/>
              <w:left w:val="nil"/>
              <w:right w:val="nil"/>
            </w:tcBorders>
          </w:tcPr>
          <w:p>
            <w:pPr>
              <w:spacing w:after="10"/>
            </w:pPr>
            <w:r>
              <w:rPr>
                <w:rFonts w:ascii="Times New Roman" w:hAnsi="Times New Roman"/>
                <w:b w:val="0"/>
                <w:i w:val="0"/>
                <w:sz w:val="15"/>
              </w:rPr>
              <w:t>0.296</w:t>
            </w:r>
          </w:p>
        </w:tc>
        <w:tc>
          <w:tcPr>
            <w:tcW w:type="dxa" w:w="655"/>
            <w:tcBorders>
              <w:top w:val="single" w:sz="4" w:color="808080"/>
              <w:bottom w:val="single" w:sz="4" w:color="808080"/>
              <w:left w:val="nil"/>
              <w:right w:val="nil"/>
            </w:tcBorders>
          </w:tcPr>
          <w:p>
            <w:pPr>
              <w:spacing w:after="10"/>
            </w:pPr>
            <w:r>
              <w:rPr>
                <w:rFonts w:ascii="Times New Roman" w:hAnsi="Times New Roman"/>
                <w:b w:val="0"/>
                <w:i w:val="0"/>
                <w:sz w:val="15"/>
              </w:rPr>
              <w:t>0.0144</w:t>
            </w:r>
          </w:p>
        </w:tc>
        <w:tc>
          <w:tcPr>
            <w:tcW w:type="dxa" w:w="596"/>
            <w:tcBorders>
              <w:top w:val="single" w:sz="4" w:color="808080"/>
              <w:bottom w:val="single" w:sz="4" w:color="808080"/>
              <w:left w:val="nil"/>
              <w:right w:val="nil"/>
            </w:tcBorders>
          </w:tcPr>
          <w:p>
            <w:pPr>
              <w:spacing w:after="10"/>
            </w:pPr>
            <w:r>
              <w:rPr>
                <w:rFonts w:ascii="Times New Roman" w:hAnsi="Times New Roman"/>
                <w:b w:val="0"/>
                <w:i w:val="0"/>
                <w:sz w:val="15"/>
              </w:rPr>
              <w:t>21</w:t>
            </w:r>
          </w:p>
        </w:tc>
        <w:tc>
          <w:tcPr>
            <w:tcW w:type="dxa" w:w="834"/>
            <w:tcBorders>
              <w:top w:val="single" w:sz="4" w:color="808080"/>
              <w:bottom w:val="single" w:sz="4" w:color="808080"/>
              <w:left w:val="nil"/>
              <w:right w:val="nil"/>
            </w:tcBorders>
          </w:tcPr>
          <w:p>
            <w:pPr>
              <w:spacing w:after="10"/>
            </w:pPr>
            <w:r>
              <w:rPr>
                <w:rFonts w:ascii="Times New Roman" w:hAnsi="Times New Roman"/>
                <w:b w:val="0"/>
                <w:i w:val="0"/>
                <w:sz w:val="15"/>
              </w:rPr>
              <w:t>0.123</w:t>
            </w:r>
          </w:p>
        </w:tc>
        <w:tc>
          <w:tcPr>
            <w:tcW w:type="dxa" w:w="596"/>
            <w:tcBorders>
              <w:top w:val="single" w:sz="4" w:color="808080"/>
              <w:bottom w:val="single" w:sz="4" w:color="808080"/>
              <w:left w:val="nil"/>
              <w:right w:val="nil"/>
            </w:tcBorders>
          </w:tcPr>
          <w:p>
            <w:pPr>
              <w:spacing w:after="10"/>
            </w:pPr>
            <w:r>
              <w:rPr>
                <w:rFonts w:ascii="Times New Roman" w:hAnsi="Times New Roman"/>
                <w:b/>
                <w:i w:val="0"/>
                <w:sz w:val="15"/>
              </w:rPr>
              <w:t>9</w:t>
            </w:r>
          </w:p>
        </w:tc>
      </w:tr>
      <w:tr>
        <w:tc>
          <w:tcPr>
            <w:tcW w:type="dxa" w:w="1430"/>
            <w:tcBorders>
              <w:top w:val="single" w:sz="4" w:color="808080"/>
              <w:bottom w:val="single" w:sz="4" w:color="808080"/>
              <w:left w:val="nil"/>
              <w:right w:val="nil"/>
            </w:tcBorders>
          </w:tcPr>
          <w:p>
            <w:pPr>
              <w:spacing w:after="10"/>
            </w:pPr>
            <w:r>
              <w:rPr>
                <w:rFonts w:ascii="Times New Roman" w:hAnsi="Times New Roman"/>
                <w:b w:val="0"/>
                <w:i w:val="0"/>
                <w:sz w:val="15"/>
              </w:rPr>
              <w:t>geometric, image-first</w:t>
            </w:r>
          </w:p>
        </w:tc>
        <w:tc>
          <w:tcPr>
            <w:tcW w:type="dxa" w:w="596"/>
            <w:tcBorders>
              <w:top w:val="single" w:sz="4" w:color="808080"/>
              <w:bottom w:val="single" w:sz="4" w:color="808080"/>
              <w:left w:val="nil"/>
              <w:right w:val="nil"/>
            </w:tcBorders>
          </w:tcPr>
          <w:p>
            <w:pPr>
              <w:spacing w:after="10"/>
            </w:pPr>
            <w:r>
              <w:rPr>
                <w:rFonts w:ascii="Times New Roman" w:hAnsi="Times New Roman"/>
                <w:b w:val="0"/>
                <w:i w:val="0"/>
                <w:sz w:val="15"/>
              </w:rPr>
              <w:t>0.635</w:t>
            </w:r>
          </w:p>
        </w:tc>
        <w:tc>
          <w:tcPr>
            <w:tcW w:type="dxa" w:w="655"/>
            <w:tcBorders>
              <w:top w:val="single" w:sz="4" w:color="808080"/>
              <w:bottom w:val="single" w:sz="4" w:color="808080"/>
              <w:left w:val="nil"/>
              <w:right w:val="nil"/>
            </w:tcBorders>
          </w:tcPr>
          <w:p>
            <w:pPr>
              <w:spacing w:after="10"/>
            </w:pPr>
            <w:r>
              <w:rPr>
                <w:rFonts w:ascii="Times New Roman" w:hAnsi="Times New Roman"/>
                <w:b w:val="0"/>
                <w:i w:val="0"/>
                <w:sz w:val="15"/>
              </w:rPr>
              <w:t>0.0095</w:t>
            </w:r>
          </w:p>
        </w:tc>
        <w:tc>
          <w:tcPr>
            <w:tcW w:type="dxa" w:w="596"/>
            <w:tcBorders>
              <w:top w:val="single" w:sz="4" w:color="808080"/>
              <w:bottom w:val="single" w:sz="4" w:color="808080"/>
              <w:left w:val="nil"/>
              <w:right w:val="nil"/>
            </w:tcBorders>
          </w:tcPr>
          <w:p>
            <w:pPr>
              <w:spacing w:after="10"/>
            </w:pPr>
            <w:r>
              <w:rPr>
                <w:rFonts w:ascii="Times New Roman" w:hAnsi="Times New Roman"/>
                <w:b w:val="0"/>
                <w:i w:val="0"/>
                <w:sz w:val="15"/>
              </w:rPr>
              <w:t>67</w:t>
            </w:r>
          </w:p>
        </w:tc>
        <w:tc>
          <w:tcPr>
            <w:tcW w:type="dxa" w:w="834"/>
            <w:tcBorders>
              <w:top w:val="single" w:sz="4" w:color="808080"/>
              <w:bottom w:val="single" w:sz="4" w:color="808080"/>
              <w:left w:val="nil"/>
              <w:right w:val="nil"/>
            </w:tcBorders>
          </w:tcPr>
          <w:p>
            <w:pPr>
              <w:spacing w:after="10"/>
            </w:pPr>
            <w:r>
              <w:rPr>
                <w:rFonts w:ascii="Times New Roman" w:hAnsi="Times New Roman"/>
                <w:b w:val="0"/>
                <w:i w:val="0"/>
                <w:sz w:val="15"/>
              </w:rPr>
              <w:t>0.450</w:t>
            </w:r>
          </w:p>
        </w:tc>
        <w:tc>
          <w:tcPr>
            <w:tcW w:type="dxa" w:w="596"/>
            <w:tcBorders>
              <w:top w:val="single" w:sz="4" w:color="808080"/>
              <w:bottom w:val="single" w:sz="4" w:color="808080"/>
              <w:left w:val="nil"/>
              <w:right w:val="nil"/>
            </w:tcBorders>
          </w:tcPr>
          <w:p>
            <w:pPr>
              <w:spacing w:after="10"/>
            </w:pPr>
            <w:r>
              <w:rPr>
                <w:rFonts w:ascii="Times New Roman" w:hAnsi="Times New Roman"/>
                <w:b/>
                <w:i w:val="0"/>
                <w:sz w:val="15"/>
              </w:rPr>
              <w:t>47</w:t>
            </w:r>
          </w:p>
        </w:tc>
      </w:tr>
    </w:tbl>
    <w:p>
      <w:pPr>
        <w:spacing w:after="60"/>
      </w:pPr>
    </w:p>
    <w:p>
      <w:pPr>
        <w:spacing w:before="0" w:after="64"/>
        <w:ind w:left="0"/>
        <w:jc w:val="both"/>
      </w:pPr>
      <w:r>
        <w:rPr>
          <w:rFonts w:ascii="Times New Roman" w:hAnsi="Times New Roman"/>
          <w:b w:val="0"/>
          <w:i w:val="0"/>
          <w:sz w:val="19"/>
        </w:rPr>
        <w:t>Nine levels is the quantitative statement of a failure that had previously been described only qualitatively: with the original specification, no threshold below 0.75 rejected a single frame out of 2,953, and the whole usable operating region lay between 0.85 and 0.95. Any instruction set finer than nine states would have been reporting noise. The reformulated function has room for 47.</w:t>
      </w:r>
    </w:p>
    <w:p>
      <w:pPr>
        <w:keepNext/>
        <w:spacing w:before="90" w:after="40"/>
        <w:ind w:left="0"/>
        <w:jc w:val="left"/>
      </w:pPr>
      <w:r>
        <w:rPr>
          <w:rFonts w:ascii="Times New Roman" w:hAnsi="Times New Roman"/>
          <w:b/>
          <w:i w:val="0"/>
          <w:sz w:val="18"/>
        </w:rPr>
        <w:t>3.4 The Derived Vocabulary</w:t>
      </w:r>
    </w:p>
    <w:p>
      <w:pPr>
        <w:spacing w:before="0" w:after="64"/>
        <w:ind w:left="0"/>
        <w:jc w:val="both"/>
      </w:pPr>
      <w:r>
        <w:rPr>
          <w:rFonts w:ascii="Times New Roman" w:hAnsi="Times New Roman"/>
          <w:b w:val="0"/>
          <w:i w:val="0"/>
          <w:sz w:val="19"/>
        </w:rPr>
        <w:t>Two boundaries partition the range, and neither is a fitted hyperparameter.</w:t>
      </w:r>
    </w:p>
    <w:p>
      <w:pPr>
        <w:spacing w:before="0" w:after="64"/>
        <w:ind w:left="0"/>
        <w:jc w:val="both"/>
      </w:pPr>
      <w:r>
        <w:rPr>
          <w:rFonts w:ascii="Times New Roman" w:hAnsi="Times New Roman"/>
          <w:b/>
          <w:i w:val="0"/>
          <w:sz w:val="19"/>
        </w:rPr>
        <w:t>A physical boundary.</w:t>
      </w:r>
      <w:r>
        <w:rPr>
          <w:rFonts w:ascii="Times New Roman" w:hAnsi="Times New Roman"/>
          <w:b w:val="0"/>
          <w:i w:val="0"/>
          <w:sz w:val="19"/>
        </w:rPr>
        <w:t xml:space="preserve"> A urine-filled lumen is anechoic, so a non-positive lumen-to-surround contrast means the delineated region cannot be one. On 13.1% of frames the contrast is non-positive; those frames have Dice 0.665 against 0.840 elsewhere, and what sets them apart is the delineated region itself — 1.85 times brighter and a third the area, the signature of an under-distended bladder rather than of a poorly placed probe. The remedy is not a lateral slide; it is upstream, in bladder filling, and the instruction says so instead of commanding a movement that cannot help.</w:t>
      </w:r>
    </w:p>
    <w:p>
      <w:pPr>
        <w:spacing w:before="0" w:after="64"/>
        <w:ind w:left="0"/>
        <w:jc w:val="both"/>
      </w:pPr>
      <w:r>
        <w:rPr>
          <w:rFonts w:ascii="Times New Roman" w:hAnsi="Times New Roman"/>
          <w:b/>
          <w:i w:val="0"/>
          <w:sz w:val="19"/>
        </w:rPr>
        <w:t>A statistical boundary.</w:t>
      </w:r>
      <w:r>
        <w:rPr>
          <w:rFonts w:ascii="Times New Roman" w:hAnsi="Times New Roman"/>
          <w:b w:val="0"/>
          <w:i w:val="0"/>
          <w:sz w:val="19"/>
        </w:rPr>
        <w:t xml:space="preserve"> The difference </w:t>
      </w:r>
      <w:r>
        <w:rPr>
          <w:rFonts w:ascii="Times New Roman" w:hAnsi="Times New Roman"/>
          <w:b w:val="0"/>
          <w:i/>
          <w:sz w:val="19"/>
        </w:rPr>
        <w:t>δ</w:t>
      </w:r>
      <w:r>
        <w:rPr>
          <w:rFonts w:ascii="Times New Roman" w:hAnsi="Times New Roman"/>
          <w:b w:val="0"/>
          <w:i w:val="0"/>
          <w:sz w:val="19"/>
        </w:rPr>
        <w:t xml:space="preserve"> = </w:t>
      </w:r>
      <w:r>
        <w:rPr>
          <w:rFonts w:ascii="Times New Roman" w:hAnsi="Times New Roman"/>
          <w:b w:val="0"/>
          <w:i/>
          <w:sz w:val="19"/>
        </w:rPr>
        <w:t>ê</w:t>
      </w:r>
      <w:r>
        <w:rPr>
          <w:rFonts w:ascii="Times New Roman" w:hAnsi="Times New Roman"/>
          <w:b w:val="0"/>
          <w:i w:val="0"/>
          <w:sz w:val="19"/>
        </w:rPr>
        <w:t xml:space="preserve"> − </w:t>
      </w:r>
      <w:r>
        <w:rPr>
          <w:rFonts w:ascii="Times New Roman" w:hAnsi="Times New Roman"/>
          <w:b w:val="0"/>
          <w:i/>
          <w:sz w:val="19"/>
        </w:rPr>
        <w:t>e</w:t>
      </w:r>
      <w:r>
        <w:rPr>
          <w:rFonts w:ascii="Times New Roman" w:hAnsi="Times New Roman"/>
          <w:b w:val="0"/>
          <w:i w:val="0"/>
          <w:sz w:val="19"/>
        </w:rPr>
        <w:t xml:space="preserve"> is the segmentation's lateral centroid error, independent of where the lumen sits, with </w:t>
      </w:r>
      <w:r>
        <w:rPr>
          <w:rFonts w:ascii="Times New Roman" w:hAnsi="Times New Roman"/>
          <w:b w:val="0"/>
          <w:i/>
          <w:sz w:val="19"/>
        </w:rPr>
        <w:t>σ</w:t>
      </w:r>
      <w:r>
        <w:rPr>
          <w:rFonts w:ascii="Times New Roman" w:hAnsi="Times New Roman"/>
          <w:b w:val="0"/>
          <w:i w:val="0"/>
          <w:sz w:val="19"/>
        </w:rPr>
        <w:t xml:space="preserve"> = 4.92 px and a bias of +0.11 px. The instruction points the wrong way exactly when </w:t>
      </w:r>
      <w:r>
        <w:rPr>
          <w:rFonts w:ascii="Times New Roman" w:hAnsi="Times New Roman"/>
          <w:b w:val="0"/>
          <w:i/>
          <w:sz w:val="19"/>
        </w:rPr>
        <w:t>δ</w:t>
      </w:r>
      <w:r>
        <w:rPr>
          <w:rFonts w:ascii="Times New Roman" w:hAnsi="Times New Roman"/>
          <w:b w:val="0"/>
          <w:i w:val="0"/>
          <w:sz w:val="19"/>
        </w:rPr>
        <w:t xml:space="preserve"> opposes </w:t>
      </w:r>
      <w:r>
        <w:rPr>
          <w:rFonts w:ascii="Times New Roman" w:hAnsi="Times New Roman"/>
          <w:b w:val="0"/>
          <w:i/>
          <w:sz w:val="19"/>
        </w:rPr>
        <w:t>e</w:t>
      </w:r>
      <w:r>
        <w:rPr>
          <w:rFonts w:ascii="Times New Roman" w:hAnsi="Times New Roman"/>
          <w:b w:val="0"/>
          <w:i w:val="0"/>
          <w:sz w:val="19"/>
        </w:rPr>
        <w:t xml:space="preserve"> and exceeds it, so</w:t>
      </w:r>
    </w:p>
    <w:p>
      <w:pPr>
        <w:tabs>
          <w:tab w:pos="4734" w:val="right"/>
        </w:tabs>
        <w:spacing w:before="80" w:after="80"/>
        <w:jc w:val="left"/>
      </w:pPr>
      <w:r>
        <w:rPr>
          <w:rFonts w:ascii="Times New Roman" w:hAnsi="Times New Roman"/>
          <w:b w:val="0"/>
          <w:i/>
          <w:sz w:val="19"/>
        </w:rPr>
        <w:t>P(wrong direction) = Φ(−|e| / σ)</w:t>
      </w:r>
      <w:r>
        <w:tab/>
      </w:r>
      <w:r>
        <w:rPr>
          <w:rFonts w:ascii="Times New Roman" w:hAnsi="Times New Roman"/>
          <w:b w:val="0"/>
          <w:i w:val="0"/>
          <w:sz w:val="19"/>
        </w:rPr>
        <w:t>(2)</w:t>
      </w:r>
    </w:p>
    <w:p>
      <w:pPr>
        <w:spacing w:before="0" w:after="64"/>
        <w:ind w:left="0"/>
        <w:jc w:val="both"/>
      </w:pPr>
      <w:r>
        <w:rPr>
          <w:rFonts w:ascii="Times New Roman" w:hAnsi="Times New Roman"/>
          <w:b w:val="0"/>
          <w:i w:val="0"/>
          <w:sz w:val="19"/>
        </w:rPr>
        <w:t>and the instruction is withheld below 1.64</w:t>
      </w:r>
      <w:r>
        <w:rPr>
          <w:rFonts w:ascii="Times New Roman" w:hAnsi="Times New Roman"/>
          <w:b w:val="0"/>
          <w:i/>
          <w:sz w:val="19"/>
        </w:rPr>
        <w:t>σ</w:t>
      </w:r>
      <w:r>
        <w:rPr>
          <w:rFonts w:ascii="Times New Roman" w:hAnsi="Times New Roman"/>
          <w:b w:val="0"/>
          <w:i w:val="0"/>
          <w:sz w:val="19"/>
        </w:rPr>
        <w:t xml:space="preserve"> = 8.1 px, where the modelled error rate reaches 5%. Below that boundary a controller that keeps acting is following its own segmentation noise; </w:t>
      </w:r>
      <w:r>
        <w:rPr>
          <w:rFonts w:ascii="Times New Roman" w:hAnsi="Times New Roman"/>
          <w:b/>
          <w:i w:val="0"/>
          <w:sz w:val="19"/>
        </w:rPr>
        <w:t>this is a stopping condition, not a defect.</w:t>
      </w:r>
    </w:p>
    <w:p>
      <w:pPr>
        <w:keepNext/>
        <w:spacing w:before="120" w:after="40"/>
      </w:pPr>
      <w:r>
        <w:rPr>
          <w:rFonts w:ascii="Times New Roman" w:hAnsi="Times New Roman"/>
          <w:b/>
          <w:i w:val="0"/>
          <w:sz w:val="15"/>
        </w:rPr>
        <w:t>Table 5.</w:t>
      </w:r>
      <w:r>
        <w:rPr>
          <w:rFonts w:ascii="Times New Roman" w:hAnsi="Times New Roman"/>
          <w:b w:val="0"/>
          <w:i w:val="0"/>
          <w:sz w:val="15"/>
        </w:rPr>
        <w:t xml:space="preserve"> The instruction vocabulary. Both boundaries are derived — one from the physics of an anechoic lumen, one from the segmentation's centroid noise — and neither is tuned.</w:t>
      </w:r>
    </w:p>
    <w:tbl>
      <w:tblPr>
        <w:tblW w:type="auto" w:w="0"/>
        <w:jc w:val="center"/>
        <w:tblLayout w:type="fixed"/>
        <w:tblLook w:firstColumn="1" w:firstRow="1" w:lastColumn="0" w:lastRow="0" w:noHBand="0" w:noVBand="1" w:val="04A0"/>
        <w:tblLayout w:type="fixed"/>
        <w:tblW w:w="4706" w:type="dxa"/>
      </w:tblPr>
      <w:tblGrid>
        <w:gridCol w:w="1508"/>
        <w:gridCol w:w="1810"/>
        <w:gridCol w:w="1387"/>
      </w:tblGrid>
      <w:tr>
        <w:tc>
          <w:tcPr>
            <w:tcW w:type="dxa" w:w="1508"/>
            <w:tcBorders>
              <w:top w:val="single" w:sz="8" w:color="000000"/>
              <w:bottom w:val="single" w:sz="8" w:color="000000"/>
              <w:left w:val="nil"/>
              <w:right w:val="nil"/>
            </w:tcBorders>
          </w:tcPr>
          <w:p>
            <w:pPr>
              <w:spacing w:after="10"/>
            </w:pPr>
            <w:r>
              <w:rPr>
                <w:rFonts w:ascii="Times New Roman" w:hAnsi="Times New Roman"/>
                <w:b/>
                <w:i w:val="0"/>
                <w:sz w:val="15"/>
              </w:rPr>
              <w:t>Instruction</w:t>
            </w:r>
          </w:p>
        </w:tc>
        <w:tc>
          <w:tcPr>
            <w:tcW w:type="dxa" w:w="1810"/>
            <w:tcBorders>
              <w:top w:val="single" w:sz="8" w:color="000000"/>
              <w:bottom w:val="single" w:sz="8" w:color="000000"/>
              <w:left w:val="nil"/>
              <w:right w:val="nil"/>
            </w:tcBorders>
          </w:tcPr>
          <w:p>
            <w:pPr>
              <w:spacing w:after="10"/>
            </w:pPr>
            <w:r>
              <w:rPr>
                <w:rFonts w:ascii="Times New Roman" w:hAnsi="Times New Roman"/>
                <w:b/>
                <w:i w:val="0"/>
                <w:sz w:val="15"/>
              </w:rPr>
              <w:t>Condition</w:t>
            </w:r>
          </w:p>
        </w:tc>
        <w:tc>
          <w:tcPr>
            <w:tcW w:type="dxa" w:w="1388"/>
            <w:tcBorders>
              <w:top w:val="single" w:sz="8" w:color="000000"/>
              <w:bottom w:val="single" w:sz="8" w:color="000000"/>
              <w:left w:val="nil"/>
              <w:right w:val="nil"/>
            </w:tcBorders>
          </w:tcPr>
          <w:p>
            <w:pPr>
              <w:spacing w:after="10"/>
            </w:pPr>
            <w:r>
              <w:rPr>
                <w:rFonts w:ascii="Times New Roman" w:hAnsi="Times New Roman"/>
                <w:b/>
                <w:i w:val="0"/>
                <w:sz w:val="15"/>
              </w:rPr>
              <w:t>Acts on</w:t>
            </w:r>
          </w:p>
        </w:tc>
      </w:tr>
      <w:tr>
        <w:tc>
          <w:tcPr>
            <w:tcW w:type="dxa" w:w="1508"/>
            <w:tcBorders>
              <w:top w:val="single" w:sz="4" w:color="808080"/>
              <w:bottom w:val="single" w:sz="4" w:color="808080"/>
              <w:left w:val="nil"/>
              <w:right w:val="nil"/>
            </w:tcBorders>
          </w:tcPr>
          <w:p>
            <w:pPr>
              <w:spacing w:after="10"/>
            </w:pPr>
            <w:r>
              <w:rPr>
                <w:rFonts w:ascii="Times New Roman" w:hAnsi="Times New Roman"/>
                <w:b w:val="0"/>
                <w:i/>
                <w:sz w:val="15"/>
              </w:rPr>
              <w:t>check bladder filling</w:t>
            </w:r>
          </w:p>
        </w:tc>
        <w:tc>
          <w:tcPr>
            <w:tcW w:type="dxa" w:w="1810"/>
            <w:tcBorders>
              <w:top w:val="single" w:sz="4" w:color="808080"/>
              <w:bottom w:val="single" w:sz="4" w:color="808080"/>
              <w:left w:val="nil"/>
              <w:right w:val="nil"/>
            </w:tcBorders>
          </w:tcPr>
          <w:p>
            <w:pPr>
              <w:spacing w:after="10"/>
            </w:pPr>
            <w:r>
              <w:rPr>
                <w:rFonts w:ascii="Times New Roman" w:hAnsi="Times New Roman"/>
                <w:b w:val="0"/>
                <w:i w:val="0"/>
                <w:sz w:val="15"/>
              </w:rPr>
              <w:t>contrast ≤ 0</w:t>
            </w:r>
          </w:p>
        </w:tc>
        <w:tc>
          <w:tcPr>
            <w:tcW w:type="dxa" w:w="1388"/>
            <w:tcBorders>
              <w:top w:val="single" w:sz="4" w:color="808080"/>
              <w:bottom w:val="single" w:sz="4" w:color="808080"/>
              <w:left w:val="nil"/>
              <w:right w:val="nil"/>
            </w:tcBorders>
          </w:tcPr>
          <w:p>
            <w:pPr>
              <w:spacing w:after="10"/>
            </w:pPr>
            <w:r>
              <w:rPr>
                <w:rFonts w:ascii="Times New Roman" w:hAnsi="Times New Roman"/>
                <w:b w:val="0"/>
                <w:i w:val="0"/>
                <w:sz w:val="15"/>
              </w:rPr>
              <w:t>not the probe — filling</w:t>
            </w:r>
          </w:p>
        </w:tc>
      </w:tr>
      <w:tr>
        <w:tc>
          <w:tcPr>
            <w:tcW w:type="dxa" w:w="1508"/>
            <w:tcBorders>
              <w:top w:val="single" w:sz="4" w:color="808080"/>
              <w:bottom w:val="single" w:sz="4" w:color="808080"/>
              <w:left w:val="nil"/>
              <w:right w:val="nil"/>
            </w:tcBorders>
          </w:tcPr>
          <w:p>
            <w:pPr>
              <w:spacing w:after="10"/>
            </w:pPr>
            <w:r>
              <w:rPr>
                <w:rFonts w:ascii="Times New Roman" w:hAnsi="Times New Roman"/>
                <w:b w:val="0"/>
                <w:i/>
                <w:sz w:val="15"/>
              </w:rPr>
              <w:t>move left</w:t>
            </w:r>
            <w:r>
              <w:rPr>
                <w:rFonts w:ascii="Times New Roman" w:hAnsi="Times New Roman"/>
                <w:b w:val="0"/>
                <w:i w:val="0"/>
                <w:sz w:val="15"/>
              </w:rPr>
              <w:t xml:space="preserve"> / </w:t>
            </w:r>
            <w:r>
              <w:rPr>
                <w:rFonts w:ascii="Times New Roman" w:hAnsi="Times New Roman"/>
                <w:b w:val="0"/>
                <w:i/>
                <w:sz w:val="15"/>
              </w:rPr>
              <w:t>move right</w:t>
            </w:r>
          </w:p>
        </w:tc>
        <w:tc>
          <w:tcPr>
            <w:tcW w:type="dxa" w:w="1810"/>
            <w:tcBorders>
              <w:top w:val="single" w:sz="4" w:color="808080"/>
              <w:bottom w:val="single" w:sz="4" w:color="808080"/>
              <w:left w:val="nil"/>
              <w:right w:val="nil"/>
            </w:tcBorders>
          </w:tcPr>
          <w:p>
            <w:pPr>
              <w:spacing w:after="10"/>
            </w:pPr>
            <w:r>
              <w:rPr>
                <w:rFonts w:ascii="Times New Roman" w:hAnsi="Times New Roman"/>
                <w:b w:val="0"/>
                <w:i w:val="0"/>
                <w:sz w:val="15"/>
              </w:rPr>
              <w:t>contrast &gt; 0 and |</w:t>
            </w:r>
            <w:r>
              <w:rPr>
                <w:rFonts w:ascii="Times New Roman" w:hAnsi="Times New Roman"/>
                <w:b w:val="0"/>
                <w:i/>
                <w:sz w:val="15"/>
              </w:rPr>
              <w:t>ê</w:t>
            </w:r>
            <w:r>
              <w:rPr>
                <w:rFonts w:ascii="Times New Roman" w:hAnsi="Times New Roman"/>
                <w:b w:val="0"/>
                <w:i w:val="0"/>
                <w:sz w:val="15"/>
              </w:rPr>
              <w:t>| ≥ 8.1 px</w:t>
            </w:r>
          </w:p>
        </w:tc>
        <w:tc>
          <w:tcPr>
            <w:tcW w:type="dxa" w:w="1388"/>
            <w:tcBorders>
              <w:top w:val="single" w:sz="4" w:color="808080"/>
              <w:bottom w:val="single" w:sz="4" w:color="808080"/>
              <w:left w:val="nil"/>
              <w:right w:val="nil"/>
            </w:tcBorders>
          </w:tcPr>
          <w:p>
            <w:pPr>
              <w:spacing w:after="10"/>
            </w:pPr>
            <w:r>
              <w:rPr>
                <w:rFonts w:ascii="Times New Roman" w:hAnsi="Times New Roman"/>
                <w:b w:val="0"/>
                <w:i w:val="0"/>
                <w:sz w:val="15"/>
              </w:rPr>
              <w:t xml:space="preserve">lateral axis </w:t>
            </w:r>
            <w:r>
              <w:rPr>
                <w:rFonts w:ascii="Times New Roman" w:hAnsi="Times New Roman"/>
                <w:b w:val="0"/>
                <w:i/>
                <w:sz w:val="15"/>
              </w:rPr>
              <w:t>v</w:t>
            </w:r>
            <w:r>
              <w:rPr>
                <w:rFonts w:ascii="Times New Roman" w:hAnsi="Times New Roman"/>
                <w:b w:val="0"/>
                <w:i w:val="0"/>
                <w:sz w:val="15"/>
                <w:vertAlign w:val="subscript"/>
              </w:rPr>
              <w:t>x</w:t>
            </w:r>
          </w:p>
        </w:tc>
      </w:tr>
      <w:tr>
        <w:tc>
          <w:tcPr>
            <w:tcW w:type="dxa" w:w="1508"/>
            <w:tcBorders>
              <w:top w:val="single" w:sz="4" w:color="808080"/>
              <w:bottom w:val="single" w:sz="4" w:color="808080"/>
              <w:left w:val="nil"/>
              <w:right w:val="nil"/>
            </w:tcBorders>
          </w:tcPr>
          <w:p>
            <w:pPr>
              <w:spacing w:after="10"/>
            </w:pPr>
            <w:r>
              <w:rPr>
                <w:rFonts w:ascii="Times New Roman" w:hAnsi="Times New Roman"/>
                <w:b w:val="0"/>
                <w:i/>
                <w:sz w:val="15"/>
              </w:rPr>
              <w:t>hold</w:t>
            </w:r>
          </w:p>
        </w:tc>
        <w:tc>
          <w:tcPr>
            <w:tcW w:type="dxa" w:w="1810"/>
            <w:tcBorders>
              <w:top w:val="single" w:sz="4" w:color="808080"/>
              <w:bottom w:val="single" w:sz="4" w:color="808080"/>
              <w:left w:val="nil"/>
              <w:right w:val="nil"/>
            </w:tcBorders>
          </w:tcPr>
          <w:p>
            <w:pPr>
              <w:spacing w:after="10"/>
            </w:pPr>
            <w:r>
              <w:rPr>
                <w:rFonts w:ascii="Times New Roman" w:hAnsi="Times New Roman"/>
                <w:b w:val="0"/>
                <w:i w:val="0"/>
                <w:sz w:val="15"/>
              </w:rPr>
              <w:t>contrast &gt; 0 and |</w:t>
            </w:r>
            <w:r>
              <w:rPr>
                <w:rFonts w:ascii="Times New Roman" w:hAnsi="Times New Roman"/>
                <w:b w:val="0"/>
                <w:i/>
                <w:sz w:val="15"/>
              </w:rPr>
              <w:t>ê</w:t>
            </w:r>
            <w:r>
              <w:rPr>
                <w:rFonts w:ascii="Times New Roman" w:hAnsi="Times New Roman"/>
                <w:b w:val="0"/>
                <w:i w:val="0"/>
                <w:sz w:val="15"/>
              </w:rPr>
              <w:t>| &lt; 8.1 px</w:t>
            </w:r>
          </w:p>
        </w:tc>
        <w:tc>
          <w:tcPr>
            <w:tcW w:type="dxa" w:w="1388"/>
            <w:tcBorders>
              <w:top w:val="single" w:sz="4" w:color="808080"/>
              <w:bottom w:val="single" w:sz="4" w:color="808080"/>
              <w:left w:val="nil"/>
              <w:right w:val="nil"/>
            </w:tcBorders>
          </w:tcPr>
          <w:p>
            <w:pPr>
              <w:spacing w:after="10"/>
            </w:pPr>
            <w:r>
              <w:rPr>
                <w:rFonts w:ascii="Times New Roman" w:hAnsi="Times New Roman"/>
                <w:b w:val="0"/>
                <w:i w:val="0"/>
                <w:sz w:val="15"/>
              </w:rPr>
              <w:t>nothing — converged</w:t>
            </w:r>
          </w:p>
        </w:tc>
      </w:tr>
    </w:tbl>
    <w:p>
      <w:pPr>
        <w:spacing w:after="60"/>
      </w:pPr>
    </w:p>
    <w:p>
      <w:pPr>
        <w:spacing w:before="0" w:after="64"/>
        <w:ind w:left="0"/>
        <w:jc w:val="both"/>
      </w:pPr>
      <w:r>
        <w:rPr>
          <w:rFonts w:ascii="Times New Roman" w:hAnsi="Times New Roman"/>
          <w:b w:val="0"/>
          <w:i w:val="0"/>
          <w:sz w:val="19"/>
        </w:rPr>
        <w:t>Vocabulary size is bounded by the same noise. A magnitude class narrower than 2</w:t>
      </w:r>
      <w:r>
        <w:rPr>
          <w:rFonts w:ascii="Times New Roman" w:hAnsi="Times New Roman"/>
          <w:b w:val="0"/>
          <w:i/>
          <w:sz w:val="19"/>
        </w:rPr>
        <w:t>σ</w:t>
      </w:r>
      <w:r>
        <w:rPr>
          <w:rFonts w:ascii="Times New Roman" w:hAnsi="Times New Roman"/>
          <w:b w:val="0"/>
          <w:i w:val="0"/>
          <w:sz w:val="19"/>
        </w:rPr>
        <w:t xml:space="preserve"> cannot be assigned reliably even at its centre, and the data bear this out: adding graded magnitudes costs accuracy without buying direction (Table 6). Three words is what the function supports.</w:t>
      </w:r>
    </w:p>
    <w:p>
      <w:pPr>
        <w:keepNext/>
        <w:spacing w:before="120" w:after="40"/>
      </w:pPr>
      <w:r>
        <w:rPr>
          <w:rFonts w:ascii="Times New Roman" w:hAnsi="Times New Roman"/>
          <w:b/>
          <w:i w:val="0"/>
          <w:sz w:val="15"/>
        </w:rPr>
        <w:t>Table 6.</w:t>
      </w:r>
      <w:r>
        <w:rPr>
          <w:rFonts w:ascii="Times New Roman" w:hAnsi="Times New Roman"/>
          <w:b w:val="0"/>
          <w:i w:val="0"/>
          <w:sz w:val="15"/>
        </w:rPr>
        <w:t xml:space="preserve"> Accuracy of the emitted instruction against the instruction the ground truth implies, over the controlled sweep of Section 2.5. Direction errors stay negligible; it is the magnitude classes that fail.</w:t>
      </w:r>
    </w:p>
    <w:tbl>
      <w:tblPr>
        <w:tblW w:type="auto" w:w="0"/>
        <w:jc w:val="center"/>
        <w:tblLayout w:type="fixed"/>
        <w:tblLook w:firstColumn="1" w:firstRow="1" w:lastColumn="0" w:lastRow="0" w:noHBand="0" w:noVBand="1" w:val="04A0"/>
        <w:tblLayout w:type="fixed"/>
        <w:tblW w:w="4706" w:type="dxa"/>
      </w:tblPr>
      <w:tblGrid>
        <w:gridCol w:w="2121"/>
        <w:gridCol w:w="596"/>
        <w:gridCol w:w="927"/>
        <w:gridCol w:w="1060"/>
      </w:tblGrid>
      <w:tr>
        <w:tc>
          <w:tcPr>
            <w:tcW w:type="dxa" w:w="2121"/>
            <w:tcBorders>
              <w:top w:val="single" w:sz="8" w:color="000000"/>
              <w:bottom w:val="single" w:sz="8" w:color="000000"/>
              <w:left w:val="nil"/>
              <w:right w:val="nil"/>
            </w:tcBorders>
          </w:tcPr>
          <w:p>
            <w:pPr>
              <w:spacing w:after="10"/>
            </w:pPr>
            <w:r>
              <w:rPr>
                <w:rFonts w:ascii="Times New Roman" w:hAnsi="Times New Roman"/>
                <w:b/>
                <w:i w:val="0"/>
                <w:sz w:val="15"/>
              </w:rPr>
              <w:t>Vocabulary</w:t>
            </w:r>
          </w:p>
        </w:tc>
        <w:tc>
          <w:tcPr>
            <w:tcW w:type="dxa" w:w="596"/>
            <w:tcBorders>
              <w:top w:val="single" w:sz="8" w:color="000000"/>
              <w:bottom w:val="single" w:sz="8" w:color="000000"/>
              <w:left w:val="nil"/>
              <w:right w:val="nil"/>
            </w:tcBorders>
          </w:tcPr>
          <w:p>
            <w:pPr>
              <w:spacing w:after="10"/>
            </w:pPr>
            <w:r>
              <w:rPr>
                <w:rFonts w:ascii="Times New Roman" w:hAnsi="Times New Roman"/>
                <w:b/>
                <w:i w:val="0"/>
                <w:sz w:val="15"/>
              </w:rPr>
              <w:t>Size</w:t>
            </w:r>
          </w:p>
        </w:tc>
        <w:tc>
          <w:tcPr>
            <w:tcW w:type="dxa" w:w="928"/>
            <w:tcBorders>
              <w:top w:val="single" w:sz="8" w:color="000000"/>
              <w:bottom w:val="single" w:sz="8" w:color="000000"/>
              <w:left w:val="nil"/>
              <w:right w:val="nil"/>
            </w:tcBorders>
          </w:tcPr>
          <w:p>
            <w:pPr>
              <w:spacing w:after="10"/>
            </w:pPr>
            <w:r>
              <w:rPr>
                <w:rFonts w:ascii="Times New Roman" w:hAnsi="Times New Roman"/>
                <w:b/>
                <w:i w:val="0"/>
                <w:sz w:val="15"/>
              </w:rPr>
              <w:t>Accuracy</w:t>
            </w:r>
          </w:p>
        </w:tc>
        <w:tc>
          <w:tcPr>
            <w:tcW w:type="dxa" w:w="1060"/>
            <w:tcBorders>
              <w:top w:val="single" w:sz="8" w:color="000000"/>
              <w:bottom w:val="single" w:sz="8" w:color="000000"/>
              <w:left w:val="nil"/>
              <w:right w:val="nil"/>
            </w:tcBorders>
          </w:tcPr>
          <w:p>
            <w:pPr>
              <w:spacing w:after="10"/>
            </w:pPr>
            <w:r>
              <w:rPr>
                <w:rFonts w:ascii="Times New Roman" w:hAnsi="Times New Roman"/>
                <w:b/>
                <w:i w:val="0"/>
                <w:sz w:val="15"/>
              </w:rPr>
              <w:t>Direction error</w:t>
            </w:r>
          </w:p>
        </w:tc>
      </w:tr>
      <w:tr>
        <w:tc>
          <w:tcPr>
            <w:tcW w:type="dxa" w:w="2121"/>
            <w:tcBorders>
              <w:top w:val="single" w:sz="4" w:color="808080"/>
              <w:bottom w:val="single" w:sz="4" w:color="808080"/>
              <w:left w:val="nil"/>
              <w:right w:val="nil"/>
            </w:tcBorders>
          </w:tcPr>
          <w:p>
            <w:pPr>
              <w:spacing w:after="10"/>
            </w:pPr>
            <w:r>
              <w:rPr>
                <w:rFonts w:ascii="Times New Roman" w:hAnsi="Times New Roman"/>
                <w:b w:val="0"/>
                <w:i w:val="0"/>
                <w:sz w:val="15"/>
              </w:rPr>
              <w:t>move / hold</w:t>
            </w:r>
          </w:p>
        </w:tc>
        <w:tc>
          <w:tcPr>
            <w:tcW w:type="dxa" w:w="596"/>
            <w:tcBorders>
              <w:top w:val="single" w:sz="4" w:color="808080"/>
              <w:bottom w:val="single" w:sz="4" w:color="808080"/>
              <w:left w:val="nil"/>
              <w:right w:val="nil"/>
            </w:tcBorders>
          </w:tcPr>
          <w:p>
            <w:pPr>
              <w:spacing w:after="10"/>
            </w:pPr>
            <w:r>
              <w:rPr>
                <w:rFonts w:ascii="Times New Roman" w:hAnsi="Times New Roman"/>
                <w:b w:val="0"/>
                <w:i w:val="0"/>
                <w:sz w:val="15"/>
              </w:rPr>
              <w:t>2</w:t>
            </w:r>
          </w:p>
        </w:tc>
        <w:tc>
          <w:tcPr>
            <w:tcW w:type="dxa" w:w="928"/>
            <w:tcBorders>
              <w:top w:val="single" w:sz="4" w:color="808080"/>
              <w:bottom w:val="single" w:sz="4" w:color="808080"/>
              <w:left w:val="nil"/>
              <w:right w:val="nil"/>
            </w:tcBorders>
          </w:tcPr>
          <w:p>
            <w:pPr>
              <w:spacing w:after="10"/>
            </w:pPr>
            <w:r>
              <w:rPr>
                <w:rFonts w:ascii="Times New Roman" w:hAnsi="Times New Roman"/>
                <w:b w:val="0"/>
                <w:i w:val="0"/>
                <w:sz w:val="15"/>
              </w:rPr>
              <w:t>85.1%</w:t>
            </w:r>
          </w:p>
        </w:tc>
        <w:tc>
          <w:tcPr>
            <w:tcW w:type="dxa" w:w="1060"/>
            <w:tcBorders>
              <w:top w:val="single" w:sz="4" w:color="808080"/>
              <w:bottom w:val="single" w:sz="4" w:color="808080"/>
              <w:left w:val="nil"/>
              <w:right w:val="nil"/>
            </w:tcBorders>
          </w:tcPr>
          <w:p>
            <w:pPr>
              <w:spacing w:after="10"/>
            </w:pPr>
            <w:r>
              <w:rPr>
                <w:rFonts w:ascii="Times New Roman" w:hAnsi="Times New Roman"/>
                <w:b w:val="0"/>
                <w:i w:val="0"/>
                <w:sz w:val="15"/>
              </w:rPr>
              <w:t>0.00%</w:t>
            </w:r>
          </w:p>
        </w:tc>
      </w:tr>
      <w:tr>
        <w:tc>
          <w:tcPr>
            <w:tcW w:type="dxa" w:w="2121"/>
            <w:tcBorders>
              <w:top w:val="single" w:sz="4" w:color="808080"/>
              <w:bottom w:val="single" w:sz="4" w:color="808080"/>
              <w:left w:val="nil"/>
              <w:right w:val="nil"/>
            </w:tcBorders>
          </w:tcPr>
          <w:p>
            <w:pPr>
              <w:spacing w:after="10"/>
            </w:pPr>
            <w:r>
              <w:rPr>
                <w:rFonts w:ascii="Times New Roman" w:hAnsi="Times New Roman"/>
                <w:b/>
                <w:i w:val="0"/>
                <w:sz w:val="15"/>
              </w:rPr>
              <w:t>move left / move right / hold</w:t>
            </w:r>
          </w:p>
        </w:tc>
        <w:tc>
          <w:tcPr>
            <w:tcW w:type="dxa" w:w="596"/>
            <w:tcBorders>
              <w:top w:val="single" w:sz="4" w:color="808080"/>
              <w:bottom w:val="single" w:sz="4" w:color="808080"/>
              <w:left w:val="nil"/>
              <w:right w:val="nil"/>
            </w:tcBorders>
          </w:tcPr>
          <w:p>
            <w:pPr>
              <w:spacing w:after="10"/>
            </w:pPr>
            <w:r>
              <w:rPr>
                <w:rFonts w:ascii="Times New Roman" w:hAnsi="Times New Roman"/>
                <w:b/>
                <w:i w:val="0"/>
                <w:sz w:val="15"/>
              </w:rPr>
              <w:t>3</w:t>
            </w:r>
          </w:p>
        </w:tc>
        <w:tc>
          <w:tcPr>
            <w:tcW w:type="dxa" w:w="928"/>
            <w:tcBorders>
              <w:top w:val="single" w:sz="4" w:color="808080"/>
              <w:bottom w:val="single" w:sz="4" w:color="808080"/>
              <w:left w:val="nil"/>
              <w:right w:val="nil"/>
            </w:tcBorders>
          </w:tcPr>
          <w:p>
            <w:pPr>
              <w:spacing w:after="10"/>
            </w:pPr>
            <w:r>
              <w:rPr>
                <w:rFonts w:ascii="Times New Roman" w:hAnsi="Times New Roman"/>
                <w:b/>
                <w:i w:val="0"/>
                <w:sz w:val="15"/>
              </w:rPr>
              <w:t>85.0%</w:t>
            </w:r>
          </w:p>
        </w:tc>
        <w:tc>
          <w:tcPr>
            <w:tcW w:type="dxa" w:w="1060"/>
            <w:tcBorders>
              <w:top w:val="single" w:sz="4" w:color="808080"/>
              <w:bottom w:val="single" w:sz="4" w:color="808080"/>
              <w:left w:val="nil"/>
              <w:right w:val="nil"/>
            </w:tcBorders>
          </w:tcPr>
          <w:p>
            <w:pPr>
              <w:spacing w:after="10"/>
            </w:pPr>
            <w:r>
              <w:rPr>
                <w:rFonts w:ascii="Times New Roman" w:hAnsi="Times New Roman"/>
                <w:b/>
                <w:i w:val="0"/>
                <w:sz w:val="15"/>
              </w:rPr>
              <w:t>0.10%</w:t>
            </w:r>
          </w:p>
        </w:tc>
      </w:tr>
      <w:tr>
        <w:tc>
          <w:tcPr>
            <w:tcW w:type="dxa" w:w="2121"/>
            <w:tcBorders>
              <w:top w:val="single" w:sz="4" w:color="808080"/>
              <w:bottom w:val="single" w:sz="4" w:color="808080"/>
              <w:left w:val="nil"/>
              <w:right w:val="nil"/>
            </w:tcBorders>
          </w:tcPr>
          <w:p>
            <w:pPr>
              <w:spacing w:after="10"/>
            </w:pPr>
            <w:r>
              <w:rPr>
                <w:rFonts w:ascii="Times New Roman" w:hAnsi="Times New Roman"/>
                <w:b w:val="0"/>
                <w:i w:val="0"/>
                <w:sz w:val="15"/>
              </w:rPr>
              <w:t>+ two magnitude grades</w:t>
            </w:r>
          </w:p>
        </w:tc>
        <w:tc>
          <w:tcPr>
            <w:tcW w:type="dxa" w:w="596"/>
            <w:tcBorders>
              <w:top w:val="single" w:sz="4" w:color="808080"/>
              <w:bottom w:val="single" w:sz="4" w:color="808080"/>
              <w:left w:val="nil"/>
              <w:right w:val="nil"/>
            </w:tcBorders>
          </w:tcPr>
          <w:p>
            <w:pPr>
              <w:spacing w:after="10"/>
            </w:pPr>
            <w:r>
              <w:rPr>
                <w:rFonts w:ascii="Times New Roman" w:hAnsi="Times New Roman"/>
                <w:b w:val="0"/>
                <w:i w:val="0"/>
                <w:sz w:val="15"/>
              </w:rPr>
              <w:t>5</w:t>
            </w:r>
          </w:p>
        </w:tc>
        <w:tc>
          <w:tcPr>
            <w:tcW w:type="dxa" w:w="928"/>
            <w:tcBorders>
              <w:top w:val="single" w:sz="4" w:color="808080"/>
              <w:bottom w:val="single" w:sz="4" w:color="808080"/>
              <w:left w:val="nil"/>
              <w:right w:val="nil"/>
            </w:tcBorders>
          </w:tcPr>
          <w:p>
            <w:pPr>
              <w:spacing w:after="10"/>
            </w:pPr>
            <w:r>
              <w:rPr>
                <w:rFonts w:ascii="Times New Roman" w:hAnsi="Times New Roman"/>
                <w:b w:val="0"/>
                <w:i w:val="0"/>
                <w:sz w:val="15"/>
              </w:rPr>
              <w:t>76.0%</w:t>
            </w:r>
          </w:p>
        </w:tc>
        <w:tc>
          <w:tcPr>
            <w:tcW w:type="dxa" w:w="1060"/>
            <w:tcBorders>
              <w:top w:val="single" w:sz="4" w:color="808080"/>
              <w:bottom w:val="single" w:sz="4" w:color="808080"/>
              <w:left w:val="nil"/>
              <w:right w:val="nil"/>
            </w:tcBorders>
          </w:tcPr>
          <w:p>
            <w:pPr>
              <w:spacing w:after="10"/>
            </w:pPr>
            <w:r>
              <w:rPr>
                <w:rFonts w:ascii="Times New Roman" w:hAnsi="Times New Roman"/>
                <w:b w:val="0"/>
                <w:i w:val="0"/>
                <w:sz w:val="15"/>
              </w:rPr>
              <w:t>0.11%</w:t>
            </w:r>
          </w:p>
        </w:tc>
      </w:tr>
      <w:tr>
        <w:tc>
          <w:tcPr>
            <w:tcW w:type="dxa" w:w="2121"/>
            <w:tcBorders>
              <w:top w:val="single" w:sz="4" w:color="808080"/>
              <w:bottom w:val="single" w:sz="4" w:color="808080"/>
              <w:left w:val="nil"/>
              <w:right w:val="nil"/>
            </w:tcBorders>
          </w:tcPr>
          <w:p>
            <w:pPr>
              <w:spacing w:after="10"/>
            </w:pPr>
            <w:r>
              <w:rPr>
                <w:rFonts w:ascii="Times New Roman" w:hAnsi="Times New Roman"/>
                <w:b w:val="0"/>
                <w:i w:val="0"/>
                <w:sz w:val="15"/>
              </w:rPr>
              <w:t>+ three magnitude grades</w:t>
            </w:r>
          </w:p>
        </w:tc>
        <w:tc>
          <w:tcPr>
            <w:tcW w:type="dxa" w:w="596"/>
            <w:tcBorders>
              <w:top w:val="single" w:sz="4" w:color="808080"/>
              <w:bottom w:val="single" w:sz="4" w:color="808080"/>
              <w:left w:val="nil"/>
              <w:right w:val="nil"/>
            </w:tcBorders>
          </w:tcPr>
          <w:p>
            <w:pPr>
              <w:spacing w:after="10"/>
            </w:pPr>
            <w:r>
              <w:rPr>
                <w:rFonts w:ascii="Times New Roman" w:hAnsi="Times New Roman"/>
                <w:b w:val="0"/>
                <w:i w:val="0"/>
                <w:sz w:val="15"/>
              </w:rPr>
              <w:t>7</w:t>
            </w:r>
          </w:p>
        </w:tc>
        <w:tc>
          <w:tcPr>
            <w:tcW w:type="dxa" w:w="928"/>
            <w:tcBorders>
              <w:top w:val="single" w:sz="4" w:color="808080"/>
              <w:bottom w:val="single" w:sz="4" w:color="808080"/>
              <w:left w:val="nil"/>
              <w:right w:val="nil"/>
            </w:tcBorders>
          </w:tcPr>
          <w:p>
            <w:pPr>
              <w:spacing w:after="10"/>
            </w:pPr>
            <w:r>
              <w:rPr>
                <w:rFonts w:ascii="Times New Roman" w:hAnsi="Times New Roman"/>
                <w:b w:val="0"/>
                <w:i w:val="0"/>
                <w:sz w:val="15"/>
              </w:rPr>
              <w:t>71.0%</w:t>
            </w:r>
          </w:p>
        </w:tc>
        <w:tc>
          <w:tcPr>
            <w:tcW w:type="dxa" w:w="1060"/>
            <w:tcBorders>
              <w:top w:val="single" w:sz="4" w:color="808080"/>
              <w:bottom w:val="single" w:sz="4" w:color="808080"/>
              <w:left w:val="nil"/>
              <w:right w:val="nil"/>
            </w:tcBorders>
          </w:tcPr>
          <w:p>
            <w:pPr>
              <w:spacing w:after="10"/>
            </w:pPr>
            <w:r>
              <w:rPr>
                <w:rFonts w:ascii="Times New Roman" w:hAnsi="Times New Roman"/>
                <w:b w:val="0"/>
                <w:i w:val="0"/>
                <w:sz w:val="15"/>
              </w:rPr>
              <w:t>0.11%</w:t>
            </w:r>
          </w:p>
        </w:tc>
      </w:tr>
    </w:tbl>
    <w:p>
      <w:pPr>
        <w:spacing w:after="60"/>
      </w:pPr>
    </w:p>
    <w:p>
      <w:pPr>
        <w:spacing w:before="0" w:after="64"/>
        <w:ind w:left="0"/>
        <w:jc w:val="both"/>
      </w:pPr>
      <w:r>
        <w:rPr>
          <w:rFonts w:ascii="Times New Roman" w:hAnsi="Times New Roman"/>
          <w:b w:val="0"/>
          <w:i w:val="0"/>
          <w:sz w:val="19"/>
        </w:rPr>
        <w:t>Each word is a complete instruction to two different readers. To the human operator the vocabulary is displayed or spoken as it stands: it names a direction rather than a number, which is the register in which probe handling is actually taught and corrected. To a robotic probe holder each word is a symbol with a defined condition and axis, so translation into a twist command is a lookup, not an inference (Table 7). The language layer is thus the interface between the two settings: the same judgment drives either operator, and nothing about the pipeline changes when the reader does.</w:t>
      </w:r>
    </w:p>
    <w:p>
      <w:pPr>
        <w:keepNext/>
        <w:spacing w:before="120" w:after="40"/>
      </w:pPr>
      <w:r>
        <w:rPr>
          <w:rFonts w:ascii="Times New Roman" w:hAnsi="Times New Roman"/>
          <w:b/>
          <w:i w:val="0"/>
          <w:sz w:val="15"/>
        </w:rPr>
        <w:t>Table 7.</w:t>
      </w:r>
      <w:r>
        <w:rPr>
          <w:rFonts w:ascii="Times New Roman" w:hAnsi="Times New Roman"/>
          <w:b w:val="0"/>
          <w:i w:val="0"/>
          <w:sz w:val="15"/>
        </w:rPr>
        <w:t xml:space="preserve"> One vocabulary, two readers. The mapping from word to action is fixed in advance on both sides; no model sits between the instruction and its execution.</w:t>
      </w:r>
    </w:p>
    <w:tbl>
      <w:tblPr>
        <w:tblW w:type="auto" w:w="0"/>
        <w:jc w:val="center"/>
        <w:tblLayout w:type="fixed"/>
        <w:tblLook w:firstColumn="1" w:firstRow="1" w:lastColumn="0" w:lastRow="0" w:noHBand="0" w:noVBand="1" w:val="04A0"/>
        <w:tblLayout w:type="fixed"/>
        <w:tblW w:w="4706" w:type="dxa"/>
      </w:tblPr>
      <w:tblGrid>
        <w:gridCol w:w="1327"/>
        <w:gridCol w:w="1689"/>
        <w:gridCol w:w="1689"/>
      </w:tblGrid>
      <w:tr>
        <w:tc>
          <w:tcPr>
            <w:tcW w:type="dxa" w:w="1327"/>
            <w:tcBorders>
              <w:top w:val="single" w:sz="8" w:color="000000"/>
              <w:bottom w:val="single" w:sz="8" w:color="000000"/>
              <w:left w:val="nil"/>
              <w:right w:val="nil"/>
            </w:tcBorders>
          </w:tcPr>
          <w:p>
            <w:pPr>
              <w:spacing w:after="10"/>
            </w:pPr>
            <w:r>
              <w:rPr>
                <w:rFonts w:ascii="Times New Roman" w:hAnsi="Times New Roman"/>
                <w:b/>
                <w:i w:val="0"/>
                <w:sz w:val="15"/>
              </w:rPr>
              <w:t>Instruction</w:t>
            </w:r>
          </w:p>
        </w:tc>
        <w:tc>
          <w:tcPr>
            <w:tcW w:type="dxa" w:w="1689"/>
            <w:tcBorders>
              <w:top w:val="single" w:sz="8" w:color="000000"/>
              <w:bottom w:val="single" w:sz="8" w:color="000000"/>
              <w:left w:val="nil"/>
              <w:right w:val="nil"/>
            </w:tcBorders>
          </w:tcPr>
          <w:p>
            <w:pPr>
              <w:spacing w:after="10"/>
            </w:pPr>
            <w:r>
              <w:rPr>
                <w:rFonts w:ascii="Times New Roman" w:hAnsi="Times New Roman"/>
                <w:b/>
                <w:i w:val="0"/>
                <w:sz w:val="15"/>
              </w:rPr>
              <w:t>Human operator</w:t>
            </w:r>
          </w:p>
        </w:tc>
        <w:tc>
          <w:tcPr>
            <w:tcW w:type="dxa" w:w="1689"/>
            <w:tcBorders>
              <w:top w:val="single" w:sz="8" w:color="000000"/>
              <w:bottom w:val="single" w:sz="8" w:color="000000"/>
              <w:left w:val="nil"/>
              <w:right w:val="nil"/>
            </w:tcBorders>
          </w:tcPr>
          <w:p>
            <w:pPr>
              <w:spacing w:after="10"/>
            </w:pPr>
            <w:r>
              <w:rPr>
                <w:rFonts w:ascii="Times New Roman" w:hAnsi="Times New Roman"/>
                <w:b/>
                <w:i w:val="0"/>
                <w:sz w:val="15"/>
              </w:rPr>
              <w:t>Robotic probe holder</w:t>
            </w:r>
          </w:p>
        </w:tc>
      </w:tr>
      <w:tr>
        <w:tc>
          <w:tcPr>
            <w:tcW w:type="dxa" w:w="1327"/>
            <w:tcBorders>
              <w:top w:val="single" w:sz="4" w:color="808080"/>
              <w:bottom w:val="single" w:sz="4" w:color="808080"/>
              <w:left w:val="nil"/>
              <w:right w:val="nil"/>
            </w:tcBorders>
          </w:tcPr>
          <w:p>
            <w:pPr>
              <w:spacing w:after="10"/>
            </w:pPr>
            <w:r>
              <w:rPr>
                <w:rFonts w:ascii="Times New Roman" w:hAnsi="Times New Roman"/>
                <w:b w:val="0"/>
                <w:i/>
                <w:sz w:val="15"/>
              </w:rPr>
              <w:t>check bladder filling</w:t>
            </w:r>
          </w:p>
        </w:tc>
        <w:tc>
          <w:tcPr>
            <w:tcW w:type="dxa" w:w="1689"/>
            <w:tcBorders>
              <w:top w:val="single" w:sz="4" w:color="808080"/>
              <w:bottom w:val="single" w:sz="4" w:color="808080"/>
              <w:left w:val="nil"/>
              <w:right w:val="nil"/>
            </w:tcBorders>
          </w:tcPr>
          <w:p>
            <w:pPr>
              <w:spacing w:after="10"/>
            </w:pPr>
            <w:r>
              <w:rPr>
                <w:rFonts w:ascii="Times New Roman" w:hAnsi="Times New Roman"/>
                <w:b w:val="0"/>
                <w:i w:val="0"/>
                <w:sz w:val="15"/>
              </w:rPr>
              <w:t>pause; reassess filling before scanning on</w:t>
            </w:r>
          </w:p>
        </w:tc>
        <w:tc>
          <w:tcPr>
            <w:tcW w:type="dxa" w:w="1689"/>
            <w:tcBorders>
              <w:top w:val="single" w:sz="4" w:color="808080"/>
              <w:bottom w:val="single" w:sz="4" w:color="808080"/>
              <w:left w:val="nil"/>
              <w:right w:val="nil"/>
            </w:tcBorders>
          </w:tcPr>
          <w:p>
            <w:pPr>
              <w:spacing w:after="10"/>
            </w:pPr>
            <w:r>
              <w:rPr>
                <w:rFonts w:ascii="Times New Roman" w:hAnsi="Times New Roman"/>
                <w:b w:val="0"/>
                <w:i w:val="0"/>
                <w:sz w:val="15"/>
              </w:rPr>
              <w:t>zero twist; hand control back to the supervisor</w:t>
            </w:r>
          </w:p>
        </w:tc>
      </w:tr>
      <w:tr>
        <w:tc>
          <w:tcPr>
            <w:tcW w:type="dxa" w:w="1327"/>
            <w:tcBorders>
              <w:top w:val="single" w:sz="4" w:color="808080"/>
              <w:bottom w:val="single" w:sz="4" w:color="808080"/>
              <w:left w:val="nil"/>
              <w:right w:val="nil"/>
            </w:tcBorders>
          </w:tcPr>
          <w:p>
            <w:pPr>
              <w:spacing w:after="10"/>
            </w:pPr>
            <w:r>
              <w:rPr>
                <w:rFonts w:ascii="Times New Roman" w:hAnsi="Times New Roman"/>
                <w:b w:val="0"/>
                <w:i/>
                <w:sz w:val="15"/>
              </w:rPr>
              <w:t>move left</w:t>
            </w:r>
            <w:r>
              <w:rPr>
                <w:rFonts w:ascii="Times New Roman" w:hAnsi="Times New Roman"/>
                <w:b w:val="0"/>
                <w:i w:val="0"/>
                <w:sz w:val="15"/>
              </w:rPr>
              <w:t xml:space="preserve"> / </w:t>
            </w:r>
            <w:r>
              <w:rPr>
                <w:rFonts w:ascii="Times New Roman" w:hAnsi="Times New Roman"/>
                <w:b w:val="0"/>
                <w:i/>
                <w:sz w:val="15"/>
              </w:rPr>
              <w:t>move right</w:t>
            </w:r>
          </w:p>
        </w:tc>
        <w:tc>
          <w:tcPr>
            <w:tcW w:type="dxa" w:w="1689"/>
            <w:tcBorders>
              <w:top w:val="single" w:sz="4" w:color="808080"/>
              <w:bottom w:val="single" w:sz="4" w:color="808080"/>
              <w:left w:val="nil"/>
              <w:right w:val="nil"/>
            </w:tcBorders>
          </w:tcPr>
          <w:p>
            <w:pPr>
              <w:spacing w:after="10"/>
            </w:pPr>
            <w:r>
              <w:rPr>
                <w:rFonts w:ascii="Times New Roman" w:hAnsi="Times New Roman"/>
                <w:b w:val="0"/>
                <w:i w:val="0"/>
                <w:sz w:val="15"/>
              </w:rPr>
              <w:t>slide the probe laterally as stated</w:t>
            </w:r>
          </w:p>
        </w:tc>
        <w:tc>
          <w:tcPr>
            <w:tcW w:type="dxa" w:w="1689"/>
            <w:tcBorders>
              <w:top w:val="single" w:sz="4" w:color="808080"/>
              <w:bottom w:val="single" w:sz="4" w:color="808080"/>
              <w:left w:val="nil"/>
              <w:right w:val="nil"/>
            </w:tcBorders>
          </w:tcPr>
          <w:p>
            <w:pPr>
              <w:spacing w:after="10"/>
            </w:pPr>
            <w:r>
              <w:rPr>
                <w:rFonts w:ascii="Times New Roman" w:hAnsi="Times New Roman"/>
                <w:b w:val="0"/>
                <w:i/>
                <w:sz w:val="15"/>
              </w:rPr>
              <w:t>v</w:t>
            </w:r>
            <w:r>
              <w:rPr>
                <w:rFonts w:ascii="Times New Roman" w:hAnsi="Times New Roman"/>
                <w:b w:val="0"/>
                <w:i w:val="0"/>
                <w:sz w:val="15"/>
                <w:vertAlign w:val="subscript"/>
              </w:rPr>
              <w:t>x</w:t>
            </w:r>
            <w:r>
              <w:rPr>
                <w:rFonts w:ascii="Times New Roman" w:hAnsi="Times New Roman"/>
                <w:b w:val="0"/>
                <w:i w:val="0"/>
                <w:sz w:val="15"/>
              </w:rPr>
              <w:t xml:space="preserve"> = −</w:t>
            </w:r>
            <w:r>
              <w:rPr>
                <w:rFonts w:ascii="Times New Roman" w:hAnsi="Times New Roman"/>
                <w:b w:val="0"/>
                <w:i/>
                <w:sz w:val="15"/>
              </w:rPr>
              <w:t>k ê</w:t>
            </w:r>
            <w:r>
              <w:rPr>
                <w:rFonts w:ascii="Times New Roman" w:hAnsi="Times New Roman"/>
                <w:b w:val="0"/>
                <w:i w:val="0"/>
                <w:sz w:val="15"/>
              </w:rPr>
              <w:t>, saturated; other axes zero</w:t>
            </w:r>
          </w:p>
        </w:tc>
      </w:tr>
      <w:tr>
        <w:tc>
          <w:tcPr>
            <w:tcW w:type="dxa" w:w="1327"/>
            <w:tcBorders>
              <w:top w:val="single" w:sz="4" w:color="808080"/>
              <w:bottom w:val="single" w:sz="4" w:color="808080"/>
              <w:left w:val="nil"/>
              <w:right w:val="nil"/>
            </w:tcBorders>
          </w:tcPr>
          <w:p>
            <w:pPr>
              <w:spacing w:after="10"/>
            </w:pPr>
            <w:r>
              <w:rPr>
                <w:rFonts w:ascii="Times New Roman" w:hAnsi="Times New Roman"/>
                <w:b w:val="0"/>
                <w:i/>
                <w:sz w:val="15"/>
              </w:rPr>
              <w:t>hold</w:t>
            </w:r>
          </w:p>
        </w:tc>
        <w:tc>
          <w:tcPr>
            <w:tcW w:type="dxa" w:w="1689"/>
            <w:tcBorders>
              <w:top w:val="single" w:sz="4" w:color="808080"/>
              <w:bottom w:val="single" w:sz="4" w:color="808080"/>
              <w:left w:val="nil"/>
              <w:right w:val="nil"/>
            </w:tcBorders>
          </w:tcPr>
          <w:p>
            <w:pPr>
              <w:spacing w:after="10"/>
            </w:pPr>
            <w:r>
              <w:rPr>
                <w:rFonts w:ascii="Times New Roman" w:hAnsi="Times New Roman"/>
                <w:b w:val="0"/>
                <w:i w:val="0"/>
                <w:sz w:val="15"/>
              </w:rPr>
              <w:t>keep the current pose</w:t>
            </w:r>
          </w:p>
        </w:tc>
        <w:tc>
          <w:tcPr>
            <w:tcW w:type="dxa" w:w="1689"/>
            <w:tcBorders>
              <w:top w:val="single" w:sz="4" w:color="808080"/>
              <w:bottom w:val="single" w:sz="4" w:color="808080"/>
              <w:left w:val="nil"/>
              <w:right w:val="nil"/>
            </w:tcBorders>
          </w:tcPr>
          <w:p>
            <w:pPr>
              <w:spacing w:after="10"/>
            </w:pPr>
            <w:r>
              <w:rPr>
                <w:rFonts w:ascii="Times New Roman" w:hAnsi="Times New Roman"/>
                <w:b w:val="0"/>
                <w:i w:val="0"/>
                <w:sz w:val="15"/>
              </w:rPr>
              <w:t>zero lateral twist; no correction commanded</w:t>
            </w:r>
          </w:p>
        </w:tc>
      </w:tr>
    </w:tbl>
    <w:p>
      <w:pPr>
        <w:spacing w:after="60"/>
      </w:pPr>
    </w:p>
    <w:p>
      <w:pPr>
        <w:keepNext/>
        <w:spacing w:before="90" w:after="40"/>
        <w:ind w:left="0"/>
        <w:jc w:val="left"/>
      </w:pPr>
      <w:r>
        <w:rPr>
          <w:rFonts w:ascii="Times New Roman" w:hAnsi="Times New Roman"/>
          <w:b/>
          <w:i w:val="0"/>
          <w:sz w:val="18"/>
        </w:rPr>
        <w:t>3.5 Accuracy of the Emitted Instruction</w:t>
      </w:r>
    </w:p>
    <w:p>
      <w:pPr>
        <w:spacing w:before="0" w:after="64"/>
        <w:ind w:left="0"/>
        <w:jc w:val="both"/>
      </w:pPr>
      <w:r>
        <w:rPr>
          <w:rFonts w:ascii="Times New Roman" w:hAnsi="Times New Roman"/>
          <w:b w:val="0"/>
          <w:i w:val="0"/>
          <w:sz w:val="19"/>
        </w:rPr>
        <w:t>Figure 3 shows one frame of the sweep at three lateral displacements, including one inside the band where the direction is no longer trustworthy.</w:t>
      </w:r>
    </w:p>
    <w:p>
      <w:pPr>
        <w:sectPr>
          <w:type w:val="continuous"/>
          <w:pgSz w:w="11906" w:h="16838"/>
          <w:pgMar w:top="1077" w:right="1020" w:bottom="1077" w:left="1020" w:header="567" w:footer="567" w:gutter="0"/>
          <w:cols w:space="396" w:num="2"/>
          <w:docGrid w:linePitch="360"/>
        </w:sectPr>
      </w:pPr>
    </w:p>
    <w:p>
      <w:pPr>
        <w:keepNext/>
        <w:spacing w:before="120" w:after="40"/>
        <w:jc w:val="center"/>
      </w:pPr>
      <w:r>
        <w:drawing>
          <wp:inline xmlns:a="http://schemas.openxmlformats.org/drawingml/2006/main" xmlns:pic="http://schemas.openxmlformats.org/drawingml/2006/picture">
            <wp:extent cx="5544000" cy="2187222"/>
            <wp:docPr id="3" name="Picture 3"/>
            <wp:cNvGraphicFramePr>
              <a:graphicFrameLocks noChangeAspect="1"/>
            </wp:cNvGraphicFramePr>
            <a:graphic>
              <a:graphicData uri="http://schemas.openxmlformats.org/drawingml/2006/picture">
                <pic:pic>
                  <pic:nvPicPr>
                    <pic:cNvPr id="0" name="fig_examples.png"/>
                    <pic:cNvPicPr/>
                  </pic:nvPicPr>
                  <pic:blipFill>
                    <a:blip r:embed="rId12"/>
                    <a:stretch>
                      <a:fillRect/>
                    </a:stretch>
                  </pic:blipFill>
                  <pic:spPr>
                    <a:xfrm>
                      <a:off x="0" y="0"/>
                      <a:ext cx="5544000" cy="2187222"/>
                    </a:xfrm>
                    <a:prstGeom prst="rect"/>
                  </pic:spPr>
                </pic:pic>
              </a:graphicData>
            </a:graphic>
          </wp:inline>
        </w:drawing>
      </w:r>
    </w:p>
    <w:p>
      <w:pPr>
        <w:spacing w:after="120"/>
        <w:jc w:val="both"/>
      </w:pPr>
      <w:r>
        <w:rPr>
          <w:rFonts w:ascii="Times New Roman" w:hAnsi="Times New Roman"/>
          <w:b/>
          <w:i w:val="0"/>
          <w:sz w:val="15"/>
        </w:rPr>
        <w:t>Figure 3.</w:t>
      </w:r>
      <w:r>
        <w:rPr>
          <w:rFonts w:ascii="Times New Roman" w:hAnsi="Times New Roman"/>
          <w:b w:val="0"/>
          <w:i w:val="0"/>
          <w:sz w:val="15"/>
        </w:rPr>
        <w:t xml:space="preserve"> One frame at three lateral displacements. Cyan is the annotation, orange dashed the prediction, white dashed the beam axis, the arrow the instruction. At </w:t>
      </w:r>
      <w:r>
        <w:rPr>
          <w:rFonts w:ascii="Times New Roman" w:hAnsi="Times New Roman"/>
          <w:b w:val="0"/>
          <w:i/>
          <w:sz w:val="15"/>
        </w:rPr>
        <w:t>e</w:t>
      </w:r>
      <w:r>
        <w:rPr>
          <w:rFonts w:ascii="Times New Roman" w:hAnsi="Times New Roman"/>
          <w:b w:val="0"/>
          <w:i w:val="0"/>
          <w:sz w:val="15"/>
        </w:rPr>
        <w:t xml:space="preserve"> = +2.1 px the instruction has collapsed to +0.8 px: the loop has entered the band where Equation (2) says the direction is no longer reliable.</w:t>
      </w:r>
    </w:p>
    <w:p>
      <w:pPr>
        <w:sectPr>
          <w:type w:val="continuous"/>
          <w:pgSz w:w="11906" w:h="16838"/>
          <w:pgMar w:top="1077" w:right="1020" w:bottom="1077" w:left="1020" w:header="567" w:footer="567" w:gutter="0"/>
          <w:cols w:space="396" w:num="1"/>
          <w:docGrid w:linePitch="360"/>
        </w:sectPr>
      </w:pPr>
    </w:p>
    <w:p>
      <w:pPr>
        <w:spacing w:before="0" w:after="64"/>
        <w:ind w:left="0"/>
        <w:jc w:val="both"/>
      </w:pPr>
      <w:r>
        <w:rPr>
          <w:rFonts w:ascii="Times New Roman" w:hAnsi="Times New Roman"/>
          <w:b w:val="0"/>
          <w:i w:val="0"/>
          <w:sz w:val="19"/>
        </w:rPr>
        <w:t xml:space="preserve">The instruction agrees with the truth in 93.7% of frames, with a median magnitude error of 3.15 px, a regression slope of 0.993 and </w:t>
      </w:r>
      <w:r>
        <w:rPr>
          <w:rFonts w:ascii="Times New Roman" w:hAnsi="Times New Roman"/>
          <w:b w:val="0"/>
          <w:i/>
          <w:sz w:val="19"/>
        </w:rPr>
        <w:t>r</w:t>
      </w:r>
      <w:r>
        <w:rPr>
          <w:rFonts w:ascii="Times New Roman" w:hAnsi="Times New Roman"/>
          <w:b w:val="0"/>
          <w:i w:val="0"/>
          <w:sz w:val="19"/>
        </w:rPr>
        <w:t xml:space="preserve"> = 0.970. A slope this close to unity means the instruction is correctly scaled and not merely directional. The two held-out frame sets agree to within 0.7 px of median error.</w:t>
      </w:r>
    </w:p>
    <w:p>
      <w:pPr>
        <w:sectPr>
          <w:type w:val="continuous"/>
          <w:pgSz w:w="11906" w:h="16838"/>
          <w:pgMar w:top="1077" w:right="1020" w:bottom="1077" w:left="1020" w:header="567" w:footer="567" w:gutter="0"/>
          <w:cols w:space="396" w:num="2"/>
          <w:docGrid w:linePitch="360"/>
        </w:sectPr>
      </w:pPr>
    </w:p>
    <w:p>
      <w:pPr>
        <w:keepNext/>
        <w:spacing w:before="120" w:after="40"/>
        <w:jc w:val="center"/>
      </w:pPr>
      <w:r>
        <w:drawing>
          <wp:inline xmlns:a="http://schemas.openxmlformats.org/drawingml/2006/main" xmlns:pic="http://schemas.openxmlformats.org/drawingml/2006/picture">
            <wp:extent cx="5472000" cy="2856867"/>
            <wp:docPr id="4" name="Picture 4"/>
            <wp:cNvGraphicFramePr>
              <a:graphicFrameLocks noChangeAspect="1"/>
            </wp:cNvGraphicFramePr>
            <a:graphic>
              <a:graphicData uri="http://schemas.openxmlformats.org/drawingml/2006/picture">
                <pic:pic>
                  <pic:nvPicPr>
                    <pic:cNvPr id="0" name="fig_agreement.png"/>
                    <pic:cNvPicPr/>
                  </pic:nvPicPr>
                  <pic:blipFill>
                    <a:blip r:embed="rId13"/>
                    <a:stretch>
                      <a:fillRect/>
                    </a:stretch>
                  </pic:blipFill>
                  <pic:spPr>
                    <a:xfrm>
                      <a:off x="0" y="0"/>
                      <a:ext cx="5472000" cy="2856867"/>
                    </a:xfrm>
                    <a:prstGeom prst="rect"/>
                  </pic:spPr>
                </pic:pic>
              </a:graphicData>
            </a:graphic>
          </wp:inline>
        </w:drawing>
      </w:r>
    </w:p>
    <w:p>
      <w:pPr>
        <w:spacing w:after="120"/>
        <w:jc w:val="both"/>
      </w:pPr>
      <w:r>
        <w:rPr>
          <w:rFonts w:ascii="Times New Roman" w:hAnsi="Times New Roman"/>
          <w:b/>
          <w:i w:val="0"/>
          <w:sz w:val="15"/>
        </w:rPr>
        <w:t>Figure 4.</w:t>
      </w:r>
      <w:r>
        <w:rPr>
          <w:rFonts w:ascii="Times New Roman" w:hAnsi="Times New Roman"/>
          <w:b w:val="0"/>
          <w:i w:val="0"/>
          <w:sz w:val="15"/>
        </w:rPr>
        <w:t xml:space="preserve"> Instructed against ground-truth lateral displacement, one panel per held-out frame set. Shaded quadrants are wrong-direction outcomes; every one lies within a few pixels of the axis.</w:t>
      </w:r>
    </w:p>
    <w:p>
      <w:pPr>
        <w:sectPr>
          <w:type w:val="continuous"/>
          <w:pgSz w:w="11906" w:h="16838"/>
          <w:pgMar w:top="1077" w:right="1020" w:bottom="1077" w:left="1020" w:header="567" w:footer="567" w:gutter="0"/>
          <w:cols w:space="396" w:num="1"/>
          <w:docGrid w:linePitch="360"/>
        </w:sectPr>
      </w:pPr>
    </w:p>
    <w:p>
      <w:pPr>
        <w:keepNext/>
        <w:spacing w:before="120" w:after="40"/>
      </w:pPr>
      <w:r>
        <w:rPr>
          <w:rFonts w:ascii="Times New Roman" w:hAnsi="Times New Roman"/>
          <w:b/>
          <w:i w:val="0"/>
          <w:sz w:val="15"/>
        </w:rPr>
        <w:t>Table 8.</w:t>
      </w:r>
      <w:r>
        <w:rPr>
          <w:rFonts w:ascii="Times New Roman" w:hAnsi="Times New Roman"/>
          <w:b w:val="0"/>
          <w:i w:val="0"/>
          <w:sz w:val="15"/>
        </w:rPr>
        <w:t xml:space="preserve"> Agreement between the emitted instruction and the truth.</w:t>
      </w:r>
    </w:p>
    <w:tbl>
      <w:tblPr>
        <w:tblW w:type="auto" w:w="0"/>
        <w:jc w:val="center"/>
        <w:tblLayout w:type="fixed"/>
        <w:tblLook w:firstColumn="1" w:firstRow="1" w:lastColumn="0" w:lastRow="0" w:noHBand="0" w:noVBand="1" w:val="04A0"/>
        <w:tblLayout w:type="fixed"/>
        <w:tblW w:w="4706" w:type="dxa"/>
      </w:tblPr>
      <w:tblGrid>
        <w:gridCol w:w="823"/>
        <w:gridCol w:w="588"/>
        <w:gridCol w:w="764"/>
        <w:gridCol w:w="705"/>
        <w:gridCol w:w="705"/>
        <w:gridCol w:w="588"/>
        <w:gridCol w:w="529"/>
      </w:tblGrid>
      <w:tr>
        <w:tc>
          <w:tcPr>
            <w:tcW w:type="dxa" w:w="823"/>
            <w:tcBorders>
              <w:top w:val="single" w:sz="8" w:color="000000"/>
              <w:bottom w:val="single" w:sz="8" w:color="000000"/>
              <w:left w:val="nil"/>
              <w:right w:val="nil"/>
            </w:tcBorders>
          </w:tcPr>
          <w:p>
            <w:pPr>
              <w:spacing w:after="10"/>
            </w:pPr>
            <w:r>
              <w:rPr>
                <w:rFonts w:ascii="Times New Roman" w:hAnsi="Times New Roman"/>
                <w:b/>
                <w:i w:val="0"/>
                <w:sz w:val="15"/>
              </w:rPr>
              <w:t>Frame set</w:t>
            </w:r>
          </w:p>
        </w:tc>
        <w:tc>
          <w:tcPr>
            <w:tcW w:type="dxa" w:w="588"/>
            <w:tcBorders>
              <w:top w:val="single" w:sz="8" w:color="000000"/>
              <w:bottom w:val="single" w:sz="8" w:color="000000"/>
              <w:left w:val="nil"/>
              <w:right w:val="nil"/>
            </w:tcBorders>
          </w:tcPr>
          <w:p>
            <w:pPr>
              <w:spacing w:after="10"/>
            </w:pPr>
            <w:r>
              <w:rPr>
                <w:rFonts w:ascii="Times New Roman" w:hAnsi="Times New Roman"/>
                <w:b/>
                <w:i w:val="0"/>
                <w:sz w:val="15"/>
              </w:rPr>
              <w:t>n</w:t>
            </w:r>
          </w:p>
        </w:tc>
        <w:tc>
          <w:tcPr>
            <w:tcW w:type="dxa" w:w="765"/>
            <w:tcBorders>
              <w:top w:val="single" w:sz="8" w:color="000000"/>
              <w:bottom w:val="single" w:sz="8" w:color="000000"/>
              <w:left w:val="nil"/>
              <w:right w:val="nil"/>
            </w:tcBorders>
          </w:tcPr>
          <w:p>
            <w:pPr>
              <w:spacing w:after="10"/>
            </w:pPr>
            <w:r>
              <w:rPr>
                <w:rFonts w:ascii="Times New Roman" w:hAnsi="Times New Roman"/>
                <w:b/>
                <w:i w:val="0"/>
                <w:sz w:val="15"/>
              </w:rPr>
              <w:t>Sign agr.</w:t>
            </w:r>
          </w:p>
        </w:tc>
        <w:tc>
          <w:tcPr>
            <w:tcW w:type="dxa" w:w="706"/>
            <w:tcBorders>
              <w:top w:val="single" w:sz="8" w:color="000000"/>
              <w:bottom w:val="single" w:sz="8" w:color="000000"/>
              <w:left w:val="nil"/>
              <w:right w:val="nil"/>
            </w:tcBorders>
          </w:tcPr>
          <w:p>
            <w:pPr>
              <w:spacing w:after="10"/>
            </w:pPr>
            <w:r>
              <w:rPr>
                <w:rFonts w:ascii="Times New Roman" w:hAnsi="Times New Roman"/>
                <w:b/>
                <w:i w:val="0"/>
                <w:sz w:val="15"/>
              </w:rPr>
              <w:t>|err| med.</w:t>
            </w:r>
          </w:p>
        </w:tc>
        <w:tc>
          <w:tcPr>
            <w:tcW w:type="dxa" w:w="706"/>
            <w:tcBorders>
              <w:top w:val="single" w:sz="8" w:color="000000"/>
              <w:bottom w:val="single" w:sz="8" w:color="000000"/>
              <w:left w:val="nil"/>
              <w:right w:val="nil"/>
            </w:tcBorders>
          </w:tcPr>
          <w:p>
            <w:pPr>
              <w:spacing w:after="10"/>
            </w:pPr>
            <w:r>
              <w:rPr>
                <w:rFonts w:ascii="Times New Roman" w:hAnsi="Times New Roman"/>
                <w:b/>
                <w:i w:val="0"/>
                <w:sz w:val="15"/>
              </w:rPr>
              <w:t>|err| p90</w:t>
            </w:r>
          </w:p>
        </w:tc>
        <w:tc>
          <w:tcPr>
            <w:tcW w:type="dxa" w:w="588"/>
            <w:tcBorders>
              <w:top w:val="single" w:sz="8" w:color="000000"/>
              <w:bottom w:val="single" w:sz="8" w:color="000000"/>
              <w:left w:val="nil"/>
              <w:right w:val="nil"/>
            </w:tcBorders>
          </w:tcPr>
          <w:p>
            <w:pPr>
              <w:spacing w:after="10"/>
            </w:pPr>
            <w:r>
              <w:rPr>
                <w:rFonts w:ascii="Times New Roman" w:hAnsi="Times New Roman"/>
                <w:b/>
                <w:i w:val="0"/>
                <w:sz w:val="15"/>
              </w:rPr>
              <w:t>Slope</w:t>
            </w:r>
          </w:p>
        </w:tc>
        <w:tc>
          <w:tcPr>
            <w:tcW w:type="dxa" w:w="529"/>
            <w:tcBorders>
              <w:top w:val="single" w:sz="8" w:color="000000"/>
              <w:bottom w:val="single" w:sz="8" w:color="000000"/>
              <w:left w:val="nil"/>
              <w:right w:val="nil"/>
            </w:tcBorders>
          </w:tcPr>
          <w:p>
            <w:pPr>
              <w:spacing w:after="10"/>
            </w:pPr>
            <w:r>
              <w:rPr>
                <w:rFonts w:ascii="Times New Roman" w:hAnsi="Times New Roman"/>
                <w:b/>
                <w:i/>
                <w:sz w:val="15"/>
              </w:rPr>
              <w:t>r</w:t>
            </w:r>
          </w:p>
        </w:tc>
      </w:tr>
      <w:tr>
        <w:tc>
          <w:tcPr>
            <w:tcW w:type="dxa" w:w="823"/>
            <w:tcBorders>
              <w:top w:val="single" w:sz="4" w:color="808080"/>
              <w:bottom w:val="single" w:sz="4" w:color="808080"/>
              <w:left w:val="nil"/>
              <w:right w:val="nil"/>
            </w:tcBorders>
          </w:tcPr>
          <w:p>
            <w:pPr>
              <w:spacing w:after="10"/>
            </w:pPr>
            <w:r>
              <w:rPr>
                <w:rFonts w:ascii="Times New Roman" w:hAnsi="Times New Roman"/>
                <w:b w:val="0"/>
                <w:i w:val="0"/>
                <w:sz w:val="15"/>
              </w:rPr>
              <w:t>val</w:t>
            </w:r>
          </w:p>
        </w:tc>
        <w:tc>
          <w:tcPr>
            <w:tcW w:type="dxa" w:w="588"/>
            <w:tcBorders>
              <w:top w:val="single" w:sz="4" w:color="808080"/>
              <w:bottom w:val="single" w:sz="4" w:color="808080"/>
              <w:left w:val="nil"/>
              <w:right w:val="nil"/>
            </w:tcBorders>
          </w:tcPr>
          <w:p>
            <w:pPr>
              <w:spacing w:after="10"/>
            </w:pPr>
            <w:r>
              <w:rPr>
                <w:rFonts w:ascii="Times New Roman" w:hAnsi="Times New Roman"/>
                <w:b w:val="0"/>
                <w:i w:val="0"/>
                <w:sz w:val="15"/>
              </w:rPr>
              <w:t>968</w:t>
            </w:r>
          </w:p>
        </w:tc>
        <w:tc>
          <w:tcPr>
            <w:tcW w:type="dxa" w:w="765"/>
            <w:tcBorders>
              <w:top w:val="single" w:sz="4" w:color="808080"/>
              <w:bottom w:val="single" w:sz="4" w:color="808080"/>
              <w:left w:val="nil"/>
              <w:right w:val="nil"/>
            </w:tcBorders>
          </w:tcPr>
          <w:p>
            <w:pPr>
              <w:spacing w:after="10"/>
            </w:pPr>
            <w:r>
              <w:rPr>
                <w:rFonts w:ascii="Times New Roman" w:hAnsi="Times New Roman"/>
                <w:b w:val="0"/>
                <w:i w:val="0"/>
                <w:sz w:val="15"/>
              </w:rPr>
              <w:t>93.8%</w:t>
            </w:r>
          </w:p>
        </w:tc>
        <w:tc>
          <w:tcPr>
            <w:tcW w:type="dxa" w:w="706"/>
            <w:tcBorders>
              <w:top w:val="single" w:sz="4" w:color="808080"/>
              <w:bottom w:val="single" w:sz="4" w:color="808080"/>
              <w:left w:val="nil"/>
              <w:right w:val="nil"/>
            </w:tcBorders>
          </w:tcPr>
          <w:p>
            <w:pPr>
              <w:spacing w:after="10"/>
            </w:pPr>
            <w:r>
              <w:rPr>
                <w:rFonts w:ascii="Times New Roman" w:hAnsi="Times New Roman"/>
                <w:b w:val="0"/>
                <w:i w:val="0"/>
                <w:sz w:val="15"/>
              </w:rPr>
              <w:t>2.76</w:t>
            </w:r>
          </w:p>
        </w:tc>
        <w:tc>
          <w:tcPr>
            <w:tcW w:type="dxa" w:w="706"/>
            <w:tcBorders>
              <w:top w:val="single" w:sz="4" w:color="808080"/>
              <w:bottom w:val="single" w:sz="4" w:color="808080"/>
              <w:left w:val="nil"/>
              <w:right w:val="nil"/>
            </w:tcBorders>
          </w:tcPr>
          <w:p>
            <w:pPr>
              <w:spacing w:after="10"/>
            </w:pPr>
            <w:r>
              <w:rPr>
                <w:rFonts w:ascii="Times New Roman" w:hAnsi="Times New Roman"/>
                <w:b w:val="0"/>
                <w:i w:val="0"/>
                <w:sz w:val="15"/>
              </w:rPr>
              <w:t>7.35</w:t>
            </w:r>
          </w:p>
        </w:tc>
        <w:tc>
          <w:tcPr>
            <w:tcW w:type="dxa" w:w="588"/>
            <w:tcBorders>
              <w:top w:val="single" w:sz="4" w:color="808080"/>
              <w:bottom w:val="single" w:sz="4" w:color="808080"/>
              <w:left w:val="nil"/>
              <w:right w:val="nil"/>
            </w:tcBorders>
          </w:tcPr>
          <w:p>
            <w:pPr>
              <w:spacing w:after="10"/>
            </w:pPr>
            <w:r>
              <w:rPr>
                <w:rFonts w:ascii="Times New Roman" w:hAnsi="Times New Roman"/>
                <w:b w:val="0"/>
                <w:i w:val="0"/>
                <w:sz w:val="15"/>
              </w:rPr>
              <w:t>0.995</w:t>
            </w:r>
          </w:p>
        </w:tc>
        <w:tc>
          <w:tcPr>
            <w:tcW w:type="dxa" w:w="529"/>
            <w:tcBorders>
              <w:top w:val="single" w:sz="4" w:color="808080"/>
              <w:bottom w:val="single" w:sz="4" w:color="808080"/>
              <w:left w:val="nil"/>
              <w:right w:val="nil"/>
            </w:tcBorders>
          </w:tcPr>
          <w:p>
            <w:pPr>
              <w:spacing w:after="10"/>
            </w:pPr>
            <w:r>
              <w:rPr>
                <w:rFonts w:ascii="Times New Roman" w:hAnsi="Times New Roman"/>
                <w:b w:val="0"/>
                <w:i w:val="0"/>
                <w:sz w:val="15"/>
              </w:rPr>
              <w:t>0.975</w:t>
            </w:r>
          </w:p>
        </w:tc>
      </w:tr>
      <w:tr>
        <w:tc>
          <w:tcPr>
            <w:tcW w:type="dxa" w:w="823"/>
            <w:tcBorders>
              <w:top w:val="single" w:sz="4" w:color="808080"/>
              <w:bottom w:val="single" w:sz="4" w:color="808080"/>
              <w:left w:val="nil"/>
              <w:right w:val="nil"/>
            </w:tcBorders>
          </w:tcPr>
          <w:p>
            <w:pPr>
              <w:spacing w:after="10"/>
            </w:pPr>
            <w:r>
              <w:rPr>
                <w:rFonts w:ascii="Times New Roman" w:hAnsi="Times New Roman"/>
                <w:b w:val="0"/>
                <w:i w:val="0"/>
                <w:sz w:val="15"/>
              </w:rPr>
              <w:t>test</w:t>
            </w:r>
          </w:p>
        </w:tc>
        <w:tc>
          <w:tcPr>
            <w:tcW w:type="dxa" w:w="588"/>
            <w:tcBorders>
              <w:top w:val="single" w:sz="4" w:color="808080"/>
              <w:bottom w:val="single" w:sz="4" w:color="808080"/>
              <w:left w:val="nil"/>
              <w:right w:val="nil"/>
            </w:tcBorders>
          </w:tcPr>
          <w:p>
            <w:pPr>
              <w:spacing w:after="10"/>
            </w:pPr>
            <w:r>
              <w:rPr>
                <w:rFonts w:ascii="Times New Roman" w:hAnsi="Times New Roman"/>
                <w:b w:val="0"/>
                <w:i w:val="0"/>
                <w:sz w:val="15"/>
              </w:rPr>
              <w:t>968</w:t>
            </w:r>
          </w:p>
        </w:tc>
        <w:tc>
          <w:tcPr>
            <w:tcW w:type="dxa" w:w="765"/>
            <w:tcBorders>
              <w:top w:val="single" w:sz="4" w:color="808080"/>
              <w:bottom w:val="single" w:sz="4" w:color="808080"/>
              <w:left w:val="nil"/>
              <w:right w:val="nil"/>
            </w:tcBorders>
          </w:tcPr>
          <w:p>
            <w:pPr>
              <w:spacing w:after="10"/>
            </w:pPr>
            <w:r>
              <w:rPr>
                <w:rFonts w:ascii="Times New Roman" w:hAnsi="Times New Roman"/>
                <w:b w:val="0"/>
                <w:i w:val="0"/>
                <w:sz w:val="15"/>
              </w:rPr>
              <w:t>93.6%</w:t>
            </w:r>
          </w:p>
        </w:tc>
        <w:tc>
          <w:tcPr>
            <w:tcW w:type="dxa" w:w="706"/>
            <w:tcBorders>
              <w:top w:val="single" w:sz="4" w:color="808080"/>
              <w:bottom w:val="single" w:sz="4" w:color="808080"/>
              <w:left w:val="nil"/>
              <w:right w:val="nil"/>
            </w:tcBorders>
          </w:tcPr>
          <w:p>
            <w:pPr>
              <w:spacing w:after="10"/>
            </w:pPr>
            <w:r>
              <w:rPr>
                <w:rFonts w:ascii="Times New Roman" w:hAnsi="Times New Roman"/>
                <w:b w:val="0"/>
                <w:i w:val="0"/>
                <w:sz w:val="15"/>
              </w:rPr>
              <w:t>3.44</w:t>
            </w:r>
          </w:p>
        </w:tc>
        <w:tc>
          <w:tcPr>
            <w:tcW w:type="dxa" w:w="706"/>
            <w:tcBorders>
              <w:top w:val="single" w:sz="4" w:color="808080"/>
              <w:bottom w:val="single" w:sz="4" w:color="808080"/>
              <w:left w:val="nil"/>
              <w:right w:val="nil"/>
            </w:tcBorders>
          </w:tcPr>
          <w:p>
            <w:pPr>
              <w:spacing w:after="10"/>
            </w:pPr>
            <w:r>
              <w:rPr>
                <w:rFonts w:ascii="Times New Roman" w:hAnsi="Times New Roman"/>
                <w:b w:val="0"/>
                <w:i w:val="0"/>
                <w:sz w:val="15"/>
              </w:rPr>
              <w:t>6.95</w:t>
            </w:r>
          </w:p>
        </w:tc>
        <w:tc>
          <w:tcPr>
            <w:tcW w:type="dxa" w:w="588"/>
            <w:tcBorders>
              <w:top w:val="single" w:sz="4" w:color="808080"/>
              <w:bottom w:val="single" w:sz="4" w:color="808080"/>
              <w:left w:val="nil"/>
              <w:right w:val="nil"/>
            </w:tcBorders>
          </w:tcPr>
          <w:p>
            <w:pPr>
              <w:spacing w:after="10"/>
            </w:pPr>
            <w:r>
              <w:rPr>
                <w:rFonts w:ascii="Times New Roman" w:hAnsi="Times New Roman"/>
                <w:b w:val="0"/>
                <w:i w:val="0"/>
                <w:sz w:val="15"/>
              </w:rPr>
              <w:t>0.991</w:t>
            </w:r>
          </w:p>
        </w:tc>
        <w:tc>
          <w:tcPr>
            <w:tcW w:type="dxa" w:w="529"/>
            <w:tcBorders>
              <w:top w:val="single" w:sz="4" w:color="808080"/>
              <w:bottom w:val="single" w:sz="4" w:color="808080"/>
              <w:left w:val="nil"/>
              <w:right w:val="nil"/>
            </w:tcBorders>
          </w:tcPr>
          <w:p>
            <w:pPr>
              <w:spacing w:after="10"/>
            </w:pPr>
            <w:r>
              <w:rPr>
                <w:rFonts w:ascii="Times New Roman" w:hAnsi="Times New Roman"/>
                <w:b w:val="0"/>
                <w:i w:val="0"/>
                <w:sz w:val="15"/>
              </w:rPr>
              <w:t>0.965</w:t>
            </w:r>
          </w:p>
        </w:tc>
      </w:tr>
      <w:tr>
        <w:tc>
          <w:tcPr>
            <w:tcW w:type="dxa" w:w="823"/>
            <w:tcBorders>
              <w:top w:val="single" w:sz="4" w:color="808080"/>
              <w:bottom w:val="single" w:sz="4" w:color="808080"/>
              <w:left w:val="nil"/>
              <w:right w:val="nil"/>
            </w:tcBorders>
          </w:tcPr>
          <w:p>
            <w:pPr>
              <w:spacing w:after="10"/>
            </w:pPr>
            <w:r>
              <w:rPr>
                <w:rFonts w:ascii="Times New Roman" w:hAnsi="Times New Roman"/>
                <w:b w:val="0"/>
                <w:i w:val="0"/>
                <w:sz w:val="15"/>
              </w:rPr>
              <w:t>pooled</w:t>
            </w:r>
          </w:p>
        </w:tc>
        <w:tc>
          <w:tcPr>
            <w:tcW w:type="dxa" w:w="588"/>
            <w:tcBorders>
              <w:top w:val="single" w:sz="4" w:color="808080"/>
              <w:bottom w:val="single" w:sz="4" w:color="808080"/>
              <w:left w:val="nil"/>
              <w:right w:val="nil"/>
            </w:tcBorders>
          </w:tcPr>
          <w:p>
            <w:pPr>
              <w:spacing w:after="10"/>
            </w:pPr>
            <w:r>
              <w:rPr>
                <w:rFonts w:ascii="Times New Roman" w:hAnsi="Times New Roman"/>
                <w:b w:val="0"/>
                <w:i w:val="0"/>
                <w:sz w:val="15"/>
              </w:rPr>
              <w:t>1,936</w:t>
            </w:r>
          </w:p>
        </w:tc>
        <w:tc>
          <w:tcPr>
            <w:tcW w:type="dxa" w:w="765"/>
            <w:tcBorders>
              <w:top w:val="single" w:sz="4" w:color="808080"/>
              <w:bottom w:val="single" w:sz="4" w:color="808080"/>
              <w:left w:val="nil"/>
              <w:right w:val="nil"/>
            </w:tcBorders>
          </w:tcPr>
          <w:p>
            <w:pPr>
              <w:spacing w:after="10"/>
            </w:pPr>
            <w:r>
              <w:rPr>
                <w:rFonts w:ascii="Times New Roman" w:hAnsi="Times New Roman"/>
                <w:b w:val="0"/>
                <w:i w:val="0"/>
                <w:sz w:val="15"/>
              </w:rPr>
              <w:t>93.7%</w:t>
            </w:r>
          </w:p>
        </w:tc>
        <w:tc>
          <w:tcPr>
            <w:tcW w:type="dxa" w:w="706"/>
            <w:tcBorders>
              <w:top w:val="single" w:sz="4" w:color="808080"/>
              <w:bottom w:val="single" w:sz="4" w:color="808080"/>
              <w:left w:val="nil"/>
              <w:right w:val="nil"/>
            </w:tcBorders>
          </w:tcPr>
          <w:p>
            <w:pPr>
              <w:spacing w:after="10"/>
            </w:pPr>
            <w:r>
              <w:rPr>
                <w:rFonts w:ascii="Times New Roman" w:hAnsi="Times New Roman"/>
                <w:b w:val="0"/>
                <w:i w:val="0"/>
                <w:sz w:val="15"/>
              </w:rPr>
              <w:t>3.15</w:t>
            </w:r>
          </w:p>
        </w:tc>
        <w:tc>
          <w:tcPr>
            <w:tcW w:type="dxa" w:w="706"/>
            <w:tcBorders>
              <w:top w:val="single" w:sz="4" w:color="808080"/>
              <w:bottom w:val="single" w:sz="4" w:color="808080"/>
              <w:left w:val="nil"/>
              <w:right w:val="nil"/>
            </w:tcBorders>
          </w:tcPr>
          <w:p>
            <w:pPr>
              <w:spacing w:after="10"/>
            </w:pPr>
            <w:r>
              <w:rPr>
                <w:rFonts w:ascii="Times New Roman" w:hAnsi="Times New Roman"/>
                <w:b w:val="0"/>
                <w:i w:val="0"/>
                <w:sz w:val="15"/>
              </w:rPr>
              <w:t>7.24</w:t>
            </w:r>
          </w:p>
        </w:tc>
        <w:tc>
          <w:tcPr>
            <w:tcW w:type="dxa" w:w="588"/>
            <w:tcBorders>
              <w:top w:val="single" w:sz="4" w:color="808080"/>
              <w:bottom w:val="single" w:sz="4" w:color="808080"/>
              <w:left w:val="nil"/>
              <w:right w:val="nil"/>
            </w:tcBorders>
          </w:tcPr>
          <w:p>
            <w:pPr>
              <w:spacing w:after="10"/>
            </w:pPr>
            <w:r>
              <w:rPr>
                <w:rFonts w:ascii="Times New Roman" w:hAnsi="Times New Roman"/>
                <w:b w:val="0"/>
                <w:i w:val="0"/>
                <w:sz w:val="15"/>
              </w:rPr>
              <w:t>0.993</w:t>
            </w:r>
          </w:p>
        </w:tc>
        <w:tc>
          <w:tcPr>
            <w:tcW w:type="dxa" w:w="529"/>
            <w:tcBorders>
              <w:top w:val="single" w:sz="4" w:color="808080"/>
              <w:bottom w:val="single" w:sz="4" w:color="808080"/>
              <w:left w:val="nil"/>
              <w:right w:val="nil"/>
            </w:tcBorders>
          </w:tcPr>
          <w:p>
            <w:pPr>
              <w:spacing w:after="10"/>
            </w:pPr>
            <w:r>
              <w:rPr>
                <w:rFonts w:ascii="Times New Roman" w:hAnsi="Times New Roman"/>
                <w:b w:val="0"/>
                <w:i w:val="0"/>
                <w:sz w:val="15"/>
              </w:rPr>
              <w:t>0.970</w:t>
            </w:r>
          </w:p>
        </w:tc>
      </w:tr>
    </w:tbl>
    <w:p>
      <w:pPr>
        <w:spacing w:after="60"/>
      </w:pPr>
    </w:p>
    <w:p>
      <w:pPr>
        <w:spacing w:before="0" w:after="64"/>
        <w:ind w:left="0"/>
        <w:jc w:val="both"/>
      </w:pPr>
      <w:r>
        <w:rPr>
          <w:rFonts w:ascii="Times New Roman" w:hAnsi="Times New Roman"/>
          <w:b/>
          <w:i w:val="0"/>
          <w:sz w:val="19"/>
        </w:rPr>
        <w:t>The result is not that percentage but the shape of its failure.</w:t>
      </w:r>
      <w:r>
        <w:rPr>
          <w:rFonts w:ascii="Times New Roman" w:hAnsi="Times New Roman"/>
          <w:b w:val="0"/>
          <w:i w:val="0"/>
          <w:sz w:val="19"/>
        </w:rPr>
        <w:t xml:space="preserve"> Wrong directions occur only near the axis — their median required displacement is 7.9 px against 15.8 px for correct ones — and their rate follows Equation (2) with </w:t>
      </w:r>
      <w:r>
        <w:rPr>
          <w:rFonts w:ascii="Times New Roman" w:hAnsi="Times New Roman"/>
          <w:b w:val="0"/>
          <w:i/>
          <w:sz w:val="19"/>
        </w:rPr>
        <w:t>σ</w:t>
      </w:r>
      <w:r>
        <w:rPr>
          <w:rFonts w:ascii="Times New Roman" w:hAnsi="Times New Roman"/>
          <w:b w:val="0"/>
          <w:i w:val="0"/>
          <w:sz w:val="19"/>
        </w:rPr>
        <w:t xml:space="preserve"> fitted once to the centroid error and not to this curve (Figure 5, Table 9). Agreement across two decades of error rate is what licenses deriving the vocabulary boundary from the model rather than reading it off the data.</w:t>
      </w:r>
    </w:p>
    <w:p>
      <w:pPr>
        <w:sectPr>
          <w:type w:val="continuous"/>
          <w:pgSz w:w="11906" w:h="16838"/>
          <w:pgMar w:top="1077" w:right="1020" w:bottom="1077" w:left="1020" w:header="567" w:footer="567" w:gutter="0"/>
          <w:cols w:space="396" w:num="2"/>
          <w:docGrid w:linePitch="360"/>
        </w:sectPr>
      </w:pPr>
    </w:p>
    <w:p>
      <w:pPr>
        <w:keepNext/>
        <w:spacing w:before="120" w:after="40"/>
        <w:jc w:val="center"/>
      </w:pPr>
      <w:r>
        <w:drawing>
          <wp:inline xmlns:a="http://schemas.openxmlformats.org/drawingml/2006/main" xmlns:pic="http://schemas.openxmlformats.org/drawingml/2006/picture">
            <wp:extent cx="5472000" cy="2457674"/>
            <wp:docPr id="5" name="Picture 5"/>
            <wp:cNvGraphicFramePr>
              <a:graphicFrameLocks noChangeAspect="1"/>
            </wp:cNvGraphicFramePr>
            <a:graphic>
              <a:graphicData uri="http://schemas.openxmlformats.org/drawingml/2006/picture">
                <pic:pic>
                  <pic:nvPicPr>
                    <pic:cNvPr id="0" name="fig_validity.png"/>
                    <pic:cNvPicPr/>
                  </pic:nvPicPr>
                  <pic:blipFill>
                    <a:blip r:embed="rId14"/>
                    <a:stretch>
                      <a:fillRect/>
                    </a:stretch>
                  </pic:blipFill>
                  <pic:spPr>
                    <a:xfrm>
                      <a:off x="0" y="0"/>
                      <a:ext cx="5472000" cy="2457674"/>
                    </a:xfrm>
                    <a:prstGeom prst="rect"/>
                  </pic:spPr>
                </pic:pic>
              </a:graphicData>
            </a:graphic>
          </wp:inline>
        </w:drawing>
      </w:r>
    </w:p>
    <w:p>
      <w:pPr>
        <w:spacing w:after="120"/>
        <w:jc w:val="both"/>
      </w:pPr>
      <w:r>
        <w:rPr>
          <w:rFonts w:ascii="Times New Roman" w:hAnsi="Times New Roman"/>
          <w:b/>
          <w:i w:val="0"/>
          <w:sz w:val="15"/>
        </w:rPr>
        <w:t>Figure 5.</w:t>
      </w:r>
      <w:r>
        <w:rPr>
          <w:rFonts w:ascii="Times New Roman" w:hAnsi="Times New Roman"/>
          <w:b w:val="0"/>
          <w:i w:val="0"/>
          <w:sz w:val="15"/>
        </w:rPr>
        <w:t xml:space="preserve"> Wrong-direction rate against required displacement. The curve is Equation (2); circles are observed rates with frame counts. Dashed verticals mark where the modelled rate reaches 5% and 1%.</w:t>
      </w:r>
    </w:p>
    <w:p>
      <w:pPr>
        <w:sectPr>
          <w:type w:val="continuous"/>
          <w:pgSz w:w="11906" w:h="16838"/>
          <w:pgMar w:top="1077" w:right="1020" w:bottom="1077" w:left="1020" w:header="567" w:footer="567" w:gutter="0"/>
          <w:cols w:space="396" w:num="1"/>
          <w:docGrid w:linePitch="360"/>
        </w:sectPr>
      </w:pPr>
    </w:p>
    <w:p>
      <w:pPr>
        <w:keepNext/>
        <w:spacing w:before="120" w:after="40"/>
      </w:pPr>
      <w:r>
        <w:rPr>
          <w:rFonts w:ascii="Times New Roman" w:hAnsi="Times New Roman"/>
          <w:b/>
          <w:i w:val="0"/>
          <w:sz w:val="15"/>
        </w:rPr>
        <w:t>Table 9.</w:t>
      </w:r>
      <w:r>
        <w:rPr>
          <w:rFonts w:ascii="Times New Roman" w:hAnsi="Times New Roman"/>
          <w:b w:val="0"/>
          <w:i w:val="0"/>
          <w:sz w:val="15"/>
        </w:rPr>
        <w:t xml:space="preserve"> Observed and modelled wrong-direction rates. The model is conservative in the largest bins, where it predicts rates below what a few hundred frames resolve.</w:t>
      </w:r>
    </w:p>
    <w:tbl>
      <w:tblPr>
        <w:tblW w:type="auto" w:w="0"/>
        <w:jc w:val="center"/>
        <w:tblLayout w:type="fixed"/>
        <w:tblLook w:firstColumn="1" w:firstRow="1" w:lastColumn="0" w:lastRow="0" w:noHBand="0" w:noVBand="1" w:val="04A0"/>
        <w:tblLayout w:type="fixed"/>
        <w:tblW w:w="4706" w:type="dxa"/>
      </w:tblPr>
      <w:tblGrid>
        <w:gridCol w:w="1212"/>
        <w:gridCol w:w="926"/>
        <w:gridCol w:w="1354"/>
        <w:gridCol w:w="1212"/>
      </w:tblGrid>
      <w:tr>
        <w:tc>
          <w:tcPr>
            <w:tcW w:type="dxa" w:w="1212"/>
            <w:tcBorders>
              <w:top w:val="single" w:sz="8" w:color="000000"/>
              <w:bottom w:val="single" w:sz="8" w:color="000000"/>
              <w:left w:val="nil"/>
              <w:right w:val="nil"/>
            </w:tcBorders>
          </w:tcPr>
          <w:p>
            <w:pPr>
              <w:spacing w:after="10"/>
            </w:pPr>
            <w:r>
              <w:rPr>
                <w:rFonts w:ascii="Times New Roman" w:hAnsi="Times New Roman"/>
                <w:b/>
                <w:i w:val="0"/>
                <w:sz w:val="15"/>
              </w:rPr>
              <w:t>|</w:t>
            </w:r>
            <w:r>
              <w:rPr>
                <w:rFonts w:ascii="Times New Roman" w:hAnsi="Times New Roman"/>
                <w:b/>
                <w:i/>
                <w:sz w:val="15"/>
              </w:rPr>
              <w:t>e</w:t>
            </w:r>
            <w:r>
              <w:rPr>
                <w:rFonts w:ascii="Times New Roman" w:hAnsi="Times New Roman"/>
                <w:b/>
                <w:i w:val="0"/>
                <w:sz w:val="15"/>
              </w:rPr>
              <w:t>| [px]</w:t>
            </w:r>
          </w:p>
        </w:tc>
        <w:tc>
          <w:tcPr>
            <w:tcW w:type="dxa" w:w="927"/>
            <w:tcBorders>
              <w:top w:val="single" w:sz="8" w:color="000000"/>
              <w:bottom w:val="single" w:sz="8" w:color="000000"/>
              <w:left w:val="nil"/>
              <w:right w:val="nil"/>
            </w:tcBorders>
          </w:tcPr>
          <w:p>
            <w:pPr>
              <w:spacing w:after="10"/>
            </w:pPr>
            <w:r>
              <w:rPr>
                <w:rFonts w:ascii="Times New Roman" w:hAnsi="Times New Roman"/>
                <w:b/>
                <w:i w:val="0"/>
                <w:sz w:val="15"/>
              </w:rPr>
              <w:t>n</w:t>
            </w:r>
          </w:p>
        </w:tc>
        <w:tc>
          <w:tcPr>
            <w:tcW w:type="dxa" w:w="1355"/>
            <w:tcBorders>
              <w:top w:val="single" w:sz="8" w:color="000000"/>
              <w:bottom w:val="single" w:sz="8" w:color="000000"/>
              <w:left w:val="nil"/>
              <w:right w:val="nil"/>
            </w:tcBorders>
          </w:tcPr>
          <w:p>
            <w:pPr>
              <w:spacing w:after="10"/>
            </w:pPr>
            <w:r>
              <w:rPr>
                <w:rFonts w:ascii="Times New Roman" w:hAnsi="Times New Roman"/>
                <w:b/>
                <w:i w:val="0"/>
                <w:sz w:val="15"/>
              </w:rPr>
              <w:t>Observed</w:t>
            </w:r>
          </w:p>
        </w:tc>
        <w:tc>
          <w:tcPr>
            <w:tcW w:type="dxa" w:w="1212"/>
            <w:tcBorders>
              <w:top w:val="single" w:sz="8" w:color="000000"/>
              <w:bottom w:val="single" w:sz="8" w:color="000000"/>
              <w:left w:val="nil"/>
              <w:right w:val="nil"/>
            </w:tcBorders>
          </w:tcPr>
          <w:p>
            <w:pPr>
              <w:spacing w:after="10"/>
            </w:pPr>
            <w:r>
              <w:rPr>
                <w:rFonts w:ascii="Times New Roman" w:hAnsi="Times New Roman"/>
                <w:b/>
                <w:i w:val="0"/>
                <w:sz w:val="15"/>
              </w:rPr>
              <w:t>Model</w:t>
            </w:r>
          </w:p>
        </w:tc>
      </w:tr>
      <w:tr>
        <w:tc>
          <w:tcPr>
            <w:tcW w:type="dxa" w:w="1212"/>
            <w:tcBorders>
              <w:top w:val="single" w:sz="4" w:color="808080"/>
              <w:bottom w:val="single" w:sz="4" w:color="808080"/>
              <w:left w:val="nil"/>
              <w:right w:val="nil"/>
            </w:tcBorders>
          </w:tcPr>
          <w:p>
            <w:pPr>
              <w:spacing w:after="10"/>
            </w:pPr>
            <w:r>
              <w:rPr>
                <w:rFonts w:ascii="Times New Roman" w:hAnsi="Times New Roman"/>
                <w:b w:val="0"/>
                <w:i w:val="0"/>
                <w:sz w:val="15"/>
              </w:rPr>
              <w:t>0–3</w:t>
            </w:r>
          </w:p>
        </w:tc>
        <w:tc>
          <w:tcPr>
            <w:tcW w:type="dxa" w:w="927"/>
            <w:tcBorders>
              <w:top w:val="single" w:sz="4" w:color="808080"/>
              <w:bottom w:val="single" w:sz="4" w:color="808080"/>
              <w:left w:val="nil"/>
              <w:right w:val="nil"/>
            </w:tcBorders>
          </w:tcPr>
          <w:p>
            <w:pPr>
              <w:spacing w:after="10"/>
            </w:pPr>
            <w:r>
              <w:rPr>
                <w:rFonts w:ascii="Times New Roman" w:hAnsi="Times New Roman"/>
                <w:b w:val="0"/>
                <w:i w:val="0"/>
                <w:sz w:val="15"/>
              </w:rPr>
              <w:t>176</w:t>
            </w:r>
          </w:p>
        </w:tc>
        <w:tc>
          <w:tcPr>
            <w:tcW w:type="dxa" w:w="1355"/>
            <w:tcBorders>
              <w:top w:val="single" w:sz="4" w:color="808080"/>
              <w:bottom w:val="single" w:sz="4" w:color="808080"/>
              <w:left w:val="nil"/>
              <w:right w:val="nil"/>
            </w:tcBorders>
          </w:tcPr>
          <w:p>
            <w:pPr>
              <w:spacing w:after="10"/>
            </w:pPr>
            <w:r>
              <w:rPr>
                <w:rFonts w:ascii="Times New Roman" w:hAnsi="Times New Roman"/>
                <w:b w:val="0"/>
                <w:i w:val="0"/>
                <w:sz w:val="15"/>
              </w:rPr>
              <w:t>33.5%</w:t>
            </w:r>
          </w:p>
        </w:tc>
        <w:tc>
          <w:tcPr>
            <w:tcW w:type="dxa" w:w="1212"/>
            <w:tcBorders>
              <w:top w:val="single" w:sz="4" w:color="808080"/>
              <w:bottom w:val="single" w:sz="4" w:color="808080"/>
              <w:left w:val="nil"/>
              <w:right w:val="nil"/>
            </w:tcBorders>
          </w:tcPr>
          <w:p>
            <w:pPr>
              <w:spacing w:after="10"/>
            </w:pPr>
            <w:r>
              <w:rPr>
                <w:rFonts w:ascii="Times New Roman" w:hAnsi="Times New Roman"/>
                <w:b w:val="0"/>
                <w:i w:val="0"/>
                <w:sz w:val="15"/>
              </w:rPr>
              <w:t>34.2%</w:t>
            </w:r>
          </w:p>
        </w:tc>
      </w:tr>
      <w:tr>
        <w:tc>
          <w:tcPr>
            <w:tcW w:type="dxa" w:w="1212"/>
            <w:tcBorders>
              <w:top w:val="single" w:sz="4" w:color="808080"/>
              <w:bottom w:val="single" w:sz="4" w:color="808080"/>
              <w:left w:val="nil"/>
              <w:right w:val="nil"/>
            </w:tcBorders>
          </w:tcPr>
          <w:p>
            <w:pPr>
              <w:spacing w:after="10"/>
            </w:pPr>
            <w:r>
              <w:rPr>
                <w:rFonts w:ascii="Times New Roman" w:hAnsi="Times New Roman"/>
                <w:b w:val="0"/>
                <w:i w:val="0"/>
                <w:sz w:val="15"/>
              </w:rPr>
              <w:t>3–6</w:t>
            </w:r>
          </w:p>
        </w:tc>
        <w:tc>
          <w:tcPr>
            <w:tcW w:type="dxa" w:w="927"/>
            <w:tcBorders>
              <w:top w:val="single" w:sz="4" w:color="808080"/>
              <w:bottom w:val="single" w:sz="4" w:color="808080"/>
              <w:left w:val="nil"/>
              <w:right w:val="nil"/>
            </w:tcBorders>
          </w:tcPr>
          <w:p>
            <w:pPr>
              <w:spacing w:after="10"/>
            </w:pPr>
            <w:r>
              <w:rPr>
                <w:rFonts w:ascii="Times New Roman" w:hAnsi="Times New Roman"/>
                <w:b w:val="0"/>
                <w:i w:val="0"/>
                <w:sz w:val="15"/>
              </w:rPr>
              <w:t>264</w:t>
            </w:r>
          </w:p>
        </w:tc>
        <w:tc>
          <w:tcPr>
            <w:tcW w:type="dxa" w:w="1355"/>
            <w:tcBorders>
              <w:top w:val="single" w:sz="4" w:color="808080"/>
              <w:bottom w:val="single" w:sz="4" w:color="808080"/>
              <w:left w:val="nil"/>
              <w:right w:val="nil"/>
            </w:tcBorders>
          </w:tcPr>
          <w:p>
            <w:pPr>
              <w:spacing w:after="10"/>
            </w:pPr>
            <w:r>
              <w:rPr>
                <w:rFonts w:ascii="Times New Roman" w:hAnsi="Times New Roman"/>
                <w:b w:val="0"/>
                <w:i w:val="0"/>
                <w:sz w:val="15"/>
              </w:rPr>
              <w:t>15.5%</w:t>
            </w:r>
          </w:p>
        </w:tc>
        <w:tc>
          <w:tcPr>
            <w:tcW w:type="dxa" w:w="1212"/>
            <w:tcBorders>
              <w:top w:val="single" w:sz="4" w:color="808080"/>
              <w:bottom w:val="single" w:sz="4" w:color="808080"/>
              <w:left w:val="nil"/>
              <w:right w:val="nil"/>
            </w:tcBorders>
          </w:tcPr>
          <w:p>
            <w:pPr>
              <w:spacing w:after="10"/>
            </w:pPr>
            <w:r>
              <w:rPr>
                <w:rFonts w:ascii="Times New Roman" w:hAnsi="Times New Roman"/>
                <w:b w:val="0"/>
                <w:i w:val="0"/>
                <w:sz w:val="15"/>
              </w:rPr>
              <w:t>17.9%</w:t>
            </w:r>
          </w:p>
        </w:tc>
      </w:tr>
      <w:tr>
        <w:tc>
          <w:tcPr>
            <w:tcW w:type="dxa" w:w="1212"/>
            <w:tcBorders>
              <w:top w:val="single" w:sz="4" w:color="808080"/>
              <w:bottom w:val="single" w:sz="4" w:color="808080"/>
              <w:left w:val="nil"/>
              <w:right w:val="nil"/>
            </w:tcBorders>
          </w:tcPr>
          <w:p>
            <w:pPr>
              <w:spacing w:after="10"/>
            </w:pPr>
            <w:r>
              <w:rPr>
                <w:rFonts w:ascii="Times New Roman" w:hAnsi="Times New Roman"/>
                <w:b w:val="0"/>
                <w:i w:val="0"/>
                <w:sz w:val="15"/>
              </w:rPr>
              <w:t>6–9</w:t>
            </w:r>
          </w:p>
        </w:tc>
        <w:tc>
          <w:tcPr>
            <w:tcW w:type="dxa" w:w="927"/>
            <w:tcBorders>
              <w:top w:val="single" w:sz="4" w:color="808080"/>
              <w:bottom w:val="single" w:sz="4" w:color="808080"/>
              <w:left w:val="nil"/>
              <w:right w:val="nil"/>
            </w:tcBorders>
          </w:tcPr>
          <w:p>
            <w:pPr>
              <w:spacing w:after="10"/>
            </w:pPr>
            <w:r>
              <w:rPr>
                <w:rFonts w:ascii="Times New Roman" w:hAnsi="Times New Roman"/>
                <w:b w:val="0"/>
                <w:i w:val="0"/>
                <w:sz w:val="15"/>
              </w:rPr>
              <w:t>264</w:t>
            </w:r>
          </w:p>
        </w:tc>
        <w:tc>
          <w:tcPr>
            <w:tcW w:type="dxa" w:w="1355"/>
            <w:tcBorders>
              <w:top w:val="single" w:sz="4" w:color="808080"/>
              <w:bottom w:val="single" w:sz="4" w:color="808080"/>
              <w:left w:val="nil"/>
              <w:right w:val="nil"/>
            </w:tcBorders>
          </w:tcPr>
          <w:p>
            <w:pPr>
              <w:spacing w:after="10"/>
            </w:pPr>
            <w:r>
              <w:rPr>
                <w:rFonts w:ascii="Times New Roman" w:hAnsi="Times New Roman"/>
                <w:b w:val="0"/>
                <w:i w:val="0"/>
                <w:sz w:val="15"/>
              </w:rPr>
              <w:t>5.3%</w:t>
            </w:r>
          </w:p>
        </w:tc>
        <w:tc>
          <w:tcPr>
            <w:tcW w:type="dxa" w:w="1212"/>
            <w:tcBorders>
              <w:top w:val="single" w:sz="4" w:color="808080"/>
              <w:bottom w:val="single" w:sz="4" w:color="808080"/>
              <w:left w:val="nil"/>
              <w:right w:val="nil"/>
            </w:tcBorders>
          </w:tcPr>
          <w:p>
            <w:pPr>
              <w:spacing w:after="10"/>
            </w:pPr>
            <w:r>
              <w:rPr>
                <w:rFonts w:ascii="Times New Roman" w:hAnsi="Times New Roman"/>
                <w:b w:val="0"/>
                <w:i w:val="0"/>
                <w:sz w:val="15"/>
              </w:rPr>
              <w:t>6.9%</w:t>
            </w:r>
          </w:p>
        </w:tc>
      </w:tr>
      <w:tr>
        <w:tc>
          <w:tcPr>
            <w:tcW w:type="dxa" w:w="1212"/>
            <w:tcBorders>
              <w:top w:val="single" w:sz="4" w:color="808080"/>
              <w:bottom w:val="single" w:sz="4" w:color="808080"/>
              <w:left w:val="nil"/>
              <w:right w:val="nil"/>
            </w:tcBorders>
          </w:tcPr>
          <w:p>
            <w:pPr>
              <w:spacing w:after="10"/>
            </w:pPr>
            <w:r>
              <w:rPr>
                <w:rFonts w:ascii="Times New Roman" w:hAnsi="Times New Roman"/>
                <w:b w:val="0"/>
                <w:i w:val="0"/>
                <w:sz w:val="15"/>
              </w:rPr>
              <w:t>9–12</w:t>
            </w:r>
          </w:p>
        </w:tc>
        <w:tc>
          <w:tcPr>
            <w:tcW w:type="dxa" w:w="927"/>
            <w:tcBorders>
              <w:top w:val="single" w:sz="4" w:color="808080"/>
              <w:bottom w:val="single" w:sz="4" w:color="808080"/>
              <w:left w:val="nil"/>
              <w:right w:val="nil"/>
            </w:tcBorders>
          </w:tcPr>
          <w:p>
            <w:pPr>
              <w:spacing w:after="10"/>
            </w:pPr>
            <w:r>
              <w:rPr>
                <w:rFonts w:ascii="Times New Roman" w:hAnsi="Times New Roman"/>
                <w:b w:val="0"/>
                <w:i w:val="0"/>
                <w:sz w:val="15"/>
              </w:rPr>
              <w:t>176</w:t>
            </w:r>
          </w:p>
        </w:tc>
        <w:tc>
          <w:tcPr>
            <w:tcW w:type="dxa" w:w="1355"/>
            <w:tcBorders>
              <w:top w:val="single" w:sz="4" w:color="808080"/>
              <w:bottom w:val="single" w:sz="4" w:color="808080"/>
              <w:left w:val="nil"/>
              <w:right w:val="nil"/>
            </w:tcBorders>
          </w:tcPr>
          <w:p>
            <w:pPr>
              <w:spacing w:after="10"/>
            </w:pPr>
            <w:r>
              <w:rPr>
                <w:rFonts w:ascii="Times New Roman" w:hAnsi="Times New Roman"/>
                <w:b w:val="0"/>
                <w:i w:val="0"/>
                <w:sz w:val="15"/>
              </w:rPr>
              <w:t>2.8%</w:t>
            </w:r>
          </w:p>
        </w:tc>
        <w:tc>
          <w:tcPr>
            <w:tcW w:type="dxa" w:w="1212"/>
            <w:tcBorders>
              <w:top w:val="single" w:sz="4" w:color="808080"/>
              <w:bottom w:val="single" w:sz="4" w:color="808080"/>
              <w:left w:val="nil"/>
              <w:right w:val="nil"/>
            </w:tcBorders>
          </w:tcPr>
          <w:p>
            <w:pPr>
              <w:spacing w:after="10"/>
            </w:pPr>
            <w:r>
              <w:rPr>
                <w:rFonts w:ascii="Times New Roman" w:hAnsi="Times New Roman"/>
                <w:b w:val="0"/>
                <w:i w:val="0"/>
                <w:sz w:val="15"/>
              </w:rPr>
              <w:t>2.1%</w:t>
            </w:r>
          </w:p>
        </w:tc>
      </w:tr>
      <w:tr>
        <w:tc>
          <w:tcPr>
            <w:tcW w:type="dxa" w:w="1212"/>
            <w:tcBorders>
              <w:top w:val="single" w:sz="4" w:color="808080"/>
              <w:bottom w:val="single" w:sz="4" w:color="808080"/>
              <w:left w:val="nil"/>
              <w:right w:val="nil"/>
            </w:tcBorders>
          </w:tcPr>
          <w:p>
            <w:pPr>
              <w:spacing w:after="10"/>
            </w:pPr>
            <w:r>
              <w:rPr>
                <w:rFonts w:ascii="Times New Roman" w:hAnsi="Times New Roman"/>
                <w:b w:val="0"/>
                <w:i w:val="0"/>
                <w:sz w:val="15"/>
              </w:rPr>
              <w:t>12–16</w:t>
            </w:r>
          </w:p>
        </w:tc>
        <w:tc>
          <w:tcPr>
            <w:tcW w:type="dxa" w:w="927"/>
            <w:tcBorders>
              <w:top w:val="single" w:sz="4" w:color="808080"/>
              <w:bottom w:val="single" w:sz="4" w:color="808080"/>
              <w:left w:val="nil"/>
              <w:right w:val="nil"/>
            </w:tcBorders>
          </w:tcPr>
          <w:p>
            <w:pPr>
              <w:spacing w:after="10"/>
            </w:pPr>
            <w:r>
              <w:rPr>
                <w:rFonts w:ascii="Times New Roman" w:hAnsi="Times New Roman"/>
                <w:b w:val="0"/>
                <w:i w:val="0"/>
                <w:sz w:val="15"/>
              </w:rPr>
              <w:t>264</w:t>
            </w:r>
          </w:p>
        </w:tc>
        <w:tc>
          <w:tcPr>
            <w:tcW w:type="dxa" w:w="1355"/>
            <w:tcBorders>
              <w:top w:val="single" w:sz="4" w:color="808080"/>
              <w:bottom w:val="single" w:sz="4" w:color="808080"/>
              <w:left w:val="nil"/>
              <w:right w:val="nil"/>
            </w:tcBorders>
          </w:tcPr>
          <w:p>
            <w:pPr>
              <w:spacing w:after="10"/>
            </w:pPr>
            <w:r>
              <w:rPr>
                <w:rFonts w:ascii="Times New Roman" w:hAnsi="Times New Roman"/>
                <w:b w:val="0"/>
                <w:i w:val="0"/>
                <w:sz w:val="15"/>
              </w:rPr>
              <w:t>0.8%</w:t>
            </w:r>
          </w:p>
        </w:tc>
        <w:tc>
          <w:tcPr>
            <w:tcW w:type="dxa" w:w="1212"/>
            <w:tcBorders>
              <w:top w:val="single" w:sz="4" w:color="808080"/>
              <w:bottom w:val="single" w:sz="4" w:color="808080"/>
              <w:left w:val="nil"/>
              <w:right w:val="nil"/>
            </w:tcBorders>
          </w:tcPr>
          <w:p>
            <w:pPr>
              <w:spacing w:after="10"/>
            </w:pPr>
            <w:r>
              <w:rPr>
                <w:rFonts w:ascii="Times New Roman" w:hAnsi="Times New Roman"/>
                <w:b w:val="0"/>
                <w:i w:val="0"/>
                <w:sz w:val="15"/>
              </w:rPr>
              <w:t>0.3%</w:t>
            </w:r>
          </w:p>
        </w:tc>
      </w:tr>
      <w:tr>
        <w:tc>
          <w:tcPr>
            <w:tcW w:type="dxa" w:w="1212"/>
            <w:tcBorders>
              <w:top w:val="single" w:sz="4" w:color="808080"/>
              <w:bottom w:val="single" w:sz="4" w:color="808080"/>
              <w:left w:val="nil"/>
              <w:right w:val="nil"/>
            </w:tcBorders>
          </w:tcPr>
          <w:p>
            <w:pPr>
              <w:spacing w:after="10"/>
            </w:pPr>
            <w:r>
              <w:rPr>
                <w:rFonts w:ascii="Times New Roman" w:hAnsi="Times New Roman"/>
                <w:b w:val="0"/>
                <w:i w:val="0"/>
                <w:sz w:val="15"/>
              </w:rPr>
              <w:t>16–22</w:t>
            </w:r>
          </w:p>
        </w:tc>
        <w:tc>
          <w:tcPr>
            <w:tcW w:type="dxa" w:w="927"/>
            <w:tcBorders>
              <w:top w:val="single" w:sz="4" w:color="808080"/>
              <w:bottom w:val="single" w:sz="4" w:color="808080"/>
              <w:left w:val="nil"/>
              <w:right w:val="nil"/>
            </w:tcBorders>
          </w:tcPr>
          <w:p>
            <w:pPr>
              <w:spacing w:after="10"/>
            </w:pPr>
            <w:r>
              <w:rPr>
                <w:rFonts w:ascii="Times New Roman" w:hAnsi="Times New Roman"/>
                <w:b w:val="0"/>
                <w:i w:val="0"/>
                <w:sz w:val="15"/>
              </w:rPr>
              <w:t>264</w:t>
            </w:r>
          </w:p>
        </w:tc>
        <w:tc>
          <w:tcPr>
            <w:tcW w:type="dxa" w:w="1355"/>
            <w:tcBorders>
              <w:top w:val="single" w:sz="4" w:color="808080"/>
              <w:bottom w:val="single" w:sz="4" w:color="808080"/>
              <w:left w:val="nil"/>
              <w:right w:val="nil"/>
            </w:tcBorders>
          </w:tcPr>
          <w:p>
            <w:pPr>
              <w:spacing w:after="10"/>
            </w:pPr>
            <w:r>
              <w:rPr>
                <w:rFonts w:ascii="Times New Roman" w:hAnsi="Times New Roman"/>
                <w:b w:val="0"/>
                <w:i w:val="0"/>
                <w:sz w:val="15"/>
              </w:rPr>
              <w:t>0.4%</w:t>
            </w:r>
          </w:p>
        </w:tc>
        <w:tc>
          <w:tcPr>
            <w:tcW w:type="dxa" w:w="1212"/>
            <w:tcBorders>
              <w:top w:val="single" w:sz="4" w:color="808080"/>
              <w:bottom w:val="single" w:sz="4" w:color="808080"/>
              <w:left w:val="nil"/>
              <w:right w:val="nil"/>
            </w:tcBorders>
          </w:tcPr>
          <w:p>
            <w:pPr>
              <w:spacing w:after="10"/>
            </w:pPr>
            <w:r>
              <w:rPr>
                <w:rFonts w:ascii="Times New Roman" w:hAnsi="Times New Roman"/>
                <w:b w:val="0"/>
                <w:i w:val="0"/>
                <w:sz w:val="15"/>
              </w:rPr>
              <w:t>0.0%</w:t>
            </w:r>
          </w:p>
        </w:tc>
      </w:tr>
      <w:tr>
        <w:tc>
          <w:tcPr>
            <w:tcW w:type="dxa" w:w="1212"/>
            <w:tcBorders>
              <w:top w:val="single" w:sz="4" w:color="808080"/>
              <w:bottom w:val="single" w:sz="4" w:color="808080"/>
              <w:left w:val="nil"/>
              <w:right w:val="nil"/>
            </w:tcBorders>
          </w:tcPr>
          <w:p>
            <w:pPr>
              <w:spacing w:after="10"/>
            </w:pPr>
            <w:r>
              <w:rPr>
                <w:rFonts w:ascii="Times New Roman" w:hAnsi="Times New Roman"/>
                <w:b w:val="0"/>
                <w:i w:val="0"/>
                <w:sz w:val="15"/>
              </w:rPr>
              <w:t>22–30</w:t>
            </w:r>
          </w:p>
        </w:tc>
        <w:tc>
          <w:tcPr>
            <w:tcW w:type="dxa" w:w="927"/>
            <w:tcBorders>
              <w:top w:val="single" w:sz="4" w:color="808080"/>
              <w:bottom w:val="single" w:sz="4" w:color="808080"/>
              <w:left w:val="nil"/>
              <w:right w:val="nil"/>
            </w:tcBorders>
          </w:tcPr>
          <w:p>
            <w:pPr>
              <w:spacing w:after="10"/>
            </w:pPr>
            <w:r>
              <w:rPr>
                <w:rFonts w:ascii="Times New Roman" w:hAnsi="Times New Roman"/>
                <w:b w:val="0"/>
                <w:i w:val="0"/>
                <w:sz w:val="15"/>
              </w:rPr>
              <w:t>176</w:t>
            </w:r>
          </w:p>
        </w:tc>
        <w:tc>
          <w:tcPr>
            <w:tcW w:type="dxa" w:w="1355"/>
            <w:tcBorders>
              <w:top w:val="single" w:sz="4" w:color="808080"/>
              <w:bottom w:val="single" w:sz="4" w:color="808080"/>
              <w:left w:val="nil"/>
              <w:right w:val="nil"/>
            </w:tcBorders>
          </w:tcPr>
          <w:p>
            <w:pPr>
              <w:spacing w:after="10"/>
            </w:pPr>
            <w:r>
              <w:rPr>
                <w:rFonts w:ascii="Times New Roman" w:hAnsi="Times New Roman"/>
                <w:b w:val="0"/>
                <w:i w:val="0"/>
                <w:sz w:val="15"/>
              </w:rPr>
              <w:t>0.0%</w:t>
            </w:r>
          </w:p>
        </w:tc>
        <w:tc>
          <w:tcPr>
            <w:tcW w:type="dxa" w:w="1212"/>
            <w:tcBorders>
              <w:top w:val="single" w:sz="4" w:color="808080"/>
              <w:bottom w:val="single" w:sz="4" w:color="808080"/>
              <w:left w:val="nil"/>
              <w:right w:val="nil"/>
            </w:tcBorders>
          </w:tcPr>
          <w:p>
            <w:pPr>
              <w:spacing w:after="10"/>
            </w:pPr>
            <w:r>
              <w:rPr>
                <w:rFonts w:ascii="Times New Roman" w:hAnsi="Times New Roman"/>
                <w:b w:val="0"/>
                <w:i w:val="0"/>
                <w:sz w:val="15"/>
              </w:rPr>
              <w:t>0.0%</w:t>
            </w:r>
          </w:p>
        </w:tc>
      </w:tr>
      <w:tr>
        <w:tc>
          <w:tcPr>
            <w:tcW w:type="dxa" w:w="1212"/>
            <w:tcBorders>
              <w:top w:val="single" w:sz="4" w:color="808080"/>
              <w:bottom w:val="single" w:sz="4" w:color="808080"/>
              <w:left w:val="nil"/>
              <w:right w:val="nil"/>
            </w:tcBorders>
          </w:tcPr>
          <w:p>
            <w:pPr>
              <w:spacing w:after="10"/>
            </w:pPr>
            <w:r>
              <w:rPr>
                <w:rFonts w:ascii="Times New Roman" w:hAnsi="Times New Roman"/>
                <w:b w:val="0"/>
                <w:i w:val="0"/>
                <w:sz w:val="15"/>
              </w:rPr>
              <w:t>&gt; 30</w:t>
            </w:r>
          </w:p>
        </w:tc>
        <w:tc>
          <w:tcPr>
            <w:tcW w:type="dxa" w:w="927"/>
            <w:tcBorders>
              <w:top w:val="single" w:sz="4" w:color="808080"/>
              <w:bottom w:val="single" w:sz="4" w:color="808080"/>
              <w:left w:val="nil"/>
              <w:right w:val="nil"/>
            </w:tcBorders>
          </w:tcPr>
          <w:p>
            <w:pPr>
              <w:spacing w:after="10"/>
            </w:pPr>
            <w:r>
              <w:rPr>
                <w:rFonts w:ascii="Times New Roman" w:hAnsi="Times New Roman"/>
                <w:b w:val="0"/>
                <w:i w:val="0"/>
                <w:sz w:val="15"/>
              </w:rPr>
              <w:t>352</w:t>
            </w:r>
          </w:p>
        </w:tc>
        <w:tc>
          <w:tcPr>
            <w:tcW w:type="dxa" w:w="1355"/>
            <w:tcBorders>
              <w:top w:val="single" w:sz="4" w:color="808080"/>
              <w:bottom w:val="single" w:sz="4" w:color="808080"/>
              <w:left w:val="nil"/>
              <w:right w:val="nil"/>
            </w:tcBorders>
          </w:tcPr>
          <w:p>
            <w:pPr>
              <w:spacing w:after="10"/>
            </w:pPr>
            <w:r>
              <w:rPr>
                <w:rFonts w:ascii="Times New Roman" w:hAnsi="Times New Roman"/>
                <w:b w:val="0"/>
                <w:i w:val="0"/>
                <w:sz w:val="15"/>
              </w:rPr>
              <w:t>0.0%</w:t>
            </w:r>
          </w:p>
        </w:tc>
        <w:tc>
          <w:tcPr>
            <w:tcW w:type="dxa" w:w="1212"/>
            <w:tcBorders>
              <w:top w:val="single" w:sz="4" w:color="808080"/>
              <w:bottom w:val="single" w:sz="4" w:color="808080"/>
              <w:left w:val="nil"/>
              <w:right w:val="nil"/>
            </w:tcBorders>
          </w:tcPr>
          <w:p>
            <w:pPr>
              <w:spacing w:after="10"/>
            </w:pPr>
            <w:r>
              <w:rPr>
                <w:rFonts w:ascii="Times New Roman" w:hAnsi="Times New Roman"/>
                <w:b w:val="0"/>
                <w:i w:val="0"/>
                <w:sz w:val="15"/>
              </w:rPr>
              <w:t>0.0%</w:t>
            </w:r>
          </w:p>
        </w:tc>
      </w:tr>
    </w:tbl>
    <w:p>
      <w:pPr>
        <w:spacing w:after="60"/>
      </w:pPr>
    </w:p>
    <w:p>
      <w:pPr>
        <w:spacing w:before="0" w:after="64"/>
        <w:ind w:left="0"/>
        <w:jc w:val="both"/>
      </w:pPr>
      <w:r>
        <w:rPr>
          <w:rFonts w:ascii="Times New Roman" w:hAnsi="Times New Roman"/>
          <w:b w:val="0"/>
          <w:i w:val="0"/>
          <w:sz w:val="19"/>
        </w:rPr>
        <w:t xml:space="preserve">The constants are stable against annotation quality. A model-blind label audit flags four of the frame sets' patients as carrying regions that cannot be lumen; recomputing without them moves </w:t>
      </w:r>
      <w:r>
        <w:rPr>
          <w:rFonts w:ascii="Times New Roman" w:hAnsi="Times New Roman"/>
          <w:b w:val="0"/>
          <w:i/>
          <w:sz w:val="19"/>
        </w:rPr>
        <w:t>σ</w:t>
      </w:r>
      <w:r>
        <w:rPr>
          <w:rFonts w:ascii="Times New Roman" w:hAnsi="Times New Roman"/>
          <w:b w:val="0"/>
          <w:i w:val="0"/>
          <w:sz w:val="19"/>
        </w:rPr>
        <w:t xml:space="preserve"> from 4.92 to 4.67 px (−5%), sign agreement from 93.7% to 94.1%, and the 5% boundary from 8.1 to 7.7 px.</w:t>
      </w:r>
    </w:p>
    <w:p>
      <w:pPr>
        <w:keepNext/>
        <w:spacing w:before="130" w:after="40"/>
        <w:ind w:left="0"/>
        <w:jc w:val="left"/>
      </w:pPr>
      <w:r>
        <w:rPr>
          <w:rFonts w:ascii="Times New Roman" w:hAnsi="Times New Roman"/>
          <w:b/>
          <w:i w:val="0"/>
          <w:sz w:val="20"/>
        </w:rPr>
        <w:t>4. Discussion</w:t>
      </w:r>
    </w:p>
    <w:p>
      <w:pPr>
        <w:spacing w:before="0" w:after="64"/>
        <w:ind w:left="0"/>
        <w:jc w:val="both"/>
      </w:pPr>
      <w:r>
        <w:rPr>
          <w:rFonts w:ascii="Times New Roman" w:hAnsi="Times New Roman"/>
          <w:b w:val="0"/>
          <w:i w:val="0"/>
          <w:sz w:val="19"/>
        </w:rPr>
        <w:t>Reporting an image-quality function by its correlation with a segmentation metric answers the wrong question. Correlation says how the score orders frames; the attained range says how many decisions can be taken from it, and the two come apart. The function studied here ordered frames respectably in its original form while supporting nine distinguishable states — fewer than the instructions a controller would want to issue — and the diagnosis was invisible to any accuracy figure. Range, its decomposition, and range-over-noise are cheap to compute and we suggest reporting them for any score intended to instruct an operator or drive a device.</w:t>
      </w:r>
    </w:p>
    <w:p>
      <w:pPr>
        <w:spacing w:before="0" w:after="64"/>
        <w:ind w:left="0"/>
        <w:jc w:val="both"/>
      </w:pPr>
      <w:r>
        <w:rPr>
          <w:rFonts w:ascii="Times New Roman" w:hAnsi="Times New Roman"/>
          <w:b w:val="0"/>
          <w:i w:val="0"/>
          <w:sz w:val="19"/>
        </w:rPr>
        <w:t>The decomposition also gives a concrete design rule. A term contributing 0.0% of the range is not underweighted; it is degenerate, and the fix is to measure it somewhere the decision is hard or to remove it. Here the two terms that consult the ultrasound image carry 92.4% of the range while three mask-geometry and probability-map terms carry almost none.</w:t>
      </w:r>
    </w:p>
    <w:p>
      <w:pPr>
        <w:keepNext/>
        <w:spacing w:before="90" w:after="40"/>
        <w:ind w:left="0"/>
        <w:jc w:val="left"/>
      </w:pPr>
      <w:r>
        <w:rPr>
          <w:rFonts w:ascii="Times New Roman" w:hAnsi="Times New Roman"/>
          <w:b/>
          <w:i w:val="0"/>
          <w:sz w:val="18"/>
        </w:rPr>
        <w:t>4.1 Reflecting the Quality Judgment in Robot Control</w:t>
      </w:r>
    </w:p>
    <w:p>
      <w:pPr>
        <w:spacing w:before="0" w:after="64"/>
        <w:ind w:left="0"/>
        <w:jc w:val="both"/>
      </w:pPr>
      <w:r>
        <w:rPr>
          <w:rFonts w:ascii="Times New Roman" w:hAnsi="Times New Roman"/>
          <w:b w:val="0"/>
          <w:i w:val="0"/>
          <w:sz w:val="19"/>
        </w:rPr>
        <w:t>The pipeline validated above ends at the words. The words, however, were shaped so that a robotic probe holder can consume them, and the quality judgment enters that loop at two points. Neither is validated here; this section records the design, not a result.</w:t>
      </w:r>
    </w:p>
    <w:p>
      <w:pPr>
        <w:spacing w:before="0" w:after="64"/>
        <w:ind w:left="0"/>
        <w:jc w:val="both"/>
      </w:pPr>
      <w:r>
        <w:rPr>
          <w:rFonts w:ascii="Times New Roman" w:hAnsi="Times New Roman"/>
          <w:b/>
          <w:i w:val="0"/>
          <w:sz w:val="19"/>
        </w:rPr>
        <w:t>Gating.</w:t>
      </w:r>
      <w:r>
        <w:rPr>
          <w:rFonts w:ascii="Times New Roman" w:hAnsi="Times New Roman"/>
          <w:b w:val="0"/>
          <w:i w:val="0"/>
          <w:sz w:val="19"/>
        </w:rPr>
        <w:t xml:space="preserve"> </w:t>
      </w:r>
      <w:r>
        <w:rPr>
          <w:rFonts w:ascii="Times New Roman" w:hAnsi="Times New Roman"/>
          <w:b w:val="0"/>
          <w:i/>
          <w:sz w:val="19"/>
        </w:rPr>
        <w:t>check bladder filling</w:t>
      </w:r>
      <w:r>
        <w:rPr>
          <w:rFonts w:ascii="Times New Roman" w:hAnsi="Times New Roman"/>
          <w:b w:val="0"/>
          <w:i w:val="0"/>
          <w:sz w:val="19"/>
        </w:rPr>
        <w:t xml:space="preserve"> suspends image-based motion outright: when the lumen contrast is non-positive the segmentation cannot be delineating a filled bladder, and no twist is preferable to a twist computed from a mask that physics rejects. Because instructions are issued per frame, one degraded frame gates one command, not the session. Beyond the words, </w:t>
      </w:r>
      <w:r>
        <w:rPr>
          <w:rFonts w:ascii="Times New Roman" w:hAnsi="Times New Roman"/>
          <w:b w:val="0"/>
          <w:i/>
          <w:sz w:val="19"/>
        </w:rPr>
        <w:t>Q</w:t>
      </w:r>
      <w:r>
        <w:rPr>
          <w:rFonts w:ascii="Times New Roman" w:hAnsi="Times New Roman"/>
          <w:b w:val="0"/>
          <w:i w:val="0"/>
          <w:sz w:val="19"/>
        </w:rPr>
        <w:t xml:space="preserve"> itself serves as a supervisory scalar: with 47 resolvable levels it has room to scale the commanded speed down as quality falls — something the original function, at nine levels, could not have supported honestly.</w:t>
      </w:r>
    </w:p>
    <w:p>
      <w:pPr>
        <w:spacing w:before="0" w:after="64"/>
        <w:ind w:left="0"/>
        <w:jc w:val="both"/>
      </w:pPr>
      <w:r>
        <w:rPr>
          <w:rFonts w:ascii="Times New Roman" w:hAnsi="Times New Roman"/>
          <w:b/>
          <w:i w:val="0"/>
          <w:sz w:val="19"/>
        </w:rPr>
        <w:t>Scaling and stopping.</w:t>
      </w:r>
      <w:r>
        <w:rPr>
          <w:rFonts w:ascii="Times New Roman" w:hAnsi="Times New Roman"/>
          <w:b w:val="0"/>
          <w:i w:val="0"/>
          <w:sz w:val="19"/>
        </w:rPr>
        <w:t xml:space="preserve"> </w:t>
      </w:r>
      <w:r>
        <w:rPr>
          <w:rFonts w:ascii="Times New Roman" w:hAnsi="Times New Roman"/>
          <w:b w:val="0"/>
          <w:i/>
          <w:sz w:val="19"/>
        </w:rPr>
        <w:t>move left</w:t>
      </w:r>
      <w:r>
        <w:rPr>
          <w:rFonts w:ascii="Times New Roman" w:hAnsi="Times New Roman"/>
          <w:b w:val="0"/>
          <w:i w:val="0"/>
          <w:sz w:val="19"/>
        </w:rPr>
        <w:t xml:space="preserve"> and </w:t>
      </w:r>
      <w:r>
        <w:rPr>
          <w:rFonts w:ascii="Times New Roman" w:hAnsi="Times New Roman"/>
          <w:b w:val="0"/>
          <w:i/>
          <w:sz w:val="19"/>
        </w:rPr>
        <w:t>move right</w:t>
      </w:r>
      <w:r>
        <w:rPr>
          <w:rFonts w:ascii="Times New Roman" w:hAnsi="Times New Roman"/>
          <w:b w:val="0"/>
          <w:i w:val="0"/>
          <w:sz w:val="19"/>
        </w:rPr>
        <w:t xml:space="preserve"> carry the magnitude </w:t>
      </w:r>
      <w:r>
        <w:rPr>
          <w:rFonts w:ascii="Times New Roman" w:hAnsi="Times New Roman"/>
          <w:b w:val="0"/>
          <w:i/>
          <w:sz w:val="19"/>
        </w:rPr>
        <w:t>ê</w:t>
      </w:r>
      <w:r>
        <w:rPr>
          <w:rFonts w:ascii="Times New Roman" w:hAnsi="Times New Roman"/>
          <w:b w:val="0"/>
          <w:i w:val="0"/>
          <w:sz w:val="19"/>
        </w:rPr>
        <w:t xml:space="preserve">, so the robot realisation is proportional rather than bang-bang: </w:t>
      </w:r>
      <w:r>
        <w:rPr>
          <w:rFonts w:ascii="Times New Roman" w:hAnsi="Times New Roman"/>
          <w:b w:val="0"/>
          <w:i/>
          <w:sz w:val="19"/>
        </w:rPr>
        <w:t>v</w:t>
      </w:r>
      <w:r>
        <w:rPr>
          <w:rFonts w:ascii="Times New Roman" w:hAnsi="Times New Roman"/>
          <w:b w:val="0"/>
          <w:i w:val="0"/>
          <w:sz w:val="19"/>
          <w:vertAlign w:val="subscript"/>
        </w:rPr>
        <w:t>x</w:t>
      </w:r>
      <w:r>
        <w:rPr>
          <w:rFonts w:ascii="Times New Roman" w:hAnsi="Times New Roman"/>
          <w:b w:val="0"/>
          <w:i w:val="0"/>
          <w:sz w:val="19"/>
        </w:rPr>
        <w:t xml:space="preserve"> = −</w:t>
      </w:r>
      <w:r>
        <w:rPr>
          <w:rFonts w:ascii="Times New Roman" w:hAnsi="Times New Roman"/>
          <w:b w:val="0"/>
          <w:i/>
          <w:sz w:val="19"/>
        </w:rPr>
        <w:t>k ê</w:t>
      </w:r>
      <w:r>
        <w:rPr>
          <w:rFonts w:ascii="Times New Roman" w:hAnsi="Times New Roman"/>
          <w:b w:val="0"/>
          <w:i w:val="0"/>
          <w:sz w:val="19"/>
        </w:rPr>
        <w:t>, saturated, with every other axis commanded to zero. The 1.64</w:t>
      </w:r>
      <w:r>
        <w:rPr>
          <w:rFonts w:ascii="Times New Roman" w:hAnsi="Times New Roman"/>
          <w:b w:val="0"/>
          <w:i/>
          <w:sz w:val="19"/>
        </w:rPr>
        <w:t>σ</w:t>
      </w:r>
      <w:r>
        <w:rPr>
          <w:rFonts w:ascii="Times New Roman" w:hAnsi="Times New Roman"/>
          <w:b w:val="0"/>
          <w:i w:val="0"/>
          <w:sz w:val="19"/>
        </w:rPr>
        <w:t xml:space="preserve"> boundary of Section 3.4 becomes a deadband: inside it the commanded twist is zero, because Equation (2) says the sign of any correction would be noise. A controller that keeps acting below that floor is servoing its own segmentation error; </w:t>
      </w:r>
      <w:r>
        <w:rPr>
          <w:rFonts w:ascii="Times New Roman" w:hAnsi="Times New Roman"/>
          <w:b w:val="0"/>
          <w:i/>
          <w:sz w:val="19"/>
        </w:rPr>
        <w:t>hold</w:t>
      </w:r>
      <w:r>
        <w:rPr>
          <w:rFonts w:ascii="Times New Roman" w:hAnsi="Times New Roman"/>
          <w:b w:val="0"/>
          <w:i w:val="0"/>
          <w:sz w:val="19"/>
        </w:rPr>
        <w:t xml:space="preserve"> is a stopping condition the robot inherits for free.</w:t>
      </w:r>
    </w:p>
    <w:p>
      <w:pPr>
        <w:spacing w:before="0" w:after="64"/>
        <w:ind w:left="0"/>
        <w:jc w:val="both"/>
      </w:pPr>
      <w:r>
        <w:rPr>
          <w:rFonts w:ascii="Times New Roman" w:hAnsi="Times New Roman"/>
          <w:b w:val="0"/>
          <w:i w:val="0"/>
          <w:sz w:val="19"/>
        </w:rPr>
        <w:t xml:space="preserve">The instruction acts only on </w:t>
      </w:r>
      <w:r>
        <w:rPr>
          <w:rFonts w:ascii="Times New Roman" w:hAnsi="Times New Roman"/>
          <w:b w:val="0"/>
          <w:i/>
          <w:sz w:val="19"/>
        </w:rPr>
        <w:t>v</w:t>
      </w:r>
      <w:r>
        <w:rPr>
          <w:rFonts w:ascii="Times New Roman" w:hAnsi="Times New Roman"/>
          <w:b w:val="0"/>
          <w:i w:val="0"/>
          <w:sz w:val="19"/>
          <w:vertAlign w:val="subscript"/>
        </w:rPr>
        <w:t>x</w:t>
      </w:r>
      <w:r>
        <w:rPr>
          <w:rFonts w:ascii="Times New Roman" w:hAnsi="Times New Roman"/>
          <w:b w:val="0"/>
          <w:i w:val="0"/>
          <w:sz w:val="19"/>
        </w:rPr>
        <w:t xml:space="preserve">, the one axis that leaves the imaging plane invariant, so nothing the image loop commands can rotate the anatomy out of its own view. Closing and validating this loop — its latency, and </w:t>
      </w:r>
      <w:r>
        <w:rPr>
          <w:rFonts w:ascii="Times New Roman" w:hAnsi="Times New Roman"/>
          <w:b w:val="0"/>
          <w:i/>
          <w:sz w:val="19"/>
        </w:rPr>
        <w:t>Q</w:t>
      </w:r>
      <w:r>
        <w:rPr>
          <w:rFonts w:ascii="Times New Roman" w:hAnsi="Times New Roman"/>
          <w:b w:val="0"/>
          <w:i w:val="0"/>
          <w:sz w:val="19"/>
        </w:rPr>
        <w:t xml:space="preserve"> measured while the probe actually moves — is deliberately outside this paper's scope.</w:t>
      </w:r>
    </w:p>
    <w:p>
      <w:pPr>
        <w:keepNext/>
        <w:spacing w:before="90" w:after="40"/>
        <w:ind w:left="0"/>
        <w:jc w:val="left"/>
      </w:pPr>
      <w:r>
        <w:rPr>
          <w:rFonts w:ascii="Times New Roman" w:hAnsi="Times New Roman"/>
          <w:b/>
          <w:i w:val="0"/>
          <w:sz w:val="18"/>
        </w:rPr>
        <w:t>4.2 Limitations</w:t>
      </w:r>
    </w:p>
    <w:p>
      <w:pPr>
        <w:spacing w:before="0" w:after="36"/>
        <w:ind w:left="198"/>
        <w:jc w:val="both"/>
      </w:pPr>
      <w:r>
        <w:rPr>
          <w:rFonts w:ascii="Times New Roman" w:hAnsi="Times New Roman"/>
          <w:b w:val="0"/>
          <w:i w:val="0"/>
          <w:sz w:val="17"/>
        </w:rPr>
        <w:t>— No real probe motion is validated. The frames are static examinations whose lumen centroid moves 0.45 px between samples, below the segmentation's own centroid error, so lateral displacement is simulated and the instruction has not been closed into a loop with a person or a robot.</w:t>
      </w:r>
    </w:p>
    <w:p>
      <w:pPr>
        <w:spacing w:before="0" w:after="36"/>
        <w:ind w:left="198"/>
        <w:jc w:val="both"/>
      </w:pPr>
      <w:r>
        <w:rPr>
          <w:rFonts w:ascii="Times New Roman" w:hAnsi="Times New Roman"/>
          <w:b w:val="0"/>
          <w:i w:val="0"/>
          <w:sz w:val="17"/>
        </w:rPr>
        <w:t xml:space="preserve">— Two of the image policy's three axes are untouched: </w:t>
      </w:r>
      <w:r>
        <w:rPr>
          <w:rFonts w:ascii="Times New Roman" w:hAnsi="Times New Roman"/>
          <w:b w:val="0"/>
          <w:i/>
          <w:sz w:val="17"/>
        </w:rPr>
        <w:t>v</w:t>
      </w:r>
      <w:r>
        <w:rPr>
          <w:rFonts w:ascii="Times New Roman" w:hAnsi="Times New Roman"/>
          <w:b w:val="0"/>
          <w:i w:val="0"/>
          <w:sz w:val="17"/>
          <w:vertAlign w:val="subscript"/>
        </w:rPr>
        <w:t>y</w:t>
      </w:r>
      <w:r>
        <w:rPr>
          <w:rFonts w:ascii="Times New Roman" w:hAnsi="Times New Roman"/>
          <w:b w:val="0"/>
          <w:i w:val="0"/>
          <w:sz w:val="17"/>
        </w:rPr>
        <w:t xml:space="preserve"> and </w:t>
      </w:r>
      <w:r>
        <w:rPr>
          <w:rFonts w:ascii="Times New Roman" w:hAnsi="Times New Roman"/>
          <w:b w:val="0"/>
          <w:i/>
          <w:sz w:val="17"/>
        </w:rPr>
        <w:t>ω</w:t>
      </w:r>
      <w:r>
        <w:rPr>
          <w:rFonts w:ascii="Times New Roman" w:hAnsi="Times New Roman"/>
          <w:b w:val="0"/>
          <w:i w:val="0"/>
          <w:sz w:val="17"/>
          <w:vertAlign w:val="subscript"/>
        </w:rPr>
        <w:t>z</w:t>
      </w:r>
      <w:r>
        <w:rPr>
          <w:rFonts w:ascii="Times New Roman" w:hAnsi="Times New Roman"/>
          <w:b w:val="0"/>
          <w:i w:val="0"/>
          <w:sz w:val="17"/>
        </w:rPr>
        <w:t xml:space="preserve"> leave the imaging plane, present only a scalar quality, and cannot be simulated from single-plane frames.</w:t>
      </w:r>
    </w:p>
    <w:p>
      <w:pPr>
        <w:spacing w:before="0" w:after="36"/>
        <w:ind w:left="198"/>
        <w:jc w:val="both"/>
      </w:pPr>
      <w:r>
        <w:rPr>
          <w:rFonts w:ascii="Times New Roman" w:hAnsi="Times New Roman"/>
          <w:b w:val="0"/>
          <w:i w:val="0"/>
          <w:sz w:val="17"/>
        </w:rPr>
        <w:t>— The target pose — lumen on the beam axis — is a design choice for the robotic setting. The archived frames were not acquired toward it, so the proportion of frames falling in each instruction band describes the frames, not the loop's steady state.</w:t>
      </w:r>
    </w:p>
    <w:p>
      <w:pPr>
        <w:spacing w:before="0" w:after="36"/>
        <w:ind w:left="198"/>
        <w:jc w:val="both"/>
      </w:pPr>
      <w:r>
        <w:rPr>
          <w:rFonts w:ascii="Times New Roman" w:hAnsi="Times New Roman"/>
          <w:b w:val="0"/>
          <w:i w:val="0"/>
          <w:sz w:val="17"/>
        </w:rPr>
        <w:t>— No pixel spacing accompanies the frames, so σ and every derived boundary are stated at 256 × 256 and must be rescaled before they mean millimetres.</w:t>
      </w:r>
    </w:p>
    <w:p>
      <w:pPr>
        <w:spacing w:before="0" w:after="36"/>
        <w:ind w:left="198"/>
        <w:jc w:val="both"/>
      </w:pPr>
      <w:r>
        <w:rPr>
          <w:rFonts w:ascii="Times New Roman" w:hAnsi="Times New Roman"/>
          <w:b w:val="0"/>
          <w:i w:val="0"/>
          <w:sz w:val="17"/>
        </w:rPr>
        <w:t>— σ is treated as one constant. Per-frame estimation would tighten the stopping boundary where the segmentation is confident and loosen it where it is not.</w:t>
      </w:r>
    </w:p>
    <w:p>
      <w:pPr>
        <w:spacing w:before="0" w:after="36"/>
        <w:ind w:left="198"/>
        <w:jc w:val="both"/>
      </w:pPr>
      <w:r>
        <w:rPr>
          <w:rFonts w:ascii="Times New Roman" w:hAnsi="Times New Roman"/>
          <w:b w:val="0"/>
          <w:i w:val="0"/>
          <w:sz w:val="17"/>
        </w:rPr>
        <w:t xml:space="preserve">— The </w:t>
      </w:r>
      <w:r>
        <w:rPr>
          <w:rFonts w:ascii="Times New Roman" w:hAnsi="Times New Roman"/>
          <w:b w:val="0"/>
          <w:i/>
          <w:sz w:val="17"/>
        </w:rPr>
        <w:t>check bladder filling</w:t>
      </w:r>
      <w:r>
        <w:rPr>
          <w:rFonts w:ascii="Times New Roman" w:hAnsi="Times New Roman"/>
          <w:b w:val="0"/>
          <w:i w:val="0"/>
          <w:sz w:val="17"/>
        </w:rPr>
        <w:t xml:space="preserve"> branch is supported by 13.1% of frames from four patients; whether the cause is under-distension or annotation is not separable here [TO BE CONFIRMED: IRB approval number, scanner model, annotation protocol].</w:t>
      </w:r>
    </w:p>
    <w:p>
      <w:pPr>
        <w:keepNext/>
        <w:spacing w:before="130" w:after="40"/>
        <w:ind w:left="0"/>
        <w:jc w:val="left"/>
      </w:pPr>
      <w:r>
        <w:rPr>
          <w:rFonts w:ascii="Times New Roman" w:hAnsi="Times New Roman"/>
          <w:b/>
          <w:i w:val="0"/>
          <w:sz w:val="20"/>
        </w:rPr>
        <w:t>References</w:t>
      </w:r>
    </w:p>
    <w:p>
      <w:pPr>
        <w:spacing w:before="0" w:after="40"/>
        <w:ind w:left="0"/>
        <w:jc w:val="both"/>
      </w:pPr>
      <w:r>
        <w:rPr>
          <w:rFonts w:ascii="Times New Roman" w:hAnsi="Times New Roman"/>
          <w:b w:val="0"/>
          <w:i w:val="0"/>
          <w:sz w:val="17"/>
        </w:rPr>
        <w:t>[1] T. Jang, H.-J. Kong, C. Baek, J. Kim, M. S. Choo, S.-J. Oh. Effect of Self-Training Using Virtual Reality Head-Mounted Display Simulator on the Acquisition of Holmium Laser Enucleation of the Prostate Surgical Skills. International Neurourology Journal 2024;28(2):138–146.</w:t>
      </w:r>
    </w:p>
    <w:p>
      <w:pPr>
        <w:spacing w:before="0" w:after="40"/>
        <w:ind w:left="0"/>
        <w:jc w:val="both"/>
      </w:pPr>
      <w:r>
        <w:rPr>
          <w:rFonts w:ascii="Times New Roman" w:hAnsi="Times New Roman"/>
          <w:b w:val="0"/>
          <w:i w:val="0"/>
          <w:sz w:val="17"/>
        </w:rPr>
        <w:t>[2] O. Ronneberger, P. Fischer, T. Brox. U-Net: Convolutional Networks for Biomedical Image Segmentation. In: Medical Image Computing and Computer-Assisted Intervention (MICCAI 2015), LNCS 9351, Springer, 2015, pp. 234–241.</w:t>
      </w:r>
    </w:p>
    <w:p>
      <w:pPr>
        <w:spacing w:before="0" w:after="64"/>
        <w:ind w:left="0"/>
        <w:jc w:val="both"/>
      </w:pPr>
      <w:r>
        <w:rPr>
          <w:rFonts w:ascii="Times New Roman" w:hAnsi="Times New Roman"/>
          <w:b w:val="0"/>
          <w:i/>
          <w:sz w:val="17"/>
        </w:rPr>
        <w:t>[TO BE COMPLETED] Citations for HoLEP morcellation, ultrasound visual servoing and image-quality assessment are to be added before submission.</w:t>
      </w:r>
    </w:p>
    <w:sectPr w:rsidR="00FC693F" w:rsidRPr="0006063C" w:rsidSect="00034616">
      <w:type w:val="continuous"/>
      <w:pgSz w:w="11906" w:h="16838"/>
      <w:pgMar w:top="1077" w:right="1020" w:bottom="1077" w:left="1020" w:header="567" w:footer="567" w:gutter="0"/>
      <w:cols w:space="396"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54" w:lineRule="auto"/>
    </w:pPr>
    <w:rPr>
      <w:rFonts w:ascii="Times New Roman" w:hAnsi="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