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ind w:left="0"/>
        <w:jc w:val="center"/>
      </w:pPr>
      <w:r>
        <w:rPr>
          <w:rFonts w:ascii="Times New Roman" w:hAnsi="Times New Roman"/>
          <w:b/>
          <w:i w:val="0"/>
          <w:sz w:val="27"/>
        </w:rPr>
        <w:t>From Segmentation to Instruction: Language-Level Operator Guidance Built on an Image-Quality Function in Transabdominal Bladder Ultrasound for HoLEP Morcellation</w:t>
      </w:r>
    </w:p>
    <w:p>
      <w:pPr>
        <w:spacing w:before="0" w:after="120"/>
        <w:ind w:left="0"/>
        <w:jc w:val="center"/>
      </w:pPr>
      <w:r>
        <w:rPr>
          <w:rFonts w:ascii="Times New Roman" w:hAnsi="Times New Roman"/>
          <w:b w:val="0"/>
          <w:i w:val="0"/>
          <w:sz w:val="20"/>
        </w:rPr>
        <w:t>Seong Jeong</w:t>
      </w:r>
      <w:r>
        <w:rPr>
          <w:rFonts w:ascii="Times New Roman" w:hAnsi="Times New Roman"/>
          <w:b w:val="0"/>
          <w:i w:val="0"/>
          <w:sz w:val="20"/>
          <w:vertAlign w:val="superscript"/>
        </w:rPr>
        <w:t>1, 2, 5</w:t>
      </w:r>
      <w:r>
        <w:rPr>
          <w:rFonts w:ascii="Times New Roman" w:hAnsi="Times New Roman"/>
          <w:b w:val="0"/>
          <w:i w:val="0"/>
          <w:sz w:val="20"/>
        </w:rPr>
        <w:t>, Minsung Kim</w:t>
      </w:r>
      <w:r>
        <w:rPr>
          <w:rFonts w:ascii="Times New Roman" w:hAnsi="Times New Roman"/>
          <w:b w:val="0"/>
          <w:i w:val="0"/>
          <w:sz w:val="20"/>
          <w:vertAlign w:val="superscript"/>
        </w:rPr>
        <w:t>1,2,4</w:t>
      </w:r>
      <w:r>
        <w:rPr>
          <w:rFonts w:ascii="Times New Roman" w:hAnsi="Times New Roman"/>
          <w:b w:val="0"/>
          <w:i w:val="0"/>
          <w:sz w:val="20"/>
        </w:rPr>
        <w:t>, Dongho Yee</w:t>
      </w:r>
      <w:r>
        <w:rPr>
          <w:rFonts w:ascii="Times New Roman" w:hAnsi="Times New Roman"/>
          <w:b w:val="0"/>
          <w:i w:val="0"/>
          <w:sz w:val="20"/>
          <w:vertAlign w:val="superscript"/>
        </w:rPr>
        <w:t>1,2,4</w:t>
      </w:r>
      <w:r>
        <w:rPr>
          <w:rFonts w:ascii="Times New Roman" w:hAnsi="Times New Roman"/>
          <w:b w:val="0"/>
          <w:i w:val="0"/>
          <w:sz w:val="20"/>
        </w:rPr>
        <w:t>, Yechan Seo</w:t>
      </w:r>
      <w:r>
        <w:rPr>
          <w:rFonts w:ascii="Times New Roman" w:hAnsi="Times New Roman"/>
          <w:b w:val="0"/>
          <w:i w:val="0"/>
          <w:sz w:val="20"/>
          <w:vertAlign w:val="superscript"/>
        </w:rPr>
        <w:t>1,2,5</w:t>
      </w:r>
      <w:r>
        <w:rPr>
          <w:rFonts w:ascii="Times New Roman" w:hAnsi="Times New Roman"/>
          <w:b w:val="0"/>
          <w:i w:val="0"/>
          <w:sz w:val="20"/>
        </w:rPr>
        <w:t>, Juahn Oh</w:t>
      </w:r>
      <w:r>
        <w:rPr>
          <w:rFonts w:ascii="Times New Roman" w:hAnsi="Times New Roman"/>
          <w:b w:val="0"/>
          <w:i w:val="0"/>
          <w:sz w:val="20"/>
          <w:vertAlign w:val="superscript"/>
        </w:rPr>
        <w:t>1,2,3</w:t>
      </w:r>
      <w:r>
        <w:rPr>
          <w:rFonts w:ascii="Times New Roman" w:hAnsi="Times New Roman"/>
          <w:b w:val="0"/>
          <w:i w:val="0"/>
          <w:sz w:val="20"/>
        </w:rPr>
        <w:t>, Hyoun-Joong Kong</w:t>
      </w:r>
      <w:r>
        <w:rPr>
          <w:rFonts w:ascii="Times New Roman" w:hAnsi="Times New Roman"/>
          <w:b w:val="0"/>
          <w:i w:val="0"/>
          <w:sz w:val="20"/>
          <w:vertAlign w:val="superscript"/>
        </w:rPr>
        <w:t>1,2,5,*</w:t>
      </w:r>
    </w:p>
    <w:p>
      <w:pPr>
        <w:spacing w:before="0" w:after="12"/>
        <w:ind w:left="0"/>
        <w:jc w:val="left"/>
      </w:pPr>
      <w:r>
        <w:rPr>
          <w:rFonts w:ascii="Times New Roman" w:hAnsi="Times New Roman"/>
          <w:b w:val="0"/>
          <w:i w:val="0"/>
          <w:sz w:val="16"/>
          <w:vertAlign w:val="superscript"/>
        </w:rPr>
        <w:t>1</w:t>
      </w:r>
      <w:r>
        <w:rPr>
          <w:rFonts w:ascii="Times New Roman" w:hAnsi="Times New Roman"/>
          <w:b w:val="0"/>
          <w:i w:val="0"/>
          <w:sz w:val="16"/>
        </w:rPr>
        <w:t xml:space="preserve"> Department of Transdisciplinary Medicine, Seoul National University Hospital, Seoul, Republic of Korea</w:t>
      </w:r>
    </w:p>
    <w:p>
      <w:pPr>
        <w:spacing w:before="0" w:after="12"/>
        <w:ind w:left="0"/>
        <w:jc w:val="left"/>
      </w:pPr>
      <w:r>
        <w:rPr>
          <w:rFonts w:ascii="Times New Roman" w:hAnsi="Times New Roman"/>
          <w:b w:val="0"/>
          <w:i w:val="0"/>
          <w:sz w:val="16"/>
          <w:vertAlign w:val="superscript"/>
        </w:rPr>
        <w:t>2</w:t>
      </w:r>
      <w:r>
        <w:rPr>
          <w:rFonts w:ascii="Times New Roman" w:hAnsi="Times New Roman"/>
          <w:b w:val="0"/>
          <w:i w:val="0"/>
          <w:sz w:val="16"/>
        </w:rPr>
        <w:t xml:space="preserve"> Rosota Inc., Seoul, Republic of Korea</w:t>
      </w:r>
    </w:p>
    <w:p>
      <w:pPr>
        <w:spacing w:before="0" w:after="12"/>
        <w:ind w:left="0"/>
        <w:jc w:val="left"/>
      </w:pPr>
      <w:r>
        <w:rPr>
          <w:rFonts w:ascii="Times New Roman" w:hAnsi="Times New Roman"/>
          <w:b w:val="0"/>
          <w:i w:val="0"/>
          <w:sz w:val="16"/>
          <w:vertAlign w:val="superscript"/>
        </w:rPr>
        <w:t>3</w:t>
      </w:r>
      <w:r>
        <w:rPr>
          <w:rFonts w:ascii="Times New Roman" w:hAnsi="Times New Roman"/>
          <w:b w:val="0"/>
          <w:i w:val="0"/>
          <w:sz w:val="16"/>
        </w:rPr>
        <w:t xml:space="preserve"> Eulji University College of Medicine, Daejeon, Republic of Korea</w:t>
      </w:r>
    </w:p>
    <w:p>
      <w:pPr>
        <w:spacing w:before="0" w:after="12"/>
        <w:ind w:left="0"/>
        <w:jc w:val="left"/>
      </w:pPr>
      <w:r>
        <w:rPr>
          <w:rFonts w:ascii="Times New Roman" w:hAnsi="Times New Roman"/>
          <w:b w:val="0"/>
          <w:i w:val="0"/>
          <w:sz w:val="16"/>
          <w:vertAlign w:val="superscript"/>
        </w:rPr>
        <w:t>4</w:t>
      </w:r>
      <w:r>
        <w:rPr>
          <w:rFonts w:ascii="Times New Roman" w:hAnsi="Times New Roman"/>
          <w:b w:val="0"/>
          <w:i w:val="0"/>
          <w:sz w:val="16"/>
        </w:rPr>
        <w:t xml:space="preserve"> Department of Mechanical Engineering, Seoul National University, Seoul, Republic of Korea</w:t>
      </w:r>
    </w:p>
    <w:p>
      <w:pPr>
        <w:spacing w:before="0" w:after="12"/>
        <w:ind w:left="0"/>
        <w:jc w:val="left"/>
      </w:pPr>
      <w:r>
        <w:rPr>
          <w:rFonts w:ascii="Times New Roman" w:hAnsi="Times New Roman"/>
          <w:b w:val="0"/>
          <w:i w:val="0"/>
          <w:sz w:val="16"/>
          <w:vertAlign w:val="superscript"/>
        </w:rPr>
        <w:t>5</w:t>
      </w:r>
      <w:r>
        <w:rPr>
          <w:rFonts w:ascii="Times New Roman" w:hAnsi="Times New Roman"/>
          <w:b w:val="0"/>
          <w:i w:val="0"/>
          <w:sz w:val="16"/>
        </w:rPr>
        <w:t xml:space="preserve"> Department of Medicine, Seoul National University, Seoul, Republic of Korea</w:t>
      </w:r>
    </w:p>
    <w:p>
      <w:pPr>
        <w:spacing w:after="60"/>
      </w:pPr>
    </w:p>
    <w:p>
      <w:pPr>
        <w:spacing w:before="0" w:after="40"/>
        <w:ind w:left="0"/>
        <w:jc w:val="left"/>
      </w:pPr>
      <w:r>
        <w:rPr>
          <w:rFonts w:ascii="Times New Roman" w:hAnsi="Times New Roman"/>
          <w:b/>
          <w:i w:val="0"/>
          <w:sz w:val="19"/>
        </w:rPr>
        <w:t>Abstract</w:t>
      </w:r>
    </w:p>
    <w:p>
      <w:pPr>
        <w:spacing w:before="0" w:after="64"/>
        <w:ind w:left="0"/>
        <w:jc w:val="both"/>
      </w:pPr>
      <w:r>
        <w:rPr>
          <w:rFonts w:ascii="Times New Roman" w:hAnsi="Times New Roman"/>
          <w:b w:val="0"/>
          <w:i w:val="0"/>
          <w:sz w:val="17"/>
        </w:rPr>
        <w:t xml:space="preserve">During the morcellation phase of holmium laser enucleation of the prostate (HoLEP) an operator holds a suprapubic probe and must keep the bladder lumen in view. We present a guidance architecture that turns each bladder ultrasound frame into one corrective instruction with two readers: a U-Net segments the bladder lumen, a transparent image-quality function </w:t>
      </w:r>
      <w:r>
        <w:rPr>
          <w:rFonts w:ascii="Times New Roman" w:hAnsi="Times New Roman"/>
          <w:b w:val="0"/>
          <w:i/>
          <w:sz w:val="17"/>
        </w:rPr>
        <w:t>Q</w:t>
      </w:r>
      <w:r>
        <w:rPr>
          <w:rFonts w:ascii="Times New Roman" w:hAnsi="Times New Roman"/>
          <w:b w:val="0"/>
          <w:i w:val="0"/>
          <w:sz w:val="17"/>
        </w:rPr>
        <w:t xml:space="preserve"> judges the frame from the segmentation and the image, and the judgment is emitted as a </w:t>
      </w:r>
      <w:r>
        <w:rPr>
          <w:rFonts w:ascii="Times New Roman" w:hAnsi="Times New Roman"/>
          <w:b/>
          <w:i w:val="0"/>
          <w:sz w:val="17"/>
        </w:rPr>
        <w:t>language instruction</w:t>
      </w:r>
      <w:r>
        <w:rPr>
          <w:rFonts w:ascii="Times New Roman" w:hAnsi="Times New Roman"/>
          <w:b w:val="0"/>
          <w:i w:val="0"/>
          <w:sz w:val="17"/>
        </w:rPr>
        <w:t xml:space="preserve"> naming the next corrective movement — </w:t>
      </w:r>
      <w:r>
        <w:rPr>
          <w:rFonts w:ascii="Times New Roman" w:hAnsi="Times New Roman"/>
          <w:b w:val="0"/>
          <w:i/>
          <w:sz w:val="17"/>
        </w:rPr>
        <w:t>move left</w:t>
      </w:r>
      <w:r>
        <w:rPr>
          <w:rFonts w:ascii="Times New Roman" w:hAnsi="Times New Roman"/>
          <w:b w:val="0"/>
          <w:i w:val="0"/>
          <w:sz w:val="17"/>
        </w:rPr>
        <w:t xml:space="preserve">, </w:t>
      </w:r>
      <w:r>
        <w:rPr>
          <w:rFonts w:ascii="Times New Roman" w:hAnsi="Times New Roman"/>
          <w:b w:val="0"/>
          <w:i/>
          <w:sz w:val="17"/>
        </w:rPr>
        <w:t>move right</w:t>
      </w:r>
      <w:r>
        <w:rPr>
          <w:rFonts w:ascii="Times New Roman" w:hAnsi="Times New Roman"/>
          <w:b w:val="0"/>
          <w:i w:val="0"/>
          <w:sz w:val="17"/>
        </w:rPr>
        <w:t xml:space="preserve">, </w:t>
      </w:r>
      <w:r>
        <w:rPr>
          <w:rFonts w:ascii="Times New Roman" w:hAnsi="Times New Roman"/>
          <w:b w:val="0"/>
          <w:i/>
          <w:sz w:val="17"/>
        </w:rPr>
        <w:t>hold</w:t>
      </w:r>
      <w:r>
        <w:rPr>
          <w:rFonts w:ascii="Times New Roman" w:hAnsi="Times New Roman"/>
          <w:b w:val="0"/>
          <w:i w:val="0"/>
          <w:sz w:val="17"/>
        </w:rPr>
        <w:t xml:space="preserve">, or </w:t>
      </w:r>
      <w:r>
        <w:rPr>
          <w:rFonts w:ascii="Times New Roman" w:hAnsi="Times New Roman"/>
          <w:b w:val="0"/>
          <w:i/>
          <w:sz w:val="17"/>
        </w:rPr>
        <w:t>check bladder filling</w:t>
      </w:r>
      <w:r>
        <w:rPr>
          <w:rFonts w:ascii="Times New Roman" w:hAnsi="Times New Roman"/>
          <w:b w:val="0"/>
          <w:i w:val="0"/>
          <w:sz w:val="17"/>
        </w:rPr>
        <w:t xml:space="preserve">. To the human operator the instruction is pixel-level probing feedback, displayed or spoken; to a robotic probe holder the same instruction is an action token (word, </w:t>
      </w:r>
      <w:r>
        <w:rPr>
          <w:rFonts w:ascii="Times New Roman" w:hAnsi="Times New Roman"/>
          <w:b w:val="0"/>
          <w:i/>
          <w:sz w:val="17"/>
        </w:rPr>
        <w:t>ê</w:t>
      </w:r>
      <w:r>
        <w:rPr>
          <w:rFonts w:ascii="Times New Roman" w:hAnsi="Times New Roman"/>
          <w:b w:val="0"/>
          <w:i w:val="0"/>
          <w:sz w:val="17"/>
        </w:rPr>
        <w:t xml:space="preserve">), translated into a twist command by lookup, because each word carries a defined condition and axis. An instruction is only as fine as the function issuing it, so we first measure what </w:t>
      </w:r>
      <w:r>
        <w:rPr>
          <w:rFonts w:ascii="Times New Roman" w:hAnsi="Times New Roman"/>
          <w:b w:val="0"/>
          <w:i/>
          <w:sz w:val="17"/>
        </w:rPr>
        <w:t>Q</w:t>
      </w:r>
      <w:r>
        <w:rPr>
          <w:rFonts w:ascii="Times New Roman" w:hAnsi="Times New Roman"/>
          <w:b w:val="0"/>
          <w:i w:val="0"/>
          <w:sz w:val="17"/>
        </w:rPr>
        <w:t xml:space="preserve"> can genuinely tell apart: it attains [0.14, 0.78] of its nominal [0, 1] domain, and against its own frame-to-frame noise that range separates </w:t>
      </w:r>
      <w:r>
        <w:rPr>
          <w:rFonts w:ascii="Times New Roman" w:hAnsi="Times New Roman"/>
          <w:b/>
          <w:i w:val="0"/>
          <w:sz w:val="17"/>
        </w:rPr>
        <w:t>47 states a reader can trust as distinct</w:t>
      </w:r>
      <w:r>
        <w:rPr>
          <w:rFonts w:ascii="Times New Roman" w:hAnsi="Times New Roman"/>
          <w:b w:val="0"/>
          <w:i w:val="0"/>
          <w:sz w:val="17"/>
        </w:rPr>
        <w:t xml:space="preserve"> — the ceiling under which any honest instruction set must fit. The vocabulary is then derived rather than chosen: one boundary is physical (a lumen that is not anechoic cannot be a filled bladder — </w:t>
      </w:r>
      <w:r>
        <w:rPr>
          <w:rFonts w:ascii="Times New Roman" w:hAnsi="Times New Roman"/>
          <w:b w:val="0"/>
          <w:i/>
          <w:sz w:val="17"/>
        </w:rPr>
        <w:t>check bladder filling</w:t>
      </w:r>
      <w:r>
        <w:rPr>
          <w:rFonts w:ascii="Times New Roman" w:hAnsi="Times New Roman"/>
          <w:b w:val="0"/>
          <w:i w:val="0"/>
          <w:sz w:val="17"/>
        </w:rPr>
        <w:t xml:space="preserve">), the other statistical (a lateral offset below 1.64σ of the segmentation's centroid noise, σ = 4.92 px, cannot be signed reliably — </w:t>
      </w:r>
      <w:r>
        <w:rPr>
          <w:rFonts w:ascii="Times New Roman" w:hAnsi="Times New Roman"/>
          <w:b w:val="0"/>
          <w:i/>
          <w:sz w:val="17"/>
        </w:rPr>
        <w:t>hold</w:t>
      </w:r>
      <w:r>
        <w:rPr>
          <w:rFonts w:ascii="Times New Roman" w:hAnsi="Times New Roman"/>
          <w:b w:val="0"/>
          <w:i w:val="0"/>
          <w:sz w:val="17"/>
        </w:rPr>
        <w:t>). On 1,936 laterally displaced held-out frames the three-word vocabulary is emitted correctly on 85.2% of frames with a 0.10% direction-error rate. The magnitude of the correction travels beside the word as a continuous value, validated at a regression slope of 0.993 against ground truth; words cannot carry it — magnitude classes narrower than the noise cannot be assigned reliably, and graded vocabularies drop accuracy to 76.5% and 70.7%. We close by outlining how the same judgments would enter robot control — gating, twist scaling, and a noise-floor stopping band — without validating that loop here.</w:t>
      </w:r>
    </w:p>
    <w:p>
      <w:pPr>
        <w:spacing w:before="60" w:after="64"/>
        <w:ind w:left="0"/>
        <w:jc w:val="both"/>
      </w:pPr>
      <w:r>
        <w:rPr>
          <w:rFonts w:ascii="Times New Roman" w:hAnsi="Times New Roman"/>
          <w:b/>
          <w:i w:val="0"/>
          <w:sz w:val="17"/>
        </w:rPr>
        <w:t>Keywords</w:t>
      </w:r>
      <w:r>
        <w:rPr>
          <w:rFonts w:ascii="Times New Roman" w:hAnsi="Times New Roman"/>
          <w:b w:val="0"/>
          <w:i w:val="0"/>
          <w:sz w:val="17"/>
        </w:rPr>
        <w:t xml:space="preserve"> — bladder ultrasound segmentation, image-quality function, operator guidance, language instruction, attained range</w:t>
      </w:r>
    </w:p>
    <w:p>
      <w:pPr>
        <w:spacing w:after="80"/>
      </w:pPr>
    </w:p>
    <w:p>
      <w:pPr>
        <w:sectPr>
          <w:footerReference w:type="default" r:id="rId9"/>
          <w:pgSz w:w="11906" w:h="16838"/>
          <w:pgMar w:top="1077" w:right="1020" w:bottom="1077" w:left="1020" w:header="567" w:footer="567" w:gutter="0"/>
          <w:cols w:space="396" w:num="1"/>
          <w:docGrid w:linePitch="360"/>
        </w:sectPr>
      </w:pPr>
    </w:p>
    <w:p>
      <w:pPr>
        <w:keepNext/>
        <w:spacing w:before="130" w:after="40"/>
        <w:ind w:left="0"/>
        <w:jc w:val="left"/>
      </w:pPr>
      <w:r>
        <w:rPr>
          <w:rFonts w:ascii="Times New Roman" w:hAnsi="Times New Roman"/>
          <w:b/>
          <w:i w:val="0"/>
          <w:sz w:val="20"/>
        </w:rPr>
        <w:t>1. Introduction</w:t>
      </w:r>
    </w:p>
    <w:p>
      <w:pPr>
        <w:spacing w:before="0" w:after="64"/>
        <w:ind w:left="0"/>
        <w:jc w:val="both"/>
      </w:pPr>
      <w:r>
        <w:rPr>
          <w:rFonts w:ascii="Times New Roman" w:hAnsi="Times New Roman"/>
          <w:b w:val="0"/>
          <w:i w:val="0"/>
          <w:sz w:val="19"/>
        </w:rPr>
        <w:t>During the morcellation phase of holmium laser enucleation of the prostate (HoLEP) an assistant holds a suprapubic probe and keeps the bladder lumen in view. Keeping it there is a skill of the kind HoLEP training is built to teach [1]: the lumen drifts as the bladder volume changes, and deciding which way to slide the probe — or recognising that the image has degraded for a reason no probe motion can fix — currently rests on the operator's judgment alone. Automated support for bladder ultrasound has concentrated on the two ends of that judgment: deep networks segment the bladder and its wall accurately and cheaply enough for wearable monitors [3, 4], and guidance systems steer the operator toward a standard view [5]. The image itself carries the information that judgment needs, and for any operator, human or robot alike, the missing piece is not a better segmentation mask but the path from a mask to something the operator can be told to do.</w:t>
      </w:r>
    </w:p>
    <w:p>
      <w:pPr>
        <w:spacing w:before="0" w:after="64"/>
        <w:ind w:left="0"/>
        <w:jc w:val="both"/>
      </w:pPr>
      <w:r>
        <w:rPr>
          <w:rFonts w:ascii="Times New Roman" w:hAnsi="Times New Roman"/>
          <w:b w:val="0"/>
          <w:i w:val="0"/>
          <w:sz w:val="19"/>
        </w:rPr>
        <w:t xml:space="preserve">This paper builds and argues for that path as an architecture of three stages and one interface (Figure 1): </w:t>
      </w:r>
      <w:r>
        <w:rPr>
          <w:rFonts w:ascii="Times New Roman" w:hAnsi="Times New Roman"/>
          <w:b/>
          <w:i w:val="0"/>
          <w:sz w:val="19"/>
        </w:rPr>
        <w:t>segmentation</w:t>
      </w:r>
      <w:r>
        <w:rPr>
          <w:rFonts w:ascii="Times New Roman" w:hAnsi="Times New Roman"/>
          <w:b w:val="0"/>
          <w:i w:val="0"/>
          <w:sz w:val="19"/>
        </w:rPr>
        <w:t xml:space="preserve"> — a U-Net delineates the bladder lumen on each frame; </w:t>
      </w:r>
      <w:r>
        <w:rPr>
          <w:rFonts w:ascii="Times New Roman" w:hAnsi="Times New Roman"/>
          <w:b/>
          <w:i w:val="0"/>
          <w:sz w:val="19"/>
        </w:rPr>
        <w:t>quality judgment</w:t>
      </w:r>
      <w:r>
        <w:rPr>
          <w:rFonts w:ascii="Times New Roman" w:hAnsi="Times New Roman"/>
          <w:b w:val="0"/>
          <w:i w:val="0"/>
          <w:sz w:val="19"/>
        </w:rPr>
        <w:t xml:space="preserve"> — a transparent function </w:t>
      </w:r>
      <w:r>
        <w:rPr>
          <w:rFonts w:ascii="Times New Roman" w:hAnsi="Times New Roman"/>
          <w:b w:val="0"/>
          <w:i/>
          <w:sz w:val="19"/>
        </w:rPr>
        <w:t>Q</w:t>
      </w:r>
      <w:r>
        <w:rPr>
          <w:rFonts w:ascii="Times New Roman" w:hAnsi="Times New Roman"/>
          <w:b w:val="0"/>
          <w:i w:val="0"/>
          <w:sz w:val="19"/>
        </w:rPr>
        <w:t xml:space="preserve">, computed from the segmentation and the image, decides whether and how the frame falls short; </w:t>
      </w:r>
      <w:r>
        <w:rPr>
          <w:rFonts w:ascii="Times New Roman" w:hAnsi="Times New Roman"/>
          <w:b/>
          <w:i w:val="0"/>
          <w:sz w:val="19"/>
        </w:rPr>
        <w:t>corrective action</w:t>
      </w:r>
      <w:r>
        <w:rPr>
          <w:rFonts w:ascii="Times New Roman" w:hAnsi="Times New Roman"/>
          <w:b w:val="0"/>
          <w:i w:val="0"/>
          <w:sz w:val="19"/>
        </w:rPr>
        <w:t xml:space="preserve"> — the judgment is reduced to one of a small set of words naming the next corrective movement, the movement's magnitude travelling beside the word as a continuous value in pixels; and an </w:t>
      </w:r>
      <w:r>
        <w:rPr>
          <w:rFonts w:ascii="Times New Roman" w:hAnsi="Times New Roman"/>
          <w:b/>
          <w:i w:val="0"/>
          <w:sz w:val="19"/>
        </w:rPr>
        <w:t>output interface with two readers</w:t>
      </w:r>
      <w:r>
        <w:rPr>
          <w:rFonts w:ascii="Times New Roman" w:hAnsi="Times New Roman"/>
          <w:b w:val="0"/>
          <w:i w:val="0"/>
          <w:sz w:val="19"/>
        </w:rPr>
        <w:t>. To a human operator the words are pixel-level probing feedback that can be displayed or spoken; to a robotic probe holder the same emission is an action token — the word selects a pre-declared condition and axis, the number scales the motion — so translation into a twist command is a lookup, not an inference. The paper validates the architecture up to the emitted instruction and deliberately stops short of closing a robot loop; Section 4.1 records how the token channel would enter one.</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5832000" cy="1991415"/>
            <wp:docPr id="1" name="Picture 1"/>
            <wp:cNvGraphicFramePr>
              <a:graphicFrameLocks noChangeAspect="1"/>
            </wp:cNvGraphicFramePr>
            <a:graphic>
              <a:graphicData uri="http://schemas.openxmlformats.org/drawingml/2006/picture">
                <pic:pic>
                  <pic:nvPicPr>
                    <pic:cNvPr id="0" name="fig_overview.png"/>
                    <pic:cNvPicPr/>
                  </pic:nvPicPr>
                  <pic:blipFill>
                    <a:blip r:embed="rId10"/>
                    <a:stretch>
                      <a:fillRect/>
                    </a:stretch>
                  </pic:blipFill>
                  <pic:spPr>
                    <a:xfrm>
                      <a:off x="0" y="0"/>
                      <a:ext cx="5832000" cy="1991415"/>
                    </a:xfrm>
                    <a:prstGeom prst="rect"/>
                  </pic:spPr>
                </pic:pic>
              </a:graphicData>
            </a:graphic>
          </wp:inline>
        </w:drawing>
      </w:r>
    </w:p>
    <w:p>
      <w:pPr>
        <w:spacing w:after="120"/>
        <w:jc w:val="both"/>
      </w:pPr>
      <w:r>
        <w:rPr>
          <w:rFonts w:ascii="Times New Roman" w:hAnsi="Times New Roman"/>
          <w:b/>
          <w:i w:val="0"/>
          <w:sz w:val="15"/>
        </w:rPr>
        <w:t>Figure 1.</w:t>
      </w:r>
      <w:r>
        <w:rPr>
          <w:rFonts w:ascii="Times New Roman" w:hAnsi="Times New Roman"/>
          <w:b w:val="0"/>
          <w:i w:val="0"/>
          <w:sz w:val="15"/>
        </w:rPr>
        <w:t xml:space="preserve"> The guidance architecture. A U-Net segments the lumen (1); </w:t>
      </w:r>
      <w:r>
        <w:rPr>
          <w:rFonts w:ascii="Times New Roman" w:hAnsi="Times New Roman"/>
          <w:b w:val="0"/>
          <w:i/>
          <w:sz w:val="15"/>
        </w:rPr>
        <w:t>Q</w:t>
      </w:r>
      <w:r>
        <w:rPr>
          <w:rFonts w:ascii="Times New Roman" w:hAnsi="Times New Roman"/>
          <w:b w:val="0"/>
          <w:i w:val="0"/>
          <w:sz w:val="15"/>
        </w:rPr>
        <w:t xml:space="preserve"> judges the frame from the segmentation and the image (2); the judgment becomes one instruction — a word with the continuous magnitude </w:t>
      </w:r>
      <w:r>
        <w:rPr>
          <w:rFonts w:ascii="Times New Roman" w:hAnsi="Times New Roman"/>
          <w:b w:val="0"/>
          <w:i/>
          <w:sz w:val="15"/>
        </w:rPr>
        <w:t>ê</w:t>
      </w:r>
      <w:r>
        <w:rPr>
          <w:rFonts w:ascii="Times New Roman" w:hAnsi="Times New Roman"/>
          <w:b w:val="0"/>
          <w:i w:val="0"/>
          <w:sz w:val="15"/>
        </w:rPr>
        <w:t xml:space="preserve"> beside it (3). The same emission is read twice: as language feedback by the human operator, and as an action token by a robotic probe holder, translated to a twist by lookup. Stages 1–3 and the emitted instruction are validated here; the robotic execution (dashed) is a design contract, recorded in Section 4.1.</w:t>
      </w:r>
    </w:p>
    <w:p>
      <w:pPr>
        <w:sectPr>
          <w:type w:val="continuous"/>
          <w:pgSz w:w="11906" w:h="16838"/>
          <w:pgMar w:top="1077" w:right="1020" w:bottom="1077" w:left="1020" w:header="567" w:footer="567" w:gutter="0"/>
          <w:cols w:space="396" w:num="1"/>
          <w:docGrid w:linePitch="360"/>
        </w:sectPr>
      </w:pPr>
    </w:p>
    <w:p>
      <w:pPr>
        <w:spacing w:before="0" w:after="64"/>
        <w:ind w:left="0"/>
        <w:jc w:val="both"/>
      </w:pPr>
      <w:r>
        <w:rPr>
          <w:rFonts w:ascii="Times New Roman" w:hAnsi="Times New Roman"/>
          <w:b w:val="0"/>
          <w:i w:val="0"/>
          <w:sz w:val="19"/>
        </w:rPr>
        <w:t xml:space="preserve">The central technical question is what instruction set </w:t>
      </w:r>
      <w:r>
        <w:rPr>
          <w:rFonts w:ascii="Times New Roman" w:hAnsi="Times New Roman"/>
          <w:b w:val="0"/>
          <w:i/>
          <w:sz w:val="19"/>
        </w:rPr>
        <w:t>Q</w:t>
      </w:r>
      <w:r>
        <w:rPr>
          <w:rFonts w:ascii="Times New Roman" w:hAnsi="Times New Roman"/>
          <w:b w:val="0"/>
          <w:i w:val="0"/>
          <w:sz w:val="19"/>
        </w:rPr>
        <w:t xml:space="preserve"> can honestly support. The property that decides it is the function's </w:t>
      </w:r>
      <w:r>
        <w:rPr>
          <w:rFonts w:ascii="Times New Roman" w:hAnsi="Times New Roman"/>
          <w:b/>
          <w:i w:val="0"/>
          <w:sz w:val="19"/>
        </w:rPr>
        <w:t>attained range</w:t>
      </w:r>
      <w:r>
        <w:rPr>
          <w:rFonts w:ascii="Times New Roman" w:hAnsi="Times New Roman"/>
          <w:b w:val="0"/>
          <w:i w:val="0"/>
          <w:sz w:val="19"/>
        </w:rPr>
        <w:t xml:space="preserve"> — the interval of values it actually takes on real frames — and not its correlation with any accuracy metric. A score that is formally defined on [0, 1] but occupies a band narrower than its own frame-to-frame noise cannot separate any two decisions, however well it ranks. Range divided by noise counts the states the function can genuinely tell apart — score differences a reader can trust as real rather than as noise — and that count is an upper bound on the size of an honest instruction vocabulary: Sections 3.2 and 3.3 measure it, and Section 3.4 derives the vocabulary from it.</w:t>
      </w:r>
    </w:p>
    <w:p>
      <w:pPr>
        <w:keepNext/>
        <w:spacing w:before="130" w:after="40"/>
        <w:ind w:left="0"/>
        <w:jc w:val="left"/>
      </w:pPr>
      <w:r>
        <w:rPr>
          <w:rFonts w:ascii="Times New Roman" w:hAnsi="Times New Roman"/>
          <w:b/>
          <w:i w:val="0"/>
          <w:sz w:val="20"/>
        </w:rPr>
        <w:t>2. Methods</w:t>
      </w:r>
    </w:p>
    <w:p>
      <w:pPr>
        <w:keepNext/>
        <w:spacing w:before="90" w:after="40"/>
        <w:ind w:left="0"/>
        <w:jc w:val="left"/>
      </w:pPr>
      <w:r>
        <w:rPr>
          <w:rFonts w:ascii="Times New Roman" w:hAnsi="Times New Roman"/>
          <w:b/>
          <w:i w:val="0"/>
          <w:sz w:val="18"/>
        </w:rPr>
        <w:t>2.1 Segmentation and the Image State</w:t>
      </w:r>
    </w:p>
    <w:p>
      <w:pPr>
        <w:spacing w:before="0" w:after="64"/>
        <w:ind w:left="0"/>
        <w:jc w:val="both"/>
      </w:pPr>
      <w:r>
        <w:rPr>
          <w:rFonts w:ascii="Times New Roman" w:hAnsi="Times New Roman"/>
          <w:b w:val="0"/>
          <w:i w:val="0"/>
          <w:sz w:val="19"/>
        </w:rPr>
        <w:t xml:space="preserve">A U-Net [2] takes a 256 × 256 B-mode frame and produces a lumen probability map, thresholded at 0.5 and reduced to its largest connected component with interior holes filled. Frames come from PFUS1 [6], a public transperineal pelvic-floor ultrasound dataset: midsagittal videos of 101 women without pelvic-floor pathology, at rest and during Valsalva, acquired on one scanner at one centre, with the urinary bladder among the eight annotated organs [6, 7]. </w:t>
      </w:r>
      <w:r>
        <w:rPr>
          <w:rFonts w:ascii="Times New Roman" w:hAnsi="Times New Roman"/>
          <w:b/>
          <w:i w:val="0"/>
          <w:sz w:val="19"/>
        </w:rPr>
        <w:t>It is not HoLEP imaging</w:t>
      </w:r>
      <w:r>
        <w:rPr>
          <w:rFonts w:ascii="Times New Roman" w:hAnsi="Times New Roman"/>
          <w:b w:val="0"/>
          <w:i w:val="0"/>
          <w:sz w:val="19"/>
        </w:rPr>
        <w:t xml:space="preserve"> — the acoustic window (transperineal rather than suprapubic), the population (women in diagnostic examinations rather than men under morcellation), and the scene (no morcellator, no irrigation inflow) all differ — and Section 4.2 states what that gap leaves unvalidated. The model was trained on a patient-disjoint split and was not retrained or re-tuned for this study. All measurements below are made on the two held-out frame sets (1,661 and 1,292 frames) that share no patient with training or with each other; the segmentation performance on those frames is reported in Section 3.1.</w:t>
      </w:r>
    </w:p>
    <w:p>
      <w:pPr>
        <w:spacing w:before="0" w:after="64"/>
        <w:ind w:left="0"/>
        <w:jc w:val="both"/>
      </w:pPr>
      <w:r>
        <w:rPr>
          <w:rFonts w:ascii="Times New Roman" w:hAnsi="Times New Roman"/>
          <w:b w:val="0"/>
          <w:i w:val="0"/>
          <w:sz w:val="19"/>
        </w:rPr>
        <w:t>From the mask an image state is computed — centroid, area, boundary statistics, and lumen-to-surround intensity contrast — with every ratio taken over the insonified sector rather than the image rectangle. The sector was measured from the training images (66.4% of the frame, IoU ≥ 0.964 against held-out frames); without it the frame grabber's crop enters every area ratio.</w:t>
      </w:r>
    </w:p>
    <w:p>
      <w:pPr>
        <w:keepNext/>
        <w:spacing w:before="90" w:after="40"/>
        <w:ind w:left="0"/>
        <w:jc w:val="left"/>
      </w:pPr>
      <w:r>
        <w:rPr>
          <w:rFonts w:ascii="Times New Roman" w:hAnsi="Times New Roman"/>
          <w:b/>
          <w:i w:val="0"/>
          <w:sz w:val="18"/>
        </w:rPr>
        <w:t>2.2 The Quality Function</w:t>
      </w:r>
    </w:p>
    <w:p>
      <w:pPr>
        <w:spacing w:before="0" w:after="64"/>
        <w:ind w:left="0"/>
        <w:jc w:val="both"/>
      </w:pPr>
      <w:r>
        <w:rPr>
          <w:rFonts w:ascii="Times New Roman" w:hAnsi="Times New Roman"/>
          <w:b w:val="0"/>
          <w:i/>
          <w:sz w:val="19"/>
        </w:rPr>
        <w:t>Q</w:t>
      </w:r>
      <w:r>
        <w:rPr>
          <w:rFonts w:ascii="Times New Roman" w:hAnsi="Times New Roman"/>
          <w:b w:val="0"/>
          <w:i w:val="0"/>
          <w:sz w:val="19"/>
        </w:rPr>
        <w:t xml:space="preserve"> is a weighted geometric mean of sub-scores, each normalised to [0, 1], every term and weight logged so that a value can be traced back to its components. Three sub-scores consult the ultrasound image — lumen-to-surround contrast, centering on the darkness centroid, and boundary sharpness of the probability map — and the rest restate the mask or its history (completeness, confidence, geometry, temporal agreement).</w:t>
      </w:r>
    </w:p>
    <w:p>
      <w:pPr>
        <w:tabs>
          <w:tab w:pos="4734" w:val="right"/>
        </w:tabs>
        <w:spacing w:before="80" w:after="80"/>
        <w:jc w:val="left"/>
      </w:pPr>
      <w:r>
        <w:rPr>
          <w:rFonts w:ascii="Times New Roman" w:hAnsi="Times New Roman"/>
          <w:b w:val="0"/>
          <w:i/>
          <w:sz w:val="19"/>
        </w:rPr>
        <w:t>Q = exp( Σ w</w:t>
      </w:r>
      <w:r>
        <w:rPr>
          <w:rFonts w:ascii="Times New Roman" w:hAnsi="Times New Roman"/>
          <w:b w:val="0"/>
          <w:i/>
          <w:sz w:val="19"/>
          <w:vertAlign w:val="subscript"/>
        </w:rPr>
        <w:t>i</w:t>
      </w:r>
      <w:r>
        <w:rPr>
          <w:rFonts w:ascii="Times New Roman" w:hAnsi="Times New Roman"/>
          <w:b w:val="0"/>
          <w:i/>
          <w:sz w:val="19"/>
        </w:rPr>
        <w:t xml:space="preserve"> ln s</w:t>
      </w:r>
      <w:r>
        <w:rPr>
          <w:rFonts w:ascii="Times New Roman" w:hAnsi="Times New Roman"/>
          <w:b w:val="0"/>
          <w:i/>
          <w:sz w:val="19"/>
          <w:vertAlign w:val="subscript"/>
        </w:rPr>
        <w:t>i</w:t>
      </w:r>
      <w:r>
        <w:rPr>
          <w:rFonts w:ascii="Times New Roman" w:hAnsi="Times New Roman"/>
          <w:b w:val="0"/>
          <w:i/>
          <w:sz w:val="19"/>
        </w:rPr>
        <w:t xml:space="preserve"> / Σ w</w:t>
      </w:r>
      <w:r>
        <w:rPr>
          <w:rFonts w:ascii="Times New Roman" w:hAnsi="Times New Roman"/>
          <w:b w:val="0"/>
          <w:i/>
          <w:sz w:val="19"/>
          <w:vertAlign w:val="subscript"/>
        </w:rPr>
        <w:t>i</w:t>
      </w:r>
      <w:r>
        <w:rPr>
          <w:rFonts w:ascii="Times New Roman" w:hAnsi="Times New Roman"/>
          <w:b w:val="0"/>
          <w:i/>
          <w:sz w:val="19"/>
        </w:rPr>
        <w:t xml:space="preserve"> )</w:t>
      </w:r>
      <w:r>
        <w:tab/>
      </w:r>
      <w:r>
        <w:rPr>
          <w:rFonts w:ascii="Times New Roman" w:hAnsi="Times New Roman"/>
          <w:b w:val="0"/>
          <w:i w:val="0"/>
          <w:sz w:val="19"/>
        </w:rPr>
        <w:t>(1)</w:t>
      </w:r>
    </w:p>
    <w:p>
      <w:pPr>
        <w:spacing w:before="0" w:after="64"/>
        <w:ind w:left="0"/>
        <w:jc w:val="both"/>
      </w:pPr>
      <w:r>
        <w:rPr>
          <w:rFonts w:ascii="Times New Roman" w:hAnsi="Times New Roman"/>
          <w:b w:val="0"/>
          <w:i w:val="0"/>
          <w:sz w:val="19"/>
        </w:rPr>
        <w:t>The geometric aggregation has the shape a decision needs: the mean is dominated by its smallest term, so a frame whose lumen contrast has collapsed scores low no matter how well the remaining terms do — no single degraded property can hide inside an average.</w:t>
      </w:r>
    </w:p>
    <w:p>
      <w:pPr>
        <w:spacing w:before="0" w:after="64"/>
        <w:ind w:left="0"/>
        <w:jc w:val="both"/>
      </w:pPr>
      <w:r>
        <w:rPr>
          <w:rFonts w:ascii="Times New Roman" w:hAnsi="Times New Roman"/>
          <w:b w:val="0"/>
          <w:i w:val="0"/>
          <w:sz w:val="19"/>
        </w:rPr>
        <w:t>The weights are set by rule, not fitted — with eleven patients per split, any fitted weight would report sampling noise. They are tiered and equal within a tier: the three image-reading terms share the top weight (1.5 each, 4.5 of the 6.0 total), the mask-side domain check keeps 0.5, terms whose measured behaviour disqualifies them are set to zero, and `segmentation confidence` keeps its inherited 1.0 — what that buys is measured rather than assumed, in Section 3.2. The three temporal terms are switched off: the frames are static examinations, so frame-to-frame agreement would score the smoothness of a recording, not the stability of a control loop.</w:t>
      </w:r>
    </w:p>
    <w:p>
      <w:pPr>
        <w:keepNext/>
        <w:spacing w:before="90" w:after="40"/>
        <w:ind w:left="0"/>
        <w:jc w:val="left"/>
      </w:pPr>
      <w:r>
        <w:rPr>
          <w:rFonts w:ascii="Times New Roman" w:hAnsi="Times New Roman"/>
          <w:b/>
          <w:i w:val="0"/>
          <w:sz w:val="18"/>
        </w:rPr>
        <w:t xml:space="preserve">2.3 Range, Noise, and What </w:t>
      </w:r>
      <w:r>
        <w:rPr>
          <w:rFonts w:ascii="Times New Roman" w:hAnsi="Times New Roman"/>
          <w:b/>
          <w:i/>
          <w:sz w:val="18"/>
        </w:rPr>
        <w:t>Q</w:t>
      </w:r>
      <w:r>
        <w:rPr>
          <w:rFonts w:ascii="Times New Roman" w:hAnsi="Times New Roman"/>
          <w:b/>
          <w:i w:val="0"/>
          <w:sz w:val="18"/>
        </w:rPr>
        <w:t xml:space="preserve"> Can Tell Apart</w:t>
      </w:r>
    </w:p>
    <w:p>
      <w:pPr>
        <w:spacing w:before="0" w:after="64"/>
        <w:ind w:left="0"/>
        <w:jc w:val="both"/>
      </w:pPr>
      <w:r>
        <w:rPr>
          <w:rFonts w:ascii="Times New Roman" w:hAnsi="Times New Roman"/>
          <w:b w:val="0"/>
          <w:i w:val="0"/>
          <w:sz w:val="19"/>
        </w:rPr>
        <w:t xml:space="preserve">The first property measured is the </w:t>
      </w:r>
      <w:r>
        <w:rPr>
          <w:rFonts w:ascii="Times New Roman" w:hAnsi="Times New Roman"/>
          <w:b/>
          <w:i w:val="0"/>
          <w:sz w:val="19"/>
        </w:rPr>
        <w:t>attained range</w:t>
      </w:r>
      <w:r>
        <w:rPr>
          <w:rFonts w:ascii="Times New Roman" w:hAnsi="Times New Roman"/>
          <w:b w:val="0"/>
          <w:i w:val="0"/>
          <w:sz w:val="19"/>
        </w:rPr>
        <w:t xml:space="preserve"> — the interval of values </w:t>
      </w:r>
      <w:r>
        <w:rPr>
          <w:rFonts w:ascii="Times New Roman" w:hAnsi="Times New Roman"/>
          <w:b w:val="0"/>
          <w:i/>
          <w:sz w:val="19"/>
        </w:rPr>
        <w:t>Q</w:t>
      </w:r>
      <w:r>
        <w:rPr>
          <w:rFonts w:ascii="Times New Roman" w:hAnsi="Times New Roman"/>
          <w:b w:val="0"/>
          <w:i w:val="0"/>
          <w:sz w:val="19"/>
        </w:rPr>
        <w:t xml:space="preserve"> actually takes over all 2,953 held-out frames, set against its nominal domain [0, 1]; because the geometric mean is additive in the logarithm, every part of that range is traceable to one sub-score. A range is then only useful relative to the noise on it. These are static examinations, so the change in </w:t>
      </w:r>
      <w:r>
        <w:rPr>
          <w:rFonts w:ascii="Times New Roman" w:hAnsi="Times New Roman"/>
          <w:b w:val="0"/>
          <w:i/>
          <w:sz w:val="19"/>
        </w:rPr>
        <w:t>Q</w:t>
      </w:r>
      <w:r>
        <w:rPr>
          <w:rFonts w:ascii="Times New Roman" w:hAnsi="Times New Roman"/>
          <w:b w:val="0"/>
          <w:i w:val="0"/>
          <w:sz w:val="19"/>
        </w:rPr>
        <w:t xml:space="preserve"> between adjacent frames is almost entirely the function's own jitter, and two frames whose scores differ by less than that jitter cannot be ordered — the difference is as likely noise as signal. Dividing the attained range by the jitter therefore counts </w:t>
      </w:r>
      <w:r>
        <w:rPr>
          <w:rFonts w:ascii="Times New Roman" w:hAnsi="Times New Roman"/>
          <w:b/>
          <w:i w:val="0"/>
          <w:sz w:val="19"/>
        </w:rPr>
        <w:t>how many states a reader of *Q* can genuinely tell apart</w:t>
      </w:r>
      <w:r>
        <w:rPr>
          <w:rFonts w:ascii="Times New Roman" w:hAnsi="Times New Roman"/>
          <w:b w:val="0"/>
          <w:i w:val="0"/>
          <w:sz w:val="19"/>
        </w:rPr>
        <w:t>; the central 80% of the distribution — the operating region a threshold would actually be placed in — is reported alongside the full range.</w:t>
      </w:r>
    </w:p>
    <w:p>
      <w:pPr>
        <w:keepNext/>
        <w:spacing w:before="90" w:after="40"/>
        <w:ind w:left="0"/>
        <w:jc w:val="left"/>
      </w:pPr>
      <w:r>
        <w:rPr>
          <w:rFonts w:ascii="Times New Roman" w:hAnsi="Times New Roman"/>
          <w:b/>
          <w:i w:val="0"/>
          <w:sz w:val="18"/>
        </w:rPr>
        <w:t>2.4 The Instruction Axis</w:t>
      </w:r>
    </w:p>
    <w:p>
      <w:pPr>
        <w:spacing w:before="0" w:after="64"/>
        <w:ind w:left="0"/>
        <w:jc w:val="both"/>
      </w:pPr>
      <w:r>
        <w:rPr>
          <w:rFonts w:ascii="Times New Roman" w:hAnsi="Times New Roman"/>
          <w:b w:val="0"/>
          <w:i w:val="0"/>
          <w:sz w:val="19"/>
        </w:rPr>
        <w:t xml:space="preserve">The instruction is issued on the one image axis that leaves the imaging plane invariant. Of the probe's six axes only </w:t>
      </w:r>
      <w:r>
        <w:rPr>
          <w:rFonts w:ascii="Times New Roman" w:hAnsi="Times New Roman"/>
          <w:b w:val="0"/>
          <w:i/>
          <w:sz w:val="19"/>
        </w:rPr>
        <w:t>v</w:t>
      </w:r>
      <w:r>
        <w:rPr>
          <w:rFonts w:ascii="Times New Roman" w:hAnsi="Times New Roman"/>
          <w:b w:val="0"/>
          <w:i w:val="0"/>
          <w:sz w:val="19"/>
          <w:vertAlign w:val="subscript"/>
        </w:rPr>
        <w:t>x</w:t>
      </w:r>
      <w:r>
        <w:rPr>
          <w:rFonts w:ascii="Times New Roman" w:hAnsi="Times New Roman"/>
          <w:b w:val="0"/>
          <w:i w:val="0"/>
          <w:sz w:val="19"/>
        </w:rPr>
        <w:t xml:space="preserve">, </w:t>
      </w:r>
      <w:r>
        <w:rPr>
          <w:rFonts w:ascii="Times New Roman" w:hAnsi="Times New Roman"/>
          <w:b w:val="0"/>
          <w:i/>
          <w:sz w:val="19"/>
        </w:rPr>
        <w:t>v</w:t>
      </w:r>
      <w:r>
        <w:rPr>
          <w:rFonts w:ascii="Times New Roman" w:hAnsi="Times New Roman"/>
          <w:b w:val="0"/>
          <w:i w:val="0"/>
          <w:sz w:val="19"/>
          <w:vertAlign w:val="subscript"/>
        </w:rPr>
        <w:t>z</w:t>
      </w:r>
      <w:r>
        <w:rPr>
          <w:rFonts w:ascii="Times New Roman" w:hAnsi="Times New Roman"/>
          <w:b w:val="0"/>
          <w:i w:val="0"/>
          <w:sz w:val="19"/>
        </w:rPr>
        <w:t xml:space="preserve"> and </w:t>
      </w:r>
      <w:r>
        <w:rPr>
          <w:rFonts w:ascii="Times New Roman" w:hAnsi="Times New Roman"/>
          <w:b w:val="0"/>
          <w:i/>
          <w:sz w:val="19"/>
        </w:rPr>
        <w:t>ω</w:t>
      </w:r>
      <w:r>
        <w:rPr>
          <w:rFonts w:ascii="Times New Roman" w:hAnsi="Times New Roman"/>
          <w:b w:val="0"/>
          <w:i w:val="0"/>
          <w:sz w:val="19"/>
          <w:vertAlign w:val="subscript"/>
        </w:rPr>
        <w:t>y</w:t>
      </w:r>
      <w:r>
        <w:rPr>
          <w:rFonts w:ascii="Times New Roman" w:hAnsi="Times New Roman"/>
          <w:b w:val="0"/>
          <w:i w:val="0"/>
          <w:sz w:val="19"/>
        </w:rPr>
        <w:t xml:space="preserve"> preserve the plane; of the three the image policy holds, only lateral sliding </w:t>
      </w:r>
      <w:r>
        <w:rPr>
          <w:rFonts w:ascii="Times New Roman" w:hAnsi="Times New Roman"/>
          <w:b w:val="0"/>
          <w:i/>
          <w:sz w:val="19"/>
        </w:rPr>
        <w:t>v</w:t>
      </w:r>
      <w:r>
        <w:rPr>
          <w:rFonts w:ascii="Times New Roman" w:hAnsi="Times New Roman"/>
          <w:b w:val="0"/>
          <w:i w:val="0"/>
          <w:sz w:val="19"/>
          <w:vertAlign w:val="subscript"/>
        </w:rPr>
        <w:t>x</w:t>
      </w:r>
      <w:r>
        <w:rPr>
          <w:rFonts w:ascii="Times New Roman" w:hAnsi="Times New Roman"/>
          <w:b w:val="0"/>
          <w:i w:val="0"/>
          <w:sz w:val="19"/>
        </w:rPr>
        <w:t xml:space="preserve"> does, and only it presents a measurable vector error rather than a scalar to be searched (Figure 2a). Write the instruction as </w:t>
      </w:r>
      <w:r>
        <w:rPr>
          <w:rFonts w:ascii="Times New Roman" w:hAnsi="Times New Roman"/>
          <w:b w:val="0"/>
          <w:i/>
          <w:sz w:val="19"/>
        </w:rPr>
        <w:t>ê</w:t>
      </w:r>
      <w:r>
        <w:rPr>
          <w:rFonts w:ascii="Times New Roman" w:hAnsi="Times New Roman"/>
          <w:b w:val="0"/>
          <w:i w:val="0"/>
          <w:sz w:val="19"/>
        </w:rPr>
        <w:t xml:space="preserve"> = </w:t>
      </w:r>
      <w:r>
        <w:rPr>
          <w:rFonts w:ascii="Times New Roman" w:hAnsi="Times New Roman"/>
          <w:b w:val="0"/>
          <w:i/>
          <w:sz w:val="19"/>
        </w:rPr>
        <w:t>A</w:t>
      </w:r>
      <w:r>
        <w:rPr>
          <w:rFonts w:ascii="Times New Roman" w:hAnsi="Times New Roman"/>
          <w:b w:val="0"/>
          <w:i w:val="0"/>
          <w:sz w:val="19"/>
        </w:rPr>
        <w:t xml:space="preserve"> − </w:t>
      </w:r>
      <w:r>
        <w:rPr>
          <w:rFonts w:ascii="Times New Roman" w:hAnsi="Times New Roman"/>
          <w:b w:val="0"/>
          <w:i/>
          <w:sz w:val="19"/>
        </w:rPr>
        <w:t>ĉ</w:t>
      </w:r>
      <w:r>
        <w:rPr>
          <w:rFonts w:ascii="Times New Roman" w:hAnsi="Times New Roman"/>
          <w:b w:val="0"/>
          <w:i w:val="0"/>
          <w:sz w:val="19"/>
        </w:rPr>
        <w:t xml:space="preserve">, with </w:t>
      </w:r>
      <w:r>
        <w:rPr>
          <w:rFonts w:ascii="Times New Roman" w:hAnsi="Times New Roman"/>
          <w:b w:val="0"/>
          <w:i/>
          <w:sz w:val="19"/>
        </w:rPr>
        <w:t>A</w:t>
      </w:r>
      <w:r>
        <w:rPr>
          <w:rFonts w:ascii="Times New Roman" w:hAnsi="Times New Roman"/>
          <w:b w:val="0"/>
          <w:i w:val="0"/>
          <w:sz w:val="19"/>
        </w:rPr>
        <w:t xml:space="preserve"> the beam axis and </w:t>
      </w:r>
      <w:r>
        <w:rPr>
          <w:rFonts w:ascii="Times New Roman" w:hAnsi="Times New Roman"/>
          <w:b w:val="0"/>
          <w:i/>
          <w:sz w:val="19"/>
        </w:rPr>
        <w:t>ĉ</w:t>
      </w:r>
      <w:r>
        <w:rPr>
          <w:rFonts w:ascii="Times New Roman" w:hAnsi="Times New Roman"/>
          <w:b w:val="0"/>
          <w:i w:val="0"/>
          <w:sz w:val="19"/>
        </w:rPr>
        <w:t xml:space="preserve"> the predicted lumen centroid abscissa (Figure 2b).</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4536000" cy="1872354"/>
            <wp:docPr id="2" name="Picture 2"/>
            <wp:cNvGraphicFramePr>
              <a:graphicFrameLocks noChangeAspect="1"/>
            </wp:cNvGraphicFramePr>
            <a:graphic>
              <a:graphicData uri="http://schemas.openxmlformats.org/drawingml/2006/picture">
                <pic:pic>
                  <pic:nvPicPr>
                    <pic:cNvPr id="0" name="fig_axes.png"/>
                    <pic:cNvPicPr/>
                  </pic:nvPicPr>
                  <pic:blipFill>
                    <a:blip r:embed="rId11"/>
                    <a:stretch>
                      <a:fillRect/>
                    </a:stretch>
                  </pic:blipFill>
                  <pic:spPr>
                    <a:xfrm>
                      <a:off x="0" y="0"/>
                      <a:ext cx="4536000" cy="1872354"/>
                    </a:xfrm>
                    <a:prstGeom prst="rect"/>
                  </pic:spPr>
                </pic:pic>
              </a:graphicData>
            </a:graphic>
          </wp:inline>
        </w:drawing>
      </w:r>
    </w:p>
    <w:p>
      <w:pPr>
        <w:spacing w:after="120"/>
        <w:jc w:val="both"/>
      </w:pPr>
      <w:r>
        <w:rPr>
          <w:rFonts w:ascii="Times New Roman" w:hAnsi="Times New Roman"/>
          <w:b/>
          <w:i w:val="0"/>
          <w:sz w:val="15"/>
        </w:rPr>
        <w:t>Figure 2.</w:t>
      </w:r>
      <w:r>
        <w:rPr>
          <w:rFonts w:ascii="Times New Roman" w:hAnsi="Times New Roman"/>
          <w:b w:val="0"/>
          <w:i w:val="0"/>
          <w:sz w:val="15"/>
        </w:rPr>
        <w:t xml:space="preserve"> (a) Only </w:t>
      </w:r>
      <w:r>
        <w:rPr>
          <w:rFonts w:ascii="Times New Roman" w:hAnsi="Times New Roman"/>
          <w:b w:val="0"/>
          <w:i/>
          <w:sz w:val="15"/>
        </w:rPr>
        <w:t>v</w:t>
      </w:r>
      <w:r>
        <w:rPr>
          <w:rFonts w:ascii="Times New Roman" w:hAnsi="Times New Roman"/>
          <w:b w:val="0"/>
          <w:i w:val="0"/>
          <w:sz w:val="15"/>
          <w:vertAlign w:val="subscript"/>
        </w:rPr>
        <w:t>x</w:t>
      </w:r>
      <w:r>
        <w:rPr>
          <w:rFonts w:ascii="Times New Roman" w:hAnsi="Times New Roman"/>
          <w:b w:val="0"/>
          <w:i w:val="0"/>
          <w:sz w:val="15"/>
        </w:rPr>
        <w:t xml:space="preserve"> leaves the imaging plane invariant among the three axes the image policy holds. (b) The lateral instruction on one frame: </w:t>
      </w:r>
      <w:r>
        <w:rPr>
          <w:rFonts w:ascii="Times New Roman" w:hAnsi="Times New Roman"/>
          <w:b w:val="0"/>
          <w:i/>
          <w:sz w:val="15"/>
        </w:rPr>
        <w:t>A</w:t>
      </w:r>
      <w:r>
        <w:rPr>
          <w:rFonts w:ascii="Times New Roman" w:hAnsi="Times New Roman"/>
          <w:b w:val="0"/>
          <w:i w:val="0"/>
          <w:sz w:val="15"/>
        </w:rPr>
        <w:t xml:space="preserve"> is the beam axis, </w:t>
      </w:r>
      <w:r>
        <w:rPr>
          <w:rFonts w:ascii="Times New Roman" w:hAnsi="Times New Roman"/>
          <w:b w:val="0"/>
          <w:i/>
          <w:sz w:val="15"/>
        </w:rPr>
        <w:t>c</w:t>
      </w:r>
      <w:r>
        <w:rPr>
          <w:rFonts w:ascii="Times New Roman" w:hAnsi="Times New Roman"/>
          <w:b w:val="0"/>
          <w:i w:val="0"/>
          <w:sz w:val="15"/>
        </w:rPr>
        <w:t xml:space="preserve"> the lumen centroid abscissa, </w:t>
      </w:r>
      <w:r>
        <w:rPr>
          <w:rFonts w:ascii="Times New Roman" w:hAnsi="Times New Roman"/>
          <w:b w:val="0"/>
          <w:i/>
          <w:sz w:val="15"/>
        </w:rPr>
        <w:t>e</w:t>
      </w:r>
      <w:r>
        <w:rPr>
          <w:rFonts w:ascii="Times New Roman" w:hAnsi="Times New Roman"/>
          <w:b w:val="0"/>
          <w:i w:val="0"/>
          <w:sz w:val="15"/>
        </w:rPr>
        <w:t xml:space="preserve"> = </w:t>
      </w:r>
      <w:r>
        <w:rPr>
          <w:rFonts w:ascii="Times New Roman" w:hAnsi="Times New Roman"/>
          <w:b w:val="0"/>
          <w:i/>
          <w:sz w:val="15"/>
        </w:rPr>
        <w:t>A</w:t>
      </w:r>
      <w:r>
        <w:rPr>
          <w:rFonts w:ascii="Times New Roman" w:hAnsi="Times New Roman"/>
          <w:b w:val="0"/>
          <w:i w:val="0"/>
          <w:sz w:val="15"/>
        </w:rPr>
        <w:t xml:space="preserve"> − </w:t>
      </w:r>
      <w:r>
        <w:rPr>
          <w:rFonts w:ascii="Times New Roman" w:hAnsi="Times New Roman"/>
          <w:b w:val="0"/>
          <w:i/>
          <w:sz w:val="15"/>
        </w:rPr>
        <w:t>c</w:t>
      </w:r>
      <w:r>
        <w:rPr>
          <w:rFonts w:ascii="Times New Roman" w:hAnsi="Times New Roman"/>
          <w:b w:val="0"/>
          <w:i w:val="0"/>
          <w:sz w:val="15"/>
        </w:rPr>
        <w:t>.</w:t>
      </w:r>
    </w:p>
    <w:p>
      <w:pPr>
        <w:sectPr>
          <w:type w:val="continuous"/>
          <w:pgSz w:w="11906" w:h="16838"/>
          <w:pgMar w:top="1077" w:right="1020" w:bottom="1077" w:left="1020" w:header="567" w:footer="567" w:gutter="0"/>
          <w:cols w:space="396" w:num="1"/>
          <w:docGrid w:linePitch="360"/>
        </w:sectPr>
      </w:pPr>
    </w:p>
    <w:p>
      <w:pPr>
        <w:keepNext/>
        <w:spacing w:before="90" w:after="40"/>
        <w:ind w:left="0"/>
        <w:jc w:val="left"/>
      </w:pPr>
      <w:r>
        <w:rPr>
          <w:rFonts w:ascii="Times New Roman" w:hAnsi="Times New Roman"/>
          <w:b/>
          <w:i w:val="0"/>
          <w:sz w:val="18"/>
        </w:rPr>
        <w:t>2.5 Validation by Lateral Translation</w:t>
      </w:r>
    </w:p>
    <w:p>
      <w:pPr>
        <w:spacing w:before="0" w:after="64"/>
        <w:ind w:left="0"/>
        <w:jc w:val="both"/>
      </w:pPr>
      <w:r>
        <w:rPr>
          <w:rFonts w:ascii="Times New Roman" w:hAnsi="Times New Roman"/>
          <w:b w:val="0"/>
          <w:i w:val="0"/>
          <w:sz w:val="19"/>
        </w:rPr>
        <w:t xml:space="preserve">One property of the frames prevents the direction from being validated on them as recorded: in all 2,953 the lumen lies on the same side of the beam axis, so </w:t>
      </w:r>
      <w:r>
        <w:rPr>
          <w:rFonts w:ascii="Times New Roman" w:hAnsi="Times New Roman"/>
          <w:b w:val="0"/>
          <w:i/>
          <w:sz w:val="19"/>
        </w:rPr>
        <w:t>e</w:t>
      </w:r>
      <w:r>
        <w:rPr>
          <w:rFonts w:ascii="Times New Roman" w:hAnsi="Times New Roman"/>
          <w:b w:val="0"/>
          <w:i w:val="0"/>
          <w:sz w:val="19"/>
        </w:rPr>
        <w:t xml:space="preserve"> never changes sign and a constant output would score 99.3%. The sonographer holds a diagnostic view rather than centring the lumen on the axis, which is a property of how the frames were acquired and not of the function.</w:t>
      </w:r>
    </w:p>
    <w:p>
      <w:pPr>
        <w:spacing w:before="0" w:after="64"/>
        <w:ind w:left="0"/>
        <w:jc w:val="both"/>
      </w:pPr>
      <w:r>
        <w:rPr>
          <w:rFonts w:ascii="Times New Roman" w:hAnsi="Times New Roman"/>
          <w:b w:val="0"/>
          <w:i w:val="0"/>
          <w:sz w:val="19"/>
        </w:rPr>
        <w:t xml:space="preserve">The instruction is therefore exercised on laterally translated frames. Lateral translation is the one probe motion single-plane frames can reproduce faithfully, and it carries the lumen across the axis so that </w:t>
      </w:r>
      <w:r>
        <w:rPr>
          <w:rFonts w:ascii="Times New Roman" w:hAnsi="Times New Roman"/>
          <w:b w:val="0"/>
          <w:i/>
          <w:sz w:val="19"/>
        </w:rPr>
        <w:t>e</w:t>
      </w:r>
      <w:r>
        <w:rPr>
          <w:rFonts w:ascii="Times New Roman" w:hAnsi="Times New Roman"/>
          <w:b w:val="0"/>
          <w:i w:val="0"/>
          <w:sz w:val="19"/>
        </w:rPr>
        <w:t xml:space="preserve"> changes sign; each frame is shifted by the amount that places </w:t>
      </w:r>
      <w:r>
        <w:rPr>
          <w:rFonts w:ascii="Times New Roman" w:hAnsi="Times New Roman"/>
          <w:b w:val="0"/>
          <w:i/>
          <w:sz w:val="19"/>
        </w:rPr>
        <w:t>e</w:t>
      </w:r>
      <w:r>
        <w:rPr>
          <w:rFonts w:ascii="Times New Roman" w:hAnsi="Times New Roman"/>
          <w:b w:val="0"/>
          <w:i w:val="0"/>
          <w:sz w:val="19"/>
        </w:rPr>
        <w:t xml:space="preserve"> on a prescribed target, sampled densely near the crossing and sparsely away from it. Fabricated margin is filled by edge replication, never black, which every intensity term would read as anechoic lumen. Across the sweep the segmentation is unaffected — Dice holds at 0.858 — and 1,936 frames result, 43% with </w:t>
      </w:r>
      <w:r>
        <w:rPr>
          <w:rFonts w:ascii="Times New Roman" w:hAnsi="Times New Roman"/>
          <w:b w:val="0"/>
          <w:i/>
          <w:sz w:val="19"/>
        </w:rPr>
        <w:t>e</w:t>
      </w:r>
      <w:r>
        <w:rPr>
          <w:rFonts w:ascii="Times New Roman" w:hAnsi="Times New Roman"/>
          <w:b w:val="0"/>
          <w:i w:val="0"/>
          <w:sz w:val="19"/>
        </w:rPr>
        <w:t xml:space="preserve"> &lt; 0.</w:t>
      </w:r>
    </w:p>
    <w:p>
      <w:pPr>
        <w:keepNext/>
        <w:spacing w:before="130" w:after="40"/>
        <w:ind w:left="0"/>
        <w:jc w:val="left"/>
      </w:pPr>
      <w:r>
        <w:rPr>
          <w:rFonts w:ascii="Times New Roman" w:hAnsi="Times New Roman"/>
          <w:b/>
          <w:i w:val="0"/>
          <w:sz w:val="20"/>
        </w:rPr>
        <w:t>3. Results</w:t>
      </w:r>
    </w:p>
    <w:p>
      <w:pPr>
        <w:keepNext/>
        <w:spacing w:before="90" w:after="40"/>
        <w:ind w:left="0"/>
        <w:jc w:val="left"/>
      </w:pPr>
      <w:r>
        <w:rPr>
          <w:rFonts w:ascii="Times New Roman" w:hAnsi="Times New Roman"/>
          <w:b/>
          <w:i w:val="0"/>
          <w:sz w:val="18"/>
        </w:rPr>
        <w:t>3.1 Segmentation Performance</w:t>
      </w:r>
    </w:p>
    <w:p>
      <w:pPr>
        <w:spacing w:before="0" w:after="64"/>
        <w:ind w:left="0"/>
        <w:jc w:val="both"/>
      </w:pPr>
      <w:r>
        <w:rPr>
          <w:rFonts w:ascii="Times New Roman" w:hAnsi="Times New Roman"/>
          <w:b w:val="0"/>
          <w:i w:val="0"/>
          <w:sz w:val="19"/>
        </w:rPr>
        <w:t xml:space="preserve">Table 1 stratifies the segmentation stage by bladder filling — the share of the insonified sector the annotated lumen occupies, the area a filling bladder sweeps. Performance rises monotonically with distension, from 0.825 / 0.807 (val / test, all frames) to above 0.90 in the fullest bands; within the working domain (lumen ≥ 5.7% of the sector, the state morcellation irrigation is meant to maintain) the lateral centroid error, the quantity the instruction is built on, has a median of 3.85 px and 3.65 px. The tail below the domain is the same population the </w:t>
      </w:r>
      <w:r>
        <w:rPr>
          <w:rFonts w:ascii="Times New Roman" w:hAnsi="Times New Roman"/>
          <w:b w:val="0"/>
          <w:i/>
          <w:sz w:val="19"/>
        </w:rPr>
        <w:t>check bladder filling</w:t>
      </w:r>
      <w:r>
        <w:rPr>
          <w:rFonts w:ascii="Times New Roman" w:hAnsi="Times New Roman"/>
          <w:b w:val="0"/>
          <w:i w:val="0"/>
          <w:sz w:val="19"/>
        </w:rPr>
        <w:t xml:space="preserve"> branch of Section 3.4 addresses: segmentation degrades exactly where the instruction refuses to steer.</w:t>
      </w:r>
    </w:p>
    <w:p>
      <w:pPr>
        <w:keepNext/>
        <w:spacing w:before="120" w:after="40"/>
      </w:pPr>
      <w:r>
        <w:rPr>
          <w:rFonts w:ascii="Times New Roman" w:hAnsi="Times New Roman"/>
          <w:b/>
          <w:i w:val="0"/>
          <w:sz w:val="15"/>
        </w:rPr>
        <w:t>Table 1.</w:t>
      </w:r>
      <w:r>
        <w:rPr>
          <w:rFonts w:ascii="Times New Roman" w:hAnsi="Times New Roman"/>
          <w:b w:val="0"/>
          <w:i w:val="0"/>
          <w:sz w:val="15"/>
        </w:rPr>
        <w:t xml:space="preserve"> Segmentation by bladder filling: frames stratified by the share of the insonified sector the annotated lumen occupies. Dice is mean ± sd; bold marks the distended-bladder working domain.</w:t>
      </w:r>
    </w:p>
    <w:tbl>
      <w:tblPr>
        <w:tblW w:type="auto" w:w="0"/>
        <w:jc w:val="center"/>
        <w:tblLayout w:type="fixed"/>
        <w:tblLook w:firstColumn="1" w:firstRow="1" w:lastColumn="0" w:lastRow="0" w:noHBand="0" w:noVBand="1" w:val="04A0"/>
        <w:tblLayout w:type="fixed"/>
        <w:tblW w:w="4706" w:type="dxa"/>
      </w:tblPr>
      <w:tblGrid>
        <w:gridCol w:w="1039"/>
        <w:gridCol w:w="611"/>
        <w:gridCol w:w="1222"/>
        <w:gridCol w:w="611"/>
        <w:gridCol w:w="1222"/>
      </w:tblGrid>
      <w:tr>
        <w:trPr>
          <w:cantSplit/>
        </w:trPr>
        <w:tc>
          <w:tcPr>
            <w:tcW w:type="dxa" w:w="1039"/>
            <w:tcBorders>
              <w:top w:val="single" w:sz="8" w:color="000000"/>
              <w:bottom w:val="single" w:sz="8" w:color="000000"/>
              <w:left w:val="nil"/>
              <w:right w:val="nil"/>
            </w:tcBorders>
          </w:tcPr>
          <w:p>
            <w:pPr>
              <w:spacing w:after="10"/>
              <w:keepNext/>
            </w:pPr>
            <w:r>
              <w:rPr>
                <w:rFonts w:ascii="Times New Roman" w:hAnsi="Times New Roman"/>
                <w:b/>
                <w:i w:val="0"/>
                <w:sz w:val="15"/>
              </w:rPr>
              <w:t>Lumen area</w:t>
            </w:r>
          </w:p>
        </w:tc>
        <w:tc>
          <w:tcPr>
            <w:tcW w:type="dxa" w:w="611"/>
            <w:tcBorders>
              <w:top w:val="single" w:sz="8" w:color="000000"/>
              <w:bottom w:val="single" w:sz="8" w:color="000000"/>
              <w:left w:val="nil"/>
              <w:right w:val="nil"/>
            </w:tcBorders>
          </w:tcPr>
          <w:p>
            <w:pPr>
              <w:spacing w:after="10"/>
              <w:keepNext/>
            </w:pPr>
            <w:r>
              <w:rPr>
                <w:rFonts w:ascii="Times New Roman" w:hAnsi="Times New Roman"/>
                <w:b/>
                <w:i w:val="0"/>
                <w:sz w:val="15"/>
              </w:rPr>
              <w:t>n (val)</w:t>
            </w:r>
          </w:p>
        </w:tc>
        <w:tc>
          <w:tcPr>
            <w:tcW w:type="dxa" w:w="1222"/>
            <w:tcBorders>
              <w:top w:val="single" w:sz="8" w:color="000000"/>
              <w:bottom w:val="single" w:sz="8" w:color="000000"/>
              <w:left w:val="nil"/>
              <w:right w:val="nil"/>
            </w:tcBorders>
          </w:tcPr>
          <w:p>
            <w:pPr>
              <w:spacing w:after="10"/>
              <w:keepNext/>
            </w:pPr>
            <w:r>
              <w:rPr>
                <w:rFonts w:ascii="Times New Roman" w:hAnsi="Times New Roman"/>
                <w:b/>
                <w:i w:val="0"/>
                <w:sz w:val="15"/>
              </w:rPr>
              <w:t>Dice (val)</w:t>
            </w:r>
          </w:p>
        </w:tc>
        <w:tc>
          <w:tcPr>
            <w:tcW w:type="dxa" w:w="611"/>
            <w:tcBorders>
              <w:top w:val="single" w:sz="8" w:color="000000"/>
              <w:bottom w:val="single" w:sz="8" w:color="000000"/>
              <w:left w:val="nil"/>
              <w:right w:val="nil"/>
            </w:tcBorders>
          </w:tcPr>
          <w:p>
            <w:pPr>
              <w:spacing w:after="10"/>
              <w:keepNext/>
            </w:pPr>
            <w:r>
              <w:rPr>
                <w:rFonts w:ascii="Times New Roman" w:hAnsi="Times New Roman"/>
                <w:b/>
                <w:i w:val="0"/>
                <w:sz w:val="15"/>
              </w:rPr>
              <w:t>n (test)</w:t>
            </w:r>
          </w:p>
        </w:tc>
        <w:tc>
          <w:tcPr>
            <w:tcW w:type="dxa" w:w="1222"/>
            <w:tcBorders>
              <w:top w:val="single" w:sz="8" w:color="000000"/>
              <w:bottom w:val="single" w:sz="8" w:color="000000"/>
              <w:left w:val="nil"/>
              <w:right w:val="nil"/>
            </w:tcBorders>
          </w:tcPr>
          <w:p>
            <w:pPr>
              <w:spacing w:after="10"/>
              <w:keepNext/>
            </w:pPr>
            <w:r>
              <w:rPr>
                <w:rFonts w:ascii="Times New Roman" w:hAnsi="Times New Roman"/>
                <w:b/>
                <w:i w:val="0"/>
                <w:sz w:val="15"/>
              </w:rPr>
              <w:t>Dice (test)</w:t>
            </w:r>
          </w:p>
        </w:tc>
      </w:tr>
      <w:tr>
        <w:trPr>
          <w:cantSplit/>
        </w:trPr>
        <w:tc>
          <w:tcPr>
            <w:tcW w:type="dxa" w:w="1039"/>
            <w:tcBorders>
              <w:top w:val="single" w:sz="4" w:color="808080"/>
              <w:bottom w:val="single" w:sz="4" w:color="808080"/>
              <w:left w:val="nil"/>
              <w:right w:val="nil"/>
            </w:tcBorders>
          </w:tcPr>
          <w:p>
            <w:pPr>
              <w:spacing w:after="10"/>
              <w:keepNext/>
            </w:pPr>
            <w:r>
              <w:rPr>
                <w:rFonts w:ascii="Times New Roman" w:hAnsi="Times New Roman"/>
                <w:b w:val="0"/>
                <w:i w:val="0"/>
                <w:sz w:val="15"/>
              </w:rPr>
              <w:t>all frames</w:t>
            </w:r>
          </w:p>
        </w:tc>
        <w:tc>
          <w:tcPr>
            <w:tcW w:type="dxa" w:w="611"/>
            <w:tcBorders>
              <w:top w:val="single" w:sz="4" w:color="808080"/>
              <w:bottom w:val="single" w:sz="4" w:color="808080"/>
              <w:left w:val="nil"/>
              <w:right w:val="nil"/>
            </w:tcBorders>
          </w:tcPr>
          <w:p>
            <w:pPr>
              <w:spacing w:after="10"/>
              <w:keepNext/>
            </w:pPr>
            <w:r>
              <w:rPr>
                <w:rFonts w:ascii="Times New Roman" w:hAnsi="Times New Roman"/>
                <w:b w:val="0"/>
                <w:i w:val="0"/>
                <w:sz w:val="15"/>
              </w:rPr>
              <w:t>1,661</w:t>
            </w:r>
          </w:p>
        </w:tc>
        <w:tc>
          <w:tcPr>
            <w:tcW w:type="dxa" w:w="1222"/>
            <w:tcBorders>
              <w:top w:val="single" w:sz="4" w:color="808080"/>
              <w:bottom w:val="single" w:sz="4" w:color="808080"/>
              <w:left w:val="nil"/>
              <w:right w:val="nil"/>
            </w:tcBorders>
          </w:tcPr>
          <w:p>
            <w:pPr>
              <w:spacing w:after="10"/>
              <w:keepNext/>
            </w:pPr>
            <w:r>
              <w:rPr>
                <w:rFonts w:ascii="Times New Roman" w:hAnsi="Times New Roman"/>
                <w:b w:val="0"/>
                <w:i w:val="0"/>
                <w:sz w:val="15"/>
              </w:rPr>
              <w:t>0.825 ± 0.091</w:t>
            </w:r>
          </w:p>
        </w:tc>
        <w:tc>
          <w:tcPr>
            <w:tcW w:type="dxa" w:w="611"/>
            <w:tcBorders>
              <w:top w:val="single" w:sz="4" w:color="808080"/>
              <w:bottom w:val="single" w:sz="4" w:color="808080"/>
              <w:left w:val="nil"/>
              <w:right w:val="nil"/>
            </w:tcBorders>
          </w:tcPr>
          <w:p>
            <w:pPr>
              <w:spacing w:after="10"/>
              <w:keepNext/>
            </w:pPr>
            <w:r>
              <w:rPr>
                <w:rFonts w:ascii="Times New Roman" w:hAnsi="Times New Roman"/>
                <w:b w:val="0"/>
                <w:i w:val="0"/>
                <w:sz w:val="15"/>
              </w:rPr>
              <w:t>1,292</w:t>
            </w:r>
          </w:p>
        </w:tc>
        <w:tc>
          <w:tcPr>
            <w:tcW w:type="dxa" w:w="1222"/>
            <w:tcBorders>
              <w:top w:val="single" w:sz="4" w:color="808080"/>
              <w:bottom w:val="single" w:sz="4" w:color="808080"/>
              <w:left w:val="nil"/>
              <w:right w:val="nil"/>
            </w:tcBorders>
          </w:tcPr>
          <w:p>
            <w:pPr>
              <w:spacing w:after="10"/>
              <w:keepNext/>
            </w:pPr>
            <w:r>
              <w:rPr>
                <w:rFonts w:ascii="Times New Roman" w:hAnsi="Times New Roman"/>
                <w:b w:val="0"/>
                <w:i w:val="0"/>
                <w:sz w:val="15"/>
              </w:rPr>
              <w:t>0.807 ± 0.123</w:t>
            </w:r>
          </w:p>
        </w:tc>
      </w:tr>
      <w:tr>
        <w:trPr>
          <w:cantSplit/>
        </w:trPr>
        <w:tc>
          <w:tcPr>
            <w:tcW w:type="dxa" w:w="1039"/>
            <w:tcBorders>
              <w:top w:val="single" w:sz="4" w:color="808080"/>
              <w:bottom w:val="single" w:sz="4" w:color="808080"/>
              <w:left w:val="nil"/>
              <w:right w:val="nil"/>
            </w:tcBorders>
          </w:tcPr>
          <w:p>
            <w:pPr>
              <w:spacing w:after="10"/>
              <w:keepNext/>
            </w:pPr>
            <w:r>
              <w:rPr>
                <w:rFonts w:ascii="Times New Roman" w:hAnsi="Times New Roman"/>
                <w:b w:val="0"/>
                <w:i w:val="0"/>
                <w:sz w:val="15"/>
              </w:rPr>
              <w:t>≥ 3.0%</w:t>
            </w:r>
          </w:p>
        </w:tc>
        <w:tc>
          <w:tcPr>
            <w:tcW w:type="dxa" w:w="611"/>
            <w:tcBorders>
              <w:top w:val="single" w:sz="4" w:color="808080"/>
              <w:bottom w:val="single" w:sz="4" w:color="808080"/>
              <w:left w:val="nil"/>
              <w:right w:val="nil"/>
            </w:tcBorders>
          </w:tcPr>
          <w:p>
            <w:pPr>
              <w:spacing w:after="10"/>
              <w:keepNext/>
            </w:pPr>
            <w:r>
              <w:rPr>
                <w:rFonts w:ascii="Times New Roman" w:hAnsi="Times New Roman"/>
                <w:b w:val="0"/>
                <w:i w:val="0"/>
                <w:sz w:val="15"/>
              </w:rPr>
              <w:t>1,431</w:t>
            </w:r>
          </w:p>
        </w:tc>
        <w:tc>
          <w:tcPr>
            <w:tcW w:type="dxa" w:w="1222"/>
            <w:tcBorders>
              <w:top w:val="single" w:sz="4" w:color="808080"/>
              <w:bottom w:val="single" w:sz="4" w:color="808080"/>
              <w:left w:val="nil"/>
              <w:right w:val="nil"/>
            </w:tcBorders>
          </w:tcPr>
          <w:p>
            <w:pPr>
              <w:spacing w:after="10"/>
              <w:keepNext/>
            </w:pPr>
            <w:r>
              <w:rPr>
                <w:rFonts w:ascii="Times New Roman" w:hAnsi="Times New Roman"/>
                <w:b w:val="0"/>
                <w:i w:val="0"/>
                <w:sz w:val="15"/>
              </w:rPr>
              <w:t>0.839 ± 0.084</w:t>
            </w:r>
          </w:p>
        </w:tc>
        <w:tc>
          <w:tcPr>
            <w:tcW w:type="dxa" w:w="611"/>
            <w:tcBorders>
              <w:top w:val="single" w:sz="4" w:color="808080"/>
              <w:bottom w:val="single" w:sz="4" w:color="808080"/>
              <w:left w:val="nil"/>
              <w:right w:val="nil"/>
            </w:tcBorders>
          </w:tcPr>
          <w:p>
            <w:pPr>
              <w:spacing w:after="10"/>
              <w:keepNext/>
            </w:pPr>
            <w:r>
              <w:rPr>
                <w:rFonts w:ascii="Times New Roman" w:hAnsi="Times New Roman"/>
                <w:b w:val="0"/>
                <w:i w:val="0"/>
                <w:sz w:val="15"/>
              </w:rPr>
              <w:t>995</w:t>
            </w:r>
          </w:p>
        </w:tc>
        <w:tc>
          <w:tcPr>
            <w:tcW w:type="dxa" w:w="1222"/>
            <w:tcBorders>
              <w:top w:val="single" w:sz="4" w:color="808080"/>
              <w:bottom w:val="single" w:sz="4" w:color="808080"/>
              <w:left w:val="nil"/>
              <w:right w:val="nil"/>
            </w:tcBorders>
          </w:tcPr>
          <w:p>
            <w:pPr>
              <w:spacing w:after="10"/>
              <w:keepNext/>
            </w:pPr>
            <w:r>
              <w:rPr>
                <w:rFonts w:ascii="Times New Roman" w:hAnsi="Times New Roman"/>
                <w:b w:val="0"/>
                <w:i w:val="0"/>
                <w:sz w:val="15"/>
              </w:rPr>
              <w:t>0.853 ± 0.070</w:t>
            </w:r>
          </w:p>
        </w:tc>
      </w:tr>
      <w:tr>
        <w:trPr>
          <w:cantSplit/>
        </w:trPr>
        <w:tc>
          <w:tcPr>
            <w:tcW w:type="dxa" w:w="1039"/>
            <w:tcBorders>
              <w:top w:val="single" w:sz="4" w:color="808080"/>
              <w:bottom w:val="single" w:sz="4" w:color="808080"/>
              <w:left w:val="nil"/>
              <w:right w:val="nil"/>
            </w:tcBorders>
          </w:tcPr>
          <w:p>
            <w:pPr>
              <w:spacing w:after="10"/>
              <w:keepNext/>
            </w:pPr>
            <w:r>
              <w:rPr>
                <w:rFonts w:ascii="Times New Roman" w:hAnsi="Times New Roman"/>
                <w:b/>
                <w:i w:val="0"/>
                <w:sz w:val="15"/>
              </w:rPr>
              <w:t>≥ 5.7%</w:t>
            </w:r>
          </w:p>
        </w:tc>
        <w:tc>
          <w:tcPr>
            <w:tcW w:type="dxa" w:w="611"/>
            <w:tcBorders>
              <w:top w:val="single" w:sz="4" w:color="808080"/>
              <w:bottom w:val="single" w:sz="4" w:color="808080"/>
              <w:left w:val="nil"/>
              <w:right w:val="nil"/>
            </w:tcBorders>
          </w:tcPr>
          <w:p>
            <w:pPr>
              <w:spacing w:after="10"/>
              <w:keepNext/>
            </w:pPr>
            <w:r>
              <w:rPr>
                <w:rFonts w:ascii="Times New Roman" w:hAnsi="Times New Roman"/>
                <w:b/>
                <w:i w:val="0"/>
                <w:sz w:val="15"/>
              </w:rPr>
              <w:t>994</w:t>
            </w:r>
          </w:p>
        </w:tc>
        <w:tc>
          <w:tcPr>
            <w:tcW w:type="dxa" w:w="1222"/>
            <w:tcBorders>
              <w:top w:val="single" w:sz="4" w:color="808080"/>
              <w:bottom w:val="single" w:sz="4" w:color="808080"/>
              <w:left w:val="nil"/>
              <w:right w:val="nil"/>
            </w:tcBorders>
          </w:tcPr>
          <w:p>
            <w:pPr>
              <w:spacing w:after="10"/>
              <w:keepNext/>
            </w:pPr>
            <w:r>
              <w:rPr>
                <w:rFonts w:ascii="Times New Roman" w:hAnsi="Times New Roman"/>
                <w:b/>
                <w:i w:val="0"/>
                <w:sz w:val="15"/>
              </w:rPr>
              <w:t>0.882 ± 0.044</w:t>
            </w:r>
          </w:p>
        </w:tc>
        <w:tc>
          <w:tcPr>
            <w:tcW w:type="dxa" w:w="611"/>
            <w:tcBorders>
              <w:top w:val="single" w:sz="4" w:color="808080"/>
              <w:bottom w:val="single" w:sz="4" w:color="808080"/>
              <w:left w:val="nil"/>
              <w:right w:val="nil"/>
            </w:tcBorders>
          </w:tcPr>
          <w:p>
            <w:pPr>
              <w:spacing w:after="10"/>
              <w:keepNext/>
            </w:pPr>
            <w:r>
              <w:rPr>
                <w:rFonts w:ascii="Times New Roman" w:hAnsi="Times New Roman"/>
                <w:b/>
                <w:i w:val="0"/>
                <w:sz w:val="15"/>
              </w:rPr>
              <w:t>396</w:t>
            </w:r>
          </w:p>
        </w:tc>
        <w:tc>
          <w:tcPr>
            <w:tcW w:type="dxa" w:w="1222"/>
            <w:tcBorders>
              <w:top w:val="single" w:sz="4" w:color="808080"/>
              <w:bottom w:val="single" w:sz="4" w:color="808080"/>
              <w:left w:val="nil"/>
              <w:right w:val="nil"/>
            </w:tcBorders>
          </w:tcPr>
          <w:p>
            <w:pPr>
              <w:spacing w:after="10"/>
              <w:keepNext/>
            </w:pPr>
            <w:r>
              <w:rPr>
                <w:rFonts w:ascii="Times New Roman" w:hAnsi="Times New Roman"/>
                <w:b/>
                <w:i w:val="0"/>
                <w:sz w:val="15"/>
              </w:rPr>
              <w:t>0.892 ± 0.047</w:t>
            </w:r>
          </w:p>
        </w:tc>
      </w:tr>
      <w:tr>
        <w:trPr>
          <w:cantSplit/>
        </w:trPr>
        <w:tc>
          <w:tcPr>
            <w:tcW w:type="dxa" w:w="1039"/>
            <w:tcBorders>
              <w:top w:val="single" w:sz="4" w:color="808080"/>
              <w:bottom w:val="single" w:sz="4" w:color="808080"/>
              <w:left w:val="nil"/>
              <w:right w:val="nil"/>
            </w:tcBorders>
          </w:tcPr>
          <w:p>
            <w:pPr>
              <w:spacing w:after="10"/>
              <w:keepNext/>
            </w:pPr>
            <w:r>
              <w:rPr>
                <w:rFonts w:ascii="Times New Roman" w:hAnsi="Times New Roman"/>
                <w:b w:val="0"/>
                <w:i w:val="0"/>
                <w:sz w:val="15"/>
              </w:rPr>
              <w:t>≥ 8.0%</w:t>
            </w:r>
          </w:p>
        </w:tc>
        <w:tc>
          <w:tcPr>
            <w:tcW w:type="dxa" w:w="611"/>
            <w:tcBorders>
              <w:top w:val="single" w:sz="4" w:color="808080"/>
              <w:bottom w:val="single" w:sz="4" w:color="808080"/>
              <w:left w:val="nil"/>
              <w:right w:val="nil"/>
            </w:tcBorders>
          </w:tcPr>
          <w:p>
            <w:pPr>
              <w:spacing w:after="10"/>
              <w:keepNext/>
            </w:pPr>
            <w:r>
              <w:rPr>
                <w:rFonts w:ascii="Times New Roman" w:hAnsi="Times New Roman"/>
                <w:b w:val="0"/>
                <w:i w:val="0"/>
                <w:sz w:val="15"/>
              </w:rPr>
              <w:t>650</w:t>
            </w:r>
          </w:p>
        </w:tc>
        <w:tc>
          <w:tcPr>
            <w:tcW w:type="dxa" w:w="1222"/>
            <w:tcBorders>
              <w:top w:val="single" w:sz="4" w:color="808080"/>
              <w:bottom w:val="single" w:sz="4" w:color="808080"/>
              <w:left w:val="nil"/>
              <w:right w:val="nil"/>
            </w:tcBorders>
          </w:tcPr>
          <w:p>
            <w:pPr>
              <w:spacing w:after="10"/>
              <w:keepNext/>
            </w:pPr>
            <w:r>
              <w:rPr>
                <w:rFonts w:ascii="Times New Roman" w:hAnsi="Times New Roman"/>
                <w:b w:val="0"/>
                <w:i w:val="0"/>
                <w:sz w:val="15"/>
              </w:rPr>
              <w:t>0.903 ± 0.030</w:t>
            </w:r>
          </w:p>
        </w:tc>
        <w:tc>
          <w:tcPr>
            <w:tcW w:type="dxa" w:w="611"/>
            <w:tcBorders>
              <w:top w:val="single" w:sz="4" w:color="808080"/>
              <w:bottom w:val="single" w:sz="4" w:color="808080"/>
              <w:left w:val="nil"/>
              <w:right w:val="nil"/>
            </w:tcBorders>
          </w:tcPr>
          <w:p>
            <w:pPr>
              <w:spacing w:after="10"/>
              <w:keepNext/>
            </w:pPr>
            <w:r>
              <w:rPr>
                <w:rFonts w:ascii="Times New Roman" w:hAnsi="Times New Roman"/>
                <w:b w:val="0"/>
                <w:i w:val="0"/>
                <w:sz w:val="15"/>
              </w:rPr>
              <w:t>135</w:t>
            </w:r>
          </w:p>
        </w:tc>
        <w:tc>
          <w:tcPr>
            <w:tcW w:type="dxa" w:w="1222"/>
            <w:tcBorders>
              <w:top w:val="single" w:sz="4" w:color="808080"/>
              <w:bottom w:val="single" w:sz="4" w:color="808080"/>
              <w:left w:val="nil"/>
              <w:right w:val="nil"/>
            </w:tcBorders>
          </w:tcPr>
          <w:p>
            <w:pPr>
              <w:spacing w:after="10"/>
              <w:keepNext/>
            </w:pPr>
            <w:r>
              <w:rPr>
                <w:rFonts w:ascii="Times New Roman" w:hAnsi="Times New Roman"/>
                <w:b w:val="0"/>
                <w:i w:val="0"/>
                <w:sz w:val="15"/>
              </w:rPr>
              <w:t>0.929 ± 0.016</w:t>
            </w:r>
          </w:p>
        </w:tc>
      </w:tr>
      <w:tr>
        <w:trPr>
          <w:cantSplit/>
        </w:trPr>
        <w:tc>
          <w:tcPr>
            <w:tcW w:type="dxa" w:w="1039"/>
            <w:tcBorders>
              <w:top w:val="single" w:sz="4" w:color="808080"/>
              <w:bottom w:val="single" w:sz="4" w:color="808080"/>
              <w:left w:val="nil"/>
              <w:right w:val="nil"/>
            </w:tcBorders>
          </w:tcPr>
          <w:p>
            <w:pPr>
              <w:spacing w:after="10"/>
            </w:pPr>
            <w:r>
              <w:rPr>
                <w:rFonts w:ascii="Times New Roman" w:hAnsi="Times New Roman"/>
                <w:b w:val="0"/>
                <w:i w:val="0"/>
                <w:sz w:val="15"/>
              </w:rPr>
              <w:t>≥ 12.0%</w:t>
            </w:r>
          </w:p>
        </w:tc>
        <w:tc>
          <w:tcPr>
            <w:tcW w:type="dxa" w:w="611"/>
            <w:tcBorders>
              <w:top w:val="single" w:sz="4" w:color="808080"/>
              <w:bottom w:val="single" w:sz="4" w:color="808080"/>
              <w:left w:val="nil"/>
              <w:right w:val="nil"/>
            </w:tcBorders>
          </w:tcPr>
          <w:p>
            <w:pPr>
              <w:spacing w:after="10"/>
            </w:pPr>
            <w:r>
              <w:rPr>
                <w:rFonts w:ascii="Times New Roman" w:hAnsi="Times New Roman"/>
                <w:b w:val="0"/>
                <w:i w:val="0"/>
                <w:sz w:val="15"/>
              </w:rPr>
              <w:t>134</w:t>
            </w:r>
          </w:p>
        </w:tc>
        <w:tc>
          <w:tcPr>
            <w:tcW w:type="dxa" w:w="1222"/>
            <w:tcBorders>
              <w:top w:val="single" w:sz="4" w:color="808080"/>
              <w:bottom w:val="single" w:sz="4" w:color="808080"/>
              <w:left w:val="nil"/>
              <w:right w:val="nil"/>
            </w:tcBorders>
          </w:tcPr>
          <w:p>
            <w:pPr>
              <w:spacing w:after="10"/>
            </w:pPr>
            <w:r>
              <w:rPr>
                <w:rFonts w:ascii="Times New Roman" w:hAnsi="Times New Roman"/>
                <w:b w:val="0"/>
                <w:i w:val="0"/>
                <w:sz w:val="15"/>
              </w:rPr>
              <w:t>0.908 ± 0.036</w:t>
            </w:r>
          </w:p>
        </w:tc>
        <w:tc>
          <w:tcPr>
            <w:tcW w:type="dxa" w:w="611"/>
            <w:tcBorders>
              <w:top w:val="single" w:sz="4" w:color="808080"/>
              <w:bottom w:val="single" w:sz="4" w:color="808080"/>
              <w:left w:val="nil"/>
              <w:right w:val="nil"/>
            </w:tcBorders>
          </w:tcPr>
          <w:p>
            <w:pPr>
              <w:spacing w:after="10"/>
            </w:pPr>
            <w:r>
              <w:rPr>
                <w:rFonts w:ascii="Times New Roman" w:hAnsi="Times New Roman"/>
                <w:b w:val="0"/>
                <w:i w:val="0"/>
                <w:sz w:val="15"/>
              </w:rPr>
              <w:t>128</w:t>
            </w:r>
          </w:p>
        </w:tc>
        <w:tc>
          <w:tcPr>
            <w:tcW w:type="dxa" w:w="1222"/>
            <w:tcBorders>
              <w:top w:val="single" w:sz="4" w:color="808080"/>
              <w:bottom w:val="single" w:sz="4" w:color="808080"/>
              <w:left w:val="nil"/>
              <w:right w:val="nil"/>
            </w:tcBorders>
          </w:tcPr>
          <w:p>
            <w:pPr>
              <w:spacing w:after="10"/>
            </w:pPr>
            <w:r>
              <w:rPr>
                <w:rFonts w:ascii="Times New Roman" w:hAnsi="Times New Roman"/>
                <w:b w:val="0"/>
                <w:i w:val="0"/>
                <w:sz w:val="15"/>
              </w:rPr>
              <w:t>0.931 ± 0.011</w:t>
            </w:r>
          </w:p>
        </w:tc>
      </w:tr>
    </w:tbl>
    <w:p>
      <w:pPr>
        <w:spacing w:after="60"/>
      </w:pPr>
    </w:p>
    <w:p>
      <w:pPr>
        <w:keepNext/>
        <w:spacing w:before="90" w:after="40"/>
        <w:ind w:left="0"/>
        <w:jc w:val="left"/>
      </w:pPr>
      <w:r>
        <w:rPr>
          <w:rFonts w:ascii="Times New Roman" w:hAnsi="Times New Roman"/>
          <w:b/>
          <w:i w:val="0"/>
          <w:sz w:val="18"/>
        </w:rPr>
        <w:t xml:space="preserve">3.2 The Attained Range of </w:t>
      </w:r>
      <w:r>
        <w:rPr>
          <w:rFonts w:ascii="Times New Roman" w:hAnsi="Times New Roman"/>
          <w:b/>
          <w:i/>
          <w:sz w:val="18"/>
        </w:rPr>
        <w:t>Q</w:t>
      </w:r>
    </w:p>
    <w:p>
      <w:pPr>
        <w:spacing w:before="0" w:after="64"/>
        <w:ind w:left="0"/>
        <w:jc w:val="both"/>
      </w:pPr>
      <w:r>
        <w:rPr>
          <w:rFonts w:ascii="Times New Roman" w:hAnsi="Times New Roman"/>
          <w:b w:val="0"/>
          <w:i/>
          <w:sz w:val="19"/>
        </w:rPr>
        <w:t>Q</w:t>
      </w:r>
      <w:r>
        <w:rPr>
          <w:rFonts w:ascii="Times New Roman" w:hAnsi="Times New Roman"/>
          <w:b w:val="0"/>
          <w:i w:val="0"/>
          <w:sz w:val="19"/>
        </w:rPr>
        <w:t xml:space="preserve"> is defined on [0, 1]. On 2,953 held-out frames it attains [0.14, 0.78] — a width of 0.64 — with a central 80% of 0.45 (Figure 3a).</w:t>
      </w:r>
    </w:p>
    <w:p>
      <w:pPr>
        <w:spacing w:before="0" w:after="64"/>
        <w:ind w:left="0"/>
        <w:jc w:val="both"/>
      </w:pPr>
      <w:r>
        <w:rPr>
          <w:rFonts w:ascii="Times New Roman" w:hAnsi="Times New Roman"/>
          <w:b w:val="0"/>
          <w:i w:val="0"/>
          <w:sz w:val="19"/>
        </w:rPr>
        <w:t xml:space="preserve">The decomposition of Section 2.3 attributes </w:t>
      </w:r>
      <w:r>
        <w:rPr>
          <w:rFonts w:ascii="Times New Roman" w:hAnsi="Times New Roman"/>
          <w:b/>
          <w:i w:val="0"/>
          <w:sz w:val="19"/>
        </w:rPr>
        <w:t>92.4% of the range to two sub-scores</w:t>
      </w:r>
      <w:r>
        <w:rPr>
          <w:rFonts w:ascii="Times New Roman" w:hAnsi="Times New Roman"/>
          <w:b w:val="0"/>
          <w:i w:val="0"/>
          <w:sz w:val="19"/>
        </w:rPr>
        <w:t xml:space="preserve"> (Figure 3b), and both are terms that consult the ultrasound image rather than the mask.</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5112000" cy="1668054"/>
            <wp:docPr id="3" name="Picture 3"/>
            <wp:cNvGraphicFramePr>
              <a:graphicFrameLocks noChangeAspect="1"/>
            </wp:cNvGraphicFramePr>
            <a:graphic>
              <a:graphicData uri="http://schemas.openxmlformats.org/drawingml/2006/picture">
                <pic:pic>
                  <pic:nvPicPr>
                    <pic:cNvPr id="0" name="fig_range.png"/>
                    <pic:cNvPicPr/>
                  </pic:nvPicPr>
                  <pic:blipFill>
                    <a:blip r:embed="rId12"/>
                    <a:stretch>
                      <a:fillRect/>
                    </a:stretch>
                  </pic:blipFill>
                  <pic:spPr>
                    <a:xfrm>
                      <a:off x="0" y="0"/>
                      <a:ext cx="5112000" cy="1668054"/>
                    </a:xfrm>
                    <a:prstGeom prst="rect"/>
                  </pic:spPr>
                </pic:pic>
              </a:graphicData>
            </a:graphic>
          </wp:inline>
        </w:drawing>
      </w:r>
    </w:p>
    <w:p>
      <w:pPr>
        <w:spacing w:after="120"/>
        <w:jc w:val="both"/>
      </w:pPr>
      <w:r>
        <w:rPr>
          <w:rFonts w:ascii="Times New Roman" w:hAnsi="Times New Roman"/>
          <w:b/>
          <w:i w:val="0"/>
          <w:sz w:val="15"/>
        </w:rPr>
        <w:t>Figure 3.</w:t>
      </w:r>
      <w:r>
        <w:rPr>
          <w:rFonts w:ascii="Times New Roman" w:hAnsi="Times New Roman"/>
          <w:b w:val="0"/>
          <w:i w:val="0"/>
          <w:sz w:val="15"/>
        </w:rPr>
        <w:t xml:space="preserve"> (a) The interval </w:t>
      </w:r>
      <w:r>
        <w:rPr>
          <w:rFonts w:ascii="Times New Roman" w:hAnsi="Times New Roman"/>
          <w:b w:val="0"/>
          <w:i/>
          <w:sz w:val="15"/>
        </w:rPr>
        <w:t>Q</w:t>
      </w:r>
      <w:r>
        <w:rPr>
          <w:rFonts w:ascii="Times New Roman" w:hAnsi="Times New Roman"/>
          <w:b w:val="0"/>
          <w:i w:val="0"/>
          <w:sz w:val="15"/>
        </w:rPr>
        <w:t xml:space="preserve"> actually attains against its nominal domain [0, 1]; the solid band is the central 80%, the operating region a threshold would actually be placed in. (b) The interval each active sub-score attains and its share of the resulting range. `segmentation confidence` occupies a band 0.007 wide and contributes nothing.</w:t>
      </w:r>
    </w:p>
    <w:p>
      <w:pPr>
        <w:sectPr>
          <w:type w:val="continuous"/>
          <w:pgSz w:w="11906" w:h="16838"/>
          <w:pgMar w:top="1077" w:right="1020" w:bottom="1077" w:left="1020" w:header="567" w:footer="567" w:gutter="0"/>
          <w:cols w:space="396" w:num="1"/>
          <w:docGrid w:linePitch="360"/>
        </w:sectPr>
      </w:pPr>
    </w:p>
    <w:p>
      <w:pPr>
        <w:spacing w:before="0" w:after="64"/>
        <w:ind w:left="0"/>
        <w:jc w:val="both"/>
      </w:pPr>
      <w:r>
        <w:rPr>
          <w:rFonts w:ascii="Times New Roman" w:hAnsi="Times New Roman"/>
          <w:b w:val="0"/>
          <w:i w:val="0"/>
          <w:sz w:val="19"/>
        </w:rPr>
        <w:t xml:space="preserve">`segmentation confidence` is the cautionary term of the panel: it is not a weak term that could be rescued by more weight, but a degenerate one — it returns essentially one value (a band 0.007 wide), so it has no range, and a function with no range cannot participate in any decision. It carries a weight of 1.0 while contributing 0.0% of what </w:t>
      </w:r>
      <w:r>
        <w:rPr>
          <w:rFonts w:ascii="Times New Roman" w:hAnsi="Times New Roman"/>
          <w:b w:val="0"/>
          <w:i/>
          <w:sz w:val="19"/>
        </w:rPr>
        <w:t>Q</w:t>
      </w:r>
      <w:r>
        <w:rPr>
          <w:rFonts w:ascii="Times New Roman" w:hAnsi="Times New Roman"/>
          <w:b w:val="0"/>
          <w:i w:val="0"/>
          <w:sz w:val="19"/>
        </w:rPr>
        <w:t xml:space="preserve"> can express; border penalty and component quality behave the same way and are already at weight 0.</w:t>
      </w:r>
    </w:p>
    <w:p>
      <w:pPr>
        <w:keepNext/>
        <w:spacing w:before="90" w:after="40"/>
        <w:ind w:left="0"/>
        <w:jc w:val="left"/>
      </w:pPr>
      <w:r>
        <w:rPr>
          <w:rFonts w:ascii="Times New Roman" w:hAnsi="Times New Roman"/>
          <w:b/>
          <w:i w:val="0"/>
          <w:sz w:val="18"/>
        </w:rPr>
        <w:t xml:space="preserve">3.3 How Many States </w:t>
      </w:r>
      <w:r>
        <w:rPr>
          <w:rFonts w:ascii="Times New Roman" w:hAnsi="Times New Roman"/>
          <w:b/>
          <w:i/>
          <w:sz w:val="18"/>
        </w:rPr>
        <w:t>Q</w:t>
      </w:r>
      <w:r>
        <w:rPr>
          <w:rFonts w:ascii="Times New Roman" w:hAnsi="Times New Roman"/>
          <w:b/>
          <w:i w:val="0"/>
          <w:sz w:val="18"/>
        </w:rPr>
        <w:t xml:space="preserve"> Tells Apart</w:t>
      </w:r>
    </w:p>
    <w:p>
      <w:pPr>
        <w:spacing w:before="0" w:after="64"/>
        <w:ind w:left="0"/>
        <w:jc w:val="both"/>
      </w:pPr>
      <w:r>
        <w:rPr>
          <w:rFonts w:ascii="Times New Roman" w:hAnsi="Times New Roman"/>
          <w:b w:val="0"/>
          <w:i w:val="0"/>
          <w:sz w:val="19"/>
        </w:rPr>
        <w:t xml:space="preserve">Against a frame-to-frame jitter of 0.0095 (Section 2.3), the attained range of 0.635 separates 67 states over the full range and </w:t>
      </w:r>
      <w:r>
        <w:rPr>
          <w:rFonts w:ascii="Times New Roman" w:hAnsi="Times New Roman"/>
          <w:b/>
          <w:i w:val="0"/>
          <w:sz w:val="19"/>
        </w:rPr>
        <w:t>47 within the central 80%</w:t>
      </w:r>
      <w:r>
        <w:rPr>
          <w:rFonts w:ascii="Times New Roman" w:hAnsi="Times New Roman"/>
          <w:b w:val="0"/>
          <w:i w:val="0"/>
          <w:sz w:val="19"/>
        </w:rPr>
        <w:t xml:space="preserve"> — score differences wide enough for a reader to trust as real rather than as noise. That census, not any accuracy figure, is what an instruction set must fit within: words spaced more finely than the states </w:t>
      </w:r>
      <w:r>
        <w:rPr>
          <w:rFonts w:ascii="Times New Roman" w:hAnsi="Times New Roman"/>
          <w:b w:val="0"/>
          <w:i/>
          <w:sz w:val="19"/>
        </w:rPr>
        <w:t>Q</w:t>
      </w:r>
      <w:r>
        <w:rPr>
          <w:rFonts w:ascii="Times New Roman" w:hAnsi="Times New Roman"/>
          <w:b w:val="0"/>
          <w:i w:val="0"/>
          <w:sz w:val="19"/>
        </w:rPr>
        <w:t xml:space="preserve"> can tell apart would hand the same frame different labels on different frames.</w:t>
      </w:r>
    </w:p>
    <w:p>
      <w:pPr>
        <w:keepNext/>
        <w:spacing w:before="90" w:after="40"/>
        <w:ind w:left="0"/>
        <w:jc w:val="left"/>
      </w:pPr>
      <w:r>
        <w:rPr>
          <w:rFonts w:ascii="Times New Roman" w:hAnsi="Times New Roman"/>
          <w:b/>
          <w:i w:val="0"/>
          <w:sz w:val="18"/>
        </w:rPr>
        <w:t>3.4 The Derived Vocabulary</w:t>
      </w:r>
    </w:p>
    <w:p>
      <w:pPr>
        <w:spacing w:before="0" w:after="64"/>
        <w:ind w:left="0"/>
        <w:jc w:val="both"/>
      </w:pPr>
      <w:r>
        <w:rPr>
          <w:rFonts w:ascii="Times New Roman" w:hAnsi="Times New Roman"/>
          <w:b w:val="0"/>
          <w:i w:val="0"/>
          <w:sz w:val="19"/>
        </w:rPr>
        <w:t>Two boundaries partition the range, and neither is a fitted hyperparameter.</w:t>
      </w:r>
    </w:p>
    <w:p>
      <w:pPr>
        <w:spacing w:before="0" w:after="64"/>
        <w:ind w:left="0"/>
        <w:jc w:val="both"/>
      </w:pPr>
      <w:r>
        <w:rPr>
          <w:rFonts w:ascii="Times New Roman" w:hAnsi="Times New Roman"/>
          <w:b/>
          <w:i w:val="0"/>
          <w:sz w:val="19"/>
        </w:rPr>
        <w:t>A physical boundary.</w:t>
      </w:r>
      <w:r>
        <w:rPr>
          <w:rFonts w:ascii="Times New Roman" w:hAnsi="Times New Roman"/>
          <w:b w:val="0"/>
          <w:i w:val="0"/>
          <w:sz w:val="19"/>
        </w:rPr>
        <w:t xml:space="preserve"> A urine-filled bladder lumen is anechoic — a textbook property of the organ [8], not something estimated from these frames — so a non-positive lumen-to-surround contrast means the delineated region cannot be a filled bladder. The boundary sits at zero because the physics puts it there: there is no constant to fit, and none to re-fit in a new imaging domain. On 13.1% of frames the contrast is non-positive; those frames have Dice 0.665 against 0.840 elsewhere, and what sets them apart is the delineated region itself — 1.85 times brighter and a third the area, the signature of an under-distended bladder rather than of a poorly placed probe. The remedy is not a lateral slide; it is upstream, in bladder filling, and the instruction says so instead of commanding a movement that cannot help.</w:t>
      </w:r>
    </w:p>
    <w:p>
      <w:pPr>
        <w:spacing w:before="0" w:after="64"/>
        <w:ind w:left="0"/>
        <w:jc w:val="both"/>
      </w:pPr>
      <w:r>
        <w:rPr>
          <w:rFonts w:ascii="Times New Roman" w:hAnsi="Times New Roman"/>
          <w:b/>
          <w:i w:val="0"/>
          <w:sz w:val="19"/>
        </w:rPr>
        <w:t>A statistical boundary.</w:t>
      </w:r>
      <w:r>
        <w:rPr>
          <w:rFonts w:ascii="Times New Roman" w:hAnsi="Times New Roman"/>
          <w:b w:val="0"/>
          <w:i w:val="0"/>
          <w:sz w:val="19"/>
        </w:rPr>
        <w:t xml:space="preserve"> The difference </w:t>
      </w:r>
      <w:r>
        <w:rPr>
          <w:rFonts w:ascii="Times New Roman" w:hAnsi="Times New Roman"/>
          <w:b w:val="0"/>
          <w:i/>
          <w:sz w:val="19"/>
        </w:rPr>
        <w:t>δ</w:t>
      </w:r>
      <w:r>
        <w:rPr>
          <w:rFonts w:ascii="Times New Roman" w:hAnsi="Times New Roman"/>
          <w:b w:val="0"/>
          <w:i w:val="0"/>
          <w:sz w:val="19"/>
        </w:rPr>
        <w:t xml:space="preserve"> = </w:t>
      </w:r>
      <w:r>
        <w:rPr>
          <w:rFonts w:ascii="Times New Roman" w:hAnsi="Times New Roman"/>
          <w:b w:val="0"/>
          <w:i/>
          <w:sz w:val="19"/>
        </w:rPr>
        <w:t>ê</w:t>
      </w:r>
      <w:r>
        <w:rPr>
          <w:rFonts w:ascii="Times New Roman" w:hAnsi="Times New Roman"/>
          <w:b w:val="0"/>
          <w:i w:val="0"/>
          <w:sz w:val="19"/>
        </w:rPr>
        <w:t xml:space="preserve"> − </w:t>
      </w:r>
      <w:r>
        <w:rPr>
          <w:rFonts w:ascii="Times New Roman" w:hAnsi="Times New Roman"/>
          <w:b w:val="0"/>
          <w:i/>
          <w:sz w:val="19"/>
        </w:rPr>
        <w:t>e</w:t>
      </w:r>
      <w:r>
        <w:rPr>
          <w:rFonts w:ascii="Times New Roman" w:hAnsi="Times New Roman"/>
          <w:b w:val="0"/>
          <w:i w:val="0"/>
          <w:sz w:val="19"/>
        </w:rPr>
        <w:t xml:space="preserve"> is the segmentation's lateral centroid error, independent of where the lumen sits, with </w:t>
      </w:r>
      <w:r>
        <w:rPr>
          <w:rFonts w:ascii="Times New Roman" w:hAnsi="Times New Roman"/>
          <w:b w:val="0"/>
          <w:i/>
          <w:sz w:val="19"/>
        </w:rPr>
        <w:t>σ</w:t>
      </w:r>
      <w:r>
        <w:rPr>
          <w:rFonts w:ascii="Times New Roman" w:hAnsi="Times New Roman"/>
          <w:b w:val="0"/>
          <w:i w:val="0"/>
          <w:sz w:val="19"/>
        </w:rPr>
        <w:t xml:space="preserve"> = 4.92 px and a bias of +0.11 px. The instruction points the wrong way exactly when </w:t>
      </w:r>
      <w:r>
        <w:rPr>
          <w:rFonts w:ascii="Times New Roman" w:hAnsi="Times New Roman"/>
          <w:b w:val="0"/>
          <w:i/>
          <w:sz w:val="19"/>
        </w:rPr>
        <w:t>δ</w:t>
      </w:r>
      <w:r>
        <w:rPr>
          <w:rFonts w:ascii="Times New Roman" w:hAnsi="Times New Roman"/>
          <w:b w:val="0"/>
          <w:i w:val="0"/>
          <w:sz w:val="19"/>
        </w:rPr>
        <w:t xml:space="preserve"> opposes </w:t>
      </w:r>
      <w:r>
        <w:rPr>
          <w:rFonts w:ascii="Times New Roman" w:hAnsi="Times New Roman"/>
          <w:b w:val="0"/>
          <w:i/>
          <w:sz w:val="19"/>
        </w:rPr>
        <w:t>e</w:t>
      </w:r>
      <w:r>
        <w:rPr>
          <w:rFonts w:ascii="Times New Roman" w:hAnsi="Times New Roman"/>
          <w:b w:val="0"/>
          <w:i w:val="0"/>
          <w:sz w:val="19"/>
        </w:rPr>
        <w:t xml:space="preserve"> and exceeds it, so</w:t>
      </w:r>
    </w:p>
    <w:p>
      <w:pPr>
        <w:tabs>
          <w:tab w:pos="4734" w:val="right"/>
        </w:tabs>
        <w:spacing w:before="80" w:after="80"/>
        <w:jc w:val="left"/>
      </w:pPr>
      <w:r>
        <w:rPr>
          <w:rFonts w:ascii="Times New Roman" w:hAnsi="Times New Roman"/>
          <w:b w:val="0"/>
          <w:i/>
          <w:sz w:val="19"/>
        </w:rPr>
        <w:t>P(wrong direction) = Φ(−|e| / σ)</w:t>
      </w:r>
      <w:r>
        <w:tab/>
      </w:r>
      <w:r>
        <w:rPr>
          <w:rFonts w:ascii="Times New Roman" w:hAnsi="Times New Roman"/>
          <w:b w:val="0"/>
          <w:i w:val="0"/>
          <w:sz w:val="19"/>
        </w:rPr>
        <w:t>(2)</w:t>
      </w:r>
    </w:p>
    <w:p>
      <w:pPr>
        <w:spacing w:before="0" w:after="64"/>
        <w:ind w:left="0"/>
        <w:jc w:val="both"/>
      </w:pPr>
      <w:r>
        <w:rPr>
          <w:rFonts w:ascii="Times New Roman" w:hAnsi="Times New Roman"/>
          <w:b w:val="0"/>
          <w:i w:val="0"/>
          <w:sz w:val="19"/>
        </w:rPr>
        <w:t>and the instruction is withheld below 1.64</w:t>
      </w:r>
      <w:r>
        <w:rPr>
          <w:rFonts w:ascii="Times New Roman" w:hAnsi="Times New Roman"/>
          <w:b w:val="0"/>
          <w:i/>
          <w:sz w:val="19"/>
        </w:rPr>
        <w:t>σ</w:t>
      </w:r>
      <w:r>
        <w:rPr>
          <w:rFonts w:ascii="Times New Roman" w:hAnsi="Times New Roman"/>
          <w:b w:val="0"/>
          <w:i w:val="0"/>
          <w:sz w:val="19"/>
        </w:rPr>
        <w:t xml:space="preserve"> = 8.1 px, where the modelled error rate reaches 5%. Below that boundary a controller that keeps acting is following its own segmentation noise; </w:t>
      </w:r>
      <w:r>
        <w:rPr>
          <w:rFonts w:ascii="Times New Roman" w:hAnsi="Times New Roman"/>
          <w:b/>
          <w:i w:val="0"/>
          <w:sz w:val="19"/>
        </w:rPr>
        <w:t>this is a stopping condition, not a defect.</w:t>
      </w:r>
      <w:r>
        <w:rPr>
          <w:rFonts w:ascii="Times New Roman" w:hAnsi="Times New Roman"/>
          <w:b w:val="0"/>
          <w:i w:val="0"/>
          <w:sz w:val="19"/>
        </w:rPr>
        <w:t xml:space="preserve"> The rule — withhold where Equation (2) puts the direction error above 5% — carries no fitted constant; the one measured quantity in it, </w:t>
      </w:r>
      <w:r>
        <w:rPr>
          <w:rFonts w:ascii="Times New Roman" w:hAnsi="Times New Roman"/>
          <w:b w:val="0"/>
          <w:i/>
          <w:sz w:val="19"/>
        </w:rPr>
        <w:t>σ</w:t>
      </w:r>
      <w:r>
        <w:rPr>
          <w:rFonts w:ascii="Times New Roman" w:hAnsi="Times New Roman"/>
          <w:b w:val="0"/>
          <w:i w:val="0"/>
          <w:sz w:val="19"/>
        </w:rPr>
        <w:t xml:space="preserve">, is a property of this segmentation on these frames, so moving to HoLEP imaging means re-measuring </w:t>
      </w:r>
      <w:r>
        <w:rPr>
          <w:rFonts w:ascii="Times New Roman" w:hAnsi="Times New Roman"/>
          <w:b w:val="0"/>
          <w:i/>
          <w:sz w:val="19"/>
        </w:rPr>
        <w:t>σ</w:t>
      </w:r>
      <w:r>
        <w:rPr>
          <w:rFonts w:ascii="Times New Roman" w:hAnsi="Times New Roman"/>
          <w:b w:val="0"/>
          <w:i w:val="0"/>
          <w:sz w:val="19"/>
        </w:rPr>
        <w:t xml:space="preserve"> there (Section 4.2), not re-tuning a threshold.</w:t>
      </w:r>
    </w:p>
    <w:p>
      <w:pPr>
        <w:keepNext/>
        <w:spacing w:before="120" w:after="40"/>
      </w:pPr>
      <w:r>
        <w:rPr>
          <w:rFonts w:ascii="Times New Roman" w:hAnsi="Times New Roman"/>
          <w:b/>
          <w:i w:val="0"/>
          <w:sz w:val="15"/>
        </w:rPr>
        <w:t>Table 2.</w:t>
      </w:r>
      <w:r>
        <w:rPr>
          <w:rFonts w:ascii="Times New Roman" w:hAnsi="Times New Roman"/>
          <w:b w:val="0"/>
          <w:i w:val="0"/>
          <w:sz w:val="15"/>
        </w:rPr>
        <w:t xml:space="preserve"> The instruction vocabulary. Both boundaries are derived — one from the physics of an anechoic lumen [8], one from the segmentation's centroid noise — and neither is tuned.</w:t>
      </w:r>
    </w:p>
    <w:tbl>
      <w:tblPr>
        <w:tblW w:type="auto" w:w="0"/>
        <w:jc w:val="center"/>
        <w:tblLayout w:type="fixed"/>
        <w:tblLook w:firstColumn="1" w:firstRow="1" w:lastColumn="0" w:lastRow="0" w:noHBand="0" w:noVBand="1" w:val="04A0"/>
        <w:tblLayout w:type="fixed"/>
        <w:tblW w:w="4706" w:type="dxa"/>
      </w:tblPr>
      <w:tblGrid>
        <w:gridCol w:w="1508"/>
        <w:gridCol w:w="1810"/>
        <w:gridCol w:w="1387"/>
      </w:tblGrid>
      <w:tr>
        <w:trPr>
          <w:cantSplit/>
        </w:trPr>
        <w:tc>
          <w:tcPr>
            <w:tcW w:type="dxa" w:w="1508"/>
            <w:tcBorders>
              <w:top w:val="single" w:sz="8" w:color="000000"/>
              <w:bottom w:val="single" w:sz="8" w:color="000000"/>
              <w:left w:val="nil"/>
              <w:right w:val="nil"/>
            </w:tcBorders>
          </w:tcPr>
          <w:p>
            <w:pPr>
              <w:spacing w:after="10"/>
              <w:keepNext/>
            </w:pPr>
            <w:r>
              <w:rPr>
                <w:rFonts w:ascii="Times New Roman" w:hAnsi="Times New Roman"/>
                <w:b/>
                <w:i w:val="0"/>
                <w:sz w:val="15"/>
              </w:rPr>
              <w:t>Instruction</w:t>
            </w:r>
          </w:p>
        </w:tc>
        <w:tc>
          <w:tcPr>
            <w:tcW w:type="dxa" w:w="1810"/>
            <w:tcBorders>
              <w:top w:val="single" w:sz="8" w:color="000000"/>
              <w:bottom w:val="single" w:sz="8" w:color="000000"/>
              <w:left w:val="nil"/>
              <w:right w:val="nil"/>
            </w:tcBorders>
          </w:tcPr>
          <w:p>
            <w:pPr>
              <w:spacing w:after="10"/>
              <w:keepNext/>
            </w:pPr>
            <w:r>
              <w:rPr>
                <w:rFonts w:ascii="Times New Roman" w:hAnsi="Times New Roman"/>
                <w:b/>
                <w:i w:val="0"/>
                <w:sz w:val="15"/>
              </w:rPr>
              <w:t>Condition</w:t>
            </w:r>
          </w:p>
        </w:tc>
        <w:tc>
          <w:tcPr>
            <w:tcW w:type="dxa" w:w="1388"/>
            <w:tcBorders>
              <w:top w:val="single" w:sz="8" w:color="000000"/>
              <w:bottom w:val="single" w:sz="8" w:color="000000"/>
              <w:left w:val="nil"/>
              <w:right w:val="nil"/>
            </w:tcBorders>
          </w:tcPr>
          <w:p>
            <w:pPr>
              <w:spacing w:after="10"/>
              <w:keepNext/>
            </w:pPr>
            <w:r>
              <w:rPr>
                <w:rFonts w:ascii="Times New Roman" w:hAnsi="Times New Roman"/>
                <w:b/>
                <w:i w:val="0"/>
                <w:sz w:val="15"/>
              </w:rPr>
              <w:t>Acts on</w:t>
            </w:r>
          </w:p>
        </w:tc>
      </w:tr>
      <w:tr>
        <w:trPr>
          <w:cantSplit/>
        </w:trPr>
        <w:tc>
          <w:tcPr>
            <w:tcW w:type="dxa" w:w="1508"/>
            <w:tcBorders>
              <w:top w:val="single" w:sz="4" w:color="808080"/>
              <w:bottom w:val="single" w:sz="4" w:color="808080"/>
              <w:left w:val="nil"/>
              <w:right w:val="nil"/>
            </w:tcBorders>
          </w:tcPr>
          <w:p>
            <w:pPr>
              <w:spacing w:after="10"/>
              <w:keepNext/>
            </w:pPr>
            <w:r>
              <w:rPr>
                <w:rFonts w:ascii="Times New Roman" w:hAnsi="Times New Roman"/>
                <w:b w:val="0"/>
                <w:i/>
                <w:sz w:val="15"/>
              </w:rPr>
              <w:t>check bladder filling</w:t>
            </w:r>
          </w:p>
        </w:tc>
        <w:tc>
          <w:tcPr>
            <w:tcW w:type="dxa" w:w="1810"/>
            <w:tcBorders>
              <w:top w:val="single" w:sz="4" w:color="808080"/>
              <w:bottom w:val="single" w:sz="4" w:color="808080"/>
              <w:left w:val="nil"/>
              <w:right w:val="nil"/>
            </w:tcBorders>
          </w:tcPr>
          <w:p>
            <w:pPr>
              <w:spacing w:after="10"/>
              <w:keepNext/>
            </w:pPr>
            <w:r>
              <w:rPr>
                <w:rFonts w:ascii="Times New Roman" w:hAnsi="Times New Roman"/>
                <w:b w:val="0"/>
                <w:i w:val="0"/>
                <w:sz w:val="15"/>
              </w:rPr>
              <w:t>contrast ≤ 0</w:t>
            </w:r>
          </w:p>
        </w:tc>
        <w:tc>
          <w:tcPr>
            <w:tcW w:type="dxa" w:w="1388"/>
            <w:tcBorders>
              <w:top w:val="single" w:sz="4" w:color="808080"/>
              <w:bottom w:val="single" w:sz="4" w:color="808080"/>
              <w:left w:val="nil"/>
              <w:right w:val="nil"/>
            </w:tcBorders>
          </w:tcPr>
          <w:p>
            <w:pPr>
              <w:spacing w:after="10"/>
              <w:keepNext/>
            </w:pPr>
            <w:r>
              <w:rPr>
                <w:rFonts w:ascii="Times New Roman" w:hAnsi="Times New Roman"/>
                <w:b w:val="0"/>
                <w:i w:val="0"/>
                <w:sz w:val="15"/>
              </w:rPr>
              <w:t>not the probe — filling</w:t>
            </w:r>
          </w:p>
        </w:tc>
      </w:tr>
      <w:tr>
        <w:trPr>
          <w:cantSplit/>
        </w:trPr>
        <w:tc>
          <w:tcPr>
            <w:tcW w:type="dxa" w:w="1508"/>
            <w:tcBorders>
              <w:top w:val="single" w:sz="4" w:color="808080"/>
              <w:bottom w:val="single" w:sz="4" w:color="808080"/>
              <w:left w:val="nil"/>
              <w:right w:val="nil"/>
            </w:tcBorders>
          </w:tcPr>
          <w:p>
            <w:pPr>
              <w:spacing w:after="10"/>
              <w:keepNext/>
            </w:pPr>
            <w:r>
              <w:rPr>
                <w:rFonts w:ascii="Times New Roman" w:hAnsi="Times New Roman"/>
                <w:b w:val="0"/>
                <w:i/>
                <w:sz w:val="15"/>
              </w:rPr>
              <w:t>move left</w:t>
            </w:r>
            <w:r>
              <w:rPr>
                <w:rFonts w:ascii="Times New Roman" w:hAnsi="Times New Roman"/>
                <w:b w:val="0"/>
                <w:i w:val="0"/>
                <w:sz w:val="15"/>
              </w:rPr>
              <w:t xml:space="preserve"> / </w:t>
            </w:r>
            <w:r>
              <w:rPr>
                <w:rFonts w:ascii="Times New Roman" w:hAnsi="Times New Roman"/>
                <w:b w:val="0"/>
                <w:i/>
                <w:sz w:val="15"/>
              </w:rPr>
              <w:t>move right</w:t>
            </w:r>
          </w:p>
        </w:tc>
        <w:tc>
          <w:tcPr>
            <w:tcW w:type="dxa" w:w="1810"/>
            <w:tcBorders>
              <w:top w:val="single" w:sz="4" w:color="808080"/>
              <w:bottom w:val="single" w:sz="4" w:color="808080"/>
              <w:left w:val="nil"/>
              <w:right w:val="nil"/>
            </w:tcBorders>
          </w:tcPr>
          <w:p>
            <w:pPr>
              <w:spacing w:after="10"/>
              <w:keepNext/>
            </w:pPr>
            <w:r>
              <w:rPr>
                <w:rFonts w:ascii="Times New Roman" w:hAnsi="Times New Roman"/>
                <w:b w:val="0"/>
                <w:i w:val="0"/>
                <w:sz w:val="15"/>
              </w:rPr>
              <w:t>contrast &gt; 0 and |</w:t>
            </w:r>
            <w:r>
              <w:rPr>
                <w:rFonts w:ascii="Times New Roman" w:hAnsi="Times New Roman"/>
                <w:b w:val="0"/>
                <w:i/>
                <w:sz w:val="15"/>
              </w:rPr>
              <w:t>ê</w:t>
            </w:r>
            <w:r>
              <w:rPr>
                <w:rFonts w:ascii="Times New Roman" w:hAnsi="Times New Roman"/>
                <w:b w:val="0"/>
                <w:i w:val="0"/>
                <w:sz w:val="15"/>
              </w:rPr>
              <w:t>| ≥ 8.1 px</w:t>
            </w:r>
          </w:p>
        </w:tc>
        <w:tc>
          <w:tcPr>
            <w:tcW w:type="dxa" w:w="1388"/>
            <w:tcBorders>
              <w:top w:val="single" w:sz="4" w:color="808080"/>
              <w:bottom w:val="single" w:sz="4" w:color="808080"/>
              <w:left w:val="nil"/>
              <w:right w:val="nil"/>
            </w:tcBorders>
          </w:tcPr>
          <w:p>
            <w:pPr>
              <w:spacing w:after="10"/>
              <w:keepNext/>
            </w:pPr>
            <w:r>
              <w:rPr>
                <w:rFonts w:ascii="Times New Roman" w:hAnsi="Times New Roman"/>
                <w:b w:val="0"/>
                <w:i w:val="0"/>
                <w:sz w:val="15"/>
              </w:rPr>
              <w:t xml:space="preserve">lateral axis </w:t>
            </w:r>
            <w:r>
              <w:rPr>
                <w:rFonts w:ascii="Times New Roman" w:hAnsi="Times New Roman"/>
                <w:b w:val="0"/>
                <w:i/>
                <w:sz w:val="15"/>
              </w:rPr>
              <w:t>v</w:t>
            </w:r>
            <w:r>
              <w:rPr>
                <w:rFonts w:ascii="Times New Roman" w:hAnsi="Times New Roman"/>
                <w:b w:val="0"/>
                <w:i w:val="0"/>
                <w:sz w:val="15"/>
                <w:vertAlign w:val="subscript"/>
              </w:rPr>
              <w:t>x</w:t>
            </w:r>
          </w:p>
        </w:tc>
      </w:tr>
      <w:tr>
        <w:trPr>
          <w:cantSplit/>
        </w:trPr>
        <w:tc>
          <w:tcPr>
            <w:tcW w:type="dxa" w:w="1508"/>
            <w:tcBorders>
              <w:top w:val="single" w:sz="4" w:color="808080"/>
              <w:bottom w:val="single" w:sz="4" w:color="808080"/>
              <w:left w:val="nil"/>
              <w:right w:val="nil"/>
            </w:tcBorders>
          </w:tcPr>
          <w:p>
            <w:pPr>
              <w:spacing w:after="10"/>
            </w:pPr>
            <w:r>
              <w:rPr>
                <w:rFonts w:ascii="Times New Roman" w:hAnsi="Times New Roman"/>
                <w:b w:val="0"/>
                <w:i/>
                <w:sz w:val="15"/>
              </w:rPr>
              <w:t>hold</w:t>
            </w:r>
          </w:p>
        </w:tc>
        <w:tc>
          <w:tcPr>
            <w:tcW w:type="dxa" w:w="1810"/>
            <w:tcBorders>
              <w:top w:val="single" w:sz="4" w:color="808080"/>
              <w:bottom w:val="single" w:sz="4" w:color="808080"/>
              <w:left w:val="nil"/>
              <w:right w:val="nil"/>
            </w:tcBorders>
          </w:tcPr>
          <w:p>
            <w:pPr>
              <w:spacing w:after="10"/>
            </w:pPr>
            <w:r>
              <w:rPr>
                <w:rFonts w:ascii="Times New Roman" w:hAnsi="Times New Roman"/>
                <w:b w:val="0"/>
                <w:i w:val="0"/>
                <w:sz w:val="15"/>
              </w:rPr>
              <w:t>contrast &gt; 0 and |</w:t>
            </w:r>
            <w:r>
              <w:rPr>
                <w:rFonts w:ascii="Times New Roman" w:hAnsi="Times New Roman"/>
                <w:b w:val="0"/>
                <w:i/>
                <w:sz w:val="15"/>
              </w:rPr>
              <w:t>ê</w:t>
            </w:r>
            <w:r>
              <w:rPr>
                <w:rFonts w:ascii="Times New Roman" w:hAnsi="Times New Roman"/>
                <w:b w:val="0"/>
                <w:i w:val="0"/>
                <w:sz w:val="15"/>
              </w:rPr>
              <w:t>| &lt; 8.1 px</w:t>
            </w:r>
          </w:p>
        </w:tc>
        <w:tc>
          <w:tcPr>
            <w:tcW w:type="dxa" w:w="1388"/>
            <w:tcBorders>
              <w:top w:val="single" w:sz="4" w:color="808080"/>
              <w:bottom w:val="single" w:sz="4" w:color="808080"/>
              <w:left w:val="nil"/>
              <w:right w:val="nil"/>
            </w:tcBorders>
          </w:tcPr>
          <w:p>
            <w:pPr>
              <w:spacing w:after="10"/>
            </w:pPr>
            <w:r>
              <w:rPr>
                <w:rFonts w:ascii="Times New Roman" w:hAnsi="Times New Roman"/>
                <w:b w:val="0"/>
                <w:i w:val="0"/>
                <w:sz w:val="15"/>
              </w:rPr>
              <w:t>nothing — converged</w:t>
            </w:r>
          </w:p>
        </w:tc>
      </w:tr>
    </w:tbl>
    <w:p>
      <w:pPr>
        <w:spacing w:after="60"/>
      </w:pPr>
    </w:p>
    <w:p>
      <w:pPr>
        <w:spacing w:before="0" w:after="64"/>
        <w:ind w:left="0"/>
        <w:jc w:val="both"/>
      </w:pPr>
      <w:r>
        <w:rPr>
          <w:rFonts w:ascii="Times New Roman" w:hAnsi="Times New Roman"/>
          <w:b/>
          <w:i w:val="0"/>
          <w:sz w:val="19"/>
        </w:rPr>
        <w:t>The magnitude is a number, not a word.</w:t>
      </w:r>
      <w:r>
        <w:rPr>
          <w:rFonts w:ascii="Times New Roman" w:hAnsi="Times New Roman"/>
          <w:b w:val="0"/>
          <w:i w:val="0"/>
          <w:sz w:val="19"/>
        </w:rPr>
        <w:t xml:space="preserve"> The word carries the direction; the displacement itself, </w:t>
      </w:r>
      <w:r>
        <w:rPr>
          <w:rFonts w:ascii="Times New Roman" w:hAnsi="Times New Roman"/>
          <w:b w:val="0"/>
          <w:i/>
          <w:sz w:val="19"/>
        </w:rPr>
        <w:t>ê</w:t>
      </w:r>
      <w:r>
        <w:rPr>
          <w:rFonts w:ascii="Times New Roman" w:hAnsi="Times New Roman"/>
          <w:b w:val="0"/>
          <w:i w:val="0"/>
          <w:sz w:val="19"/>
        </w:rPr>
        <w:t xml:space="preserve"> in pixels, enters and leaves the pipeline as a continuous value — shown beside the word to a human operator, consumed directly as a velocity command by a robot. The same noise that derives the boundaries dictates this format. A magnitude put into words means quantising |</w:t>
      </w:r>
      <w:r>
        <w:rPr>
          <w:rFonts w:ascii="Times New Roman" w:hAnsi="Times New Roman"/>
          <w:b w:val="0"/>
          <w:i/>
          <w:sz w:val="19"/>
        </w:rPr>
        <w:t>ê</w:t>
      </w:r>
      <w:r>
        <w:rPr>
          <w:rFonts w:ascii="Times New Roman" w:hAnsi="Times New Roman"/>
          <w:b w:val="0"/>
          <w:i w:val="0"/>
          <w:sz w:val="19"/>
        </w:rPr>
        <w:t>| into classes, and a class narrower than 2</w:t>
      </w:r>
      <w:r>
        <w:rPr>
          <w:rFonts w:ascii="Times New Roman" w:hAnsi="Times New Roman"/>
          <w:b w:val="0"/>
          <w:i/>
          <w:sz w:val="19"/>
        </w:rPr>
        <w:t>σ</w:t>
      </w:r>
      <w:r>
        <w:rPr>
          <w:rFonts w:ascii="Times New Roman" w:hAnsi="Times New Roman"/>
          <w:b w:val="0"/>
          <w:i w:val="0"/>
          <w:sz w:val="19"/>
        </w:rPr>
        <w:t xml:space="preserve"> ≈ 9.8 px cannot be assigned reliably even at its centre; the sweep bears this out, with graded vocabularies dropping word accuracy from 85.2% to 76.5% and 70.7% while the direction error holds at 0.10% (Table 3). The continuous value, by contrast, is validated in Section 3.5 at a regression slope of 0.993 and a median error of 3.15 px: the magnitude is trustworthy as a measurement and unreliable as a word, so the language layer names the direction and passes the measurement through unrounded.</w:t>
      </w:r>
    </w:p>
    <w:p>
      <w:pPr>
        <w:keepNext/>
        <w:spacing w:before="120" w:after="40"/>
      </w:pPr>
      <w:r>
        <w:rPr>
          <w:rFonts w:ascii="Times New Roman" w:hAnsi="Times New Roman"/>
          <w:b/>
          <w:i w:val="0"/>
          <w:sz w:val="15"/>
        </w:rPr>
        <w:t>Table 3.</w:t>
      </w:r>
      <w:r>
        <w:rPr>
          <w:rFonts w:ascii="Times New Roman" w:hAnsi="Times New Roman"/>
          <w:b w:val="0"/>
          <w:i w:val="0"/>
          <w:sz w:val="15"/>
        </w:rPr>
        <w:t xml:space="preserve"> Word accuracy of the emitted instruction against the instruction the ground truth implies, over the controlled sweep of Section 2.5. Magnitude grades cut |</w:t>
      </w:r>
      <w:r>
        <w:rPr>
          <w:rFonts w:ascii="Times New Roman" w:hAnsi="Times New Roman"/>
          <w:b w:val="0"/>
          <w:i/>
          <w:sz w:val="15"/>
        </w:rPr>
        <w:t>ê</w:t>
      </w:r>
      <w:r>
        <w:rPr>
          <w:rFonts w:ascii="Times New Roman" w:hAnsi="Times New Roman"/>
          <w:b w:val="0"/>
          <w:i w:val="0"/>
          <w:sz w:val="15"/>
        </w:rPr>
        <w:t>| at successive multiples of the derived 8.1 px hold boundary, so the grading introduces no new constant. Direction errors stay negligible; discretising the magnitude is what costs accuracy — the reason it is passed through as a number.</w:t>
      </w:r>
    </w:p>
    <w:tbl>
      <w:tblPr>
        <w:tblW w:type="auto" w:w="0"/>
        <w:jc w:val="center"/>
        <w:tblLayout w:type="fixed"/>
        <w:tblLook w:firstColumn="1" w:firstRow="1" w:lastColumn="0" w:lastRow="0" w:noHBand="0" w:noVBand="1" w:val="04A0"/>
        <w:tblLayout w:type="fixed"/>
        <w:tblW w:w="4706" w:type="dxa"/>
      </w:tblPr>
      <w:tblGrid>
        <w:gridCol w:w="2121"/>
        <w:gridCol w:w="596"/>
        <w:gridCol w:w="927"/>
        <w:gridCol w:w="1060"/>
      </w:tblGrid>
      <w:tr>
        <w:trPr>
          <w:cantSplit/>
        </w:trPr>
        <w:tc>
          <w:tcPr>
            <w:tcW w:type="dxa" w:w="2121"/>
            <w:tcBorders>
              <w:top w:val="single" w:sz="8" w:color="000000"/>
              <w:bottom w:val="single" w:sz="8" w:color="000000"/>
              <w:left w:val="nil"/>
              <w:right w:val="nil"/>
            </w:tcBorders>
          </w:tcPr>
          <w:p>
            <w:pPr>
              <w:spacing w:after="10"/>
              <w:keepNext/>
            </w:pPr>
            <w:r>
              <w:rPr>
                <w:rFonts w:ascii="Times New Roman" w:hAnsi="Times New Roman"/>
                <w:b/>
                <w:i w:val="0"/>
                <w:sz w:val="15"/>
              </w:rPr>
              <w:t>Vocabulary</w:t>
            </w:r>
          </w:p>
        </w:tc>
        <w:tc>
          <w:tcPr>
            <w:tcW w:type="dxa" w:w="596"/>
            <w:tcBorders>
              <w:top w:val="single" w:sz="8" w:color="000000"/>
              <w:bottom w:val="single" w:sz="8" w:color="000000"/>
              <w:left w:val="nil"/>
              <w:right w:val="nil"/>
            </w:tcBorders>
          </w:tcPr>
          <w:p>
            <w:pPr>
              <w:spacing w:after="10"/>
              <w:keepNext/>
            </w:pPr>
            <w:r>
              <w:rPr>
                <w:rFonts w:ascii="Times New Roman" w:hAnsi="Times New Roman"/>
                <w:b/>
                <w:i w:val="0"/>
                <w:sz w:val="15"/>
              </w:rPr>
              <w:t>Size</w:t>
            </w:r>
          </w:p>
        </w:tc>
        <w:tc>
          <w:tcPr>
            <w:tcW w:type="dxa" w:w="928"/>
            <w:tcBorders>
              <w:top w:val="single" w:sz="8" w:color="000000"/>
              <w:bottom w:val="single" w:sz="8" w:color="000000"/>
              <w:left w:val="nil"/>
              <w:right w:val="nil"/>
            </w:tcBorders>
          </w:tcPr>
          <w:p>
            <w:pPr>
              <w:spacing w:after="10"/>
              <w:keepNext/>
            </w:pPr>
            <w:r>
              <w:rPr>
                <w:rFonts w:ascii="Times New Roman" w:hAnsi="Times New Roman"/>
                <w:b/>
                <w:i w:val="0"/>
                <w:sz w:val="15"/>
              </w:rPr>
              <w:t>Accuracy</w:t>
            </w:r>
          </w:p>
        </w:tc>
        <w:tc>
          <w:tcPr>
            <w:tcW w:type="dxa" w:w="1060"/>
            <w:tcBorders>
              <w:top w:val="single" w:sz="8" w:color="000000"/>
              <w:bottom w:val="single" w:sz="8" w:color="000000"/>
              <w:left w:val="nil"/>
              <w:right w:val="nil"/>
            </w:tcBorders>
          </w:tcPr>
          <w:p>
            <w:pPr>
              <w:spacing w:after="10"/>
              <w:keepNext/>
            </w:pPr>
            <w:r>
              <w:rPr>
                <w:rFonts w:ascii="Times New Roman" w:hAnsi="Times New Roman"/>
                <w:b/>
                <w:i w:val="0"/>
                <w:sz w:val="15"/>
              </w:rPr>
              <w:t>Direction error</w:t>
            </w:r>
          </w:p>
        </w:tc>
      </w:tr>
      <w:tr>
        <w:trPr>
          <w:cantSplit/>
        </w:trPr>
        <w:tc>
          <w:tcPr>
            <w:tcW w:type="dxa" w:w="2121"/>
            <w:tcBorders>
              <w:top w:val="single" w:sz="4" w:color="808080"/>
              <w:bottom w:val="single" w:sz="4" w:color="808080"/>
              <w:left w:val="nil"/>
              <w:right w:val="nil"/>
            </w:tcBorders>
          </w:tcPr>
          <w:p>
            <w:pPr>
              <w:spacing w:after="10"/>
              <w:keepNext/>
            </w:pPr>
            <w:r>
              <w:rPr>
                <w:rFonts w:ascii="Times New Roman" w:hAnsi="Times New Roman"/>
                <w:b w:val="0"/>
                <w:i w:val="0"/>
                <w:sz w:val="15"/>
              </w:rPr>
              <w:t>move / hold</w:t>
            </w:r>
          </w:p>
        </w:tc>
        <w:tc>
          <w:tcPr>
            <w:tcW w:type="dxa" w:w="596"/>
            <w:tcBorders>
              <w:top w:val="single" w:sz="4" w:color="808080"/>
              <w:bottom w:val="single" w:sz="4" w:color="808080"/>
              <w:left w:val="nil"/>
              <w:right w:val="nil"/>
            </w:tcBorders>
          </w:tcPr>
          <w:p>
            <w:pPr>
              <w:spacing w:after="10"/>
              <w:keepNext/>
            </w:pPr>
            <w:r>
              <w:rPr>
                <w:rFonts w:ascii="Times New Roman" w:hAnsi="Times New Roman"/>
                <w:b w:val="0"/>
                <w:i w:val="0"/>
                <w:sz w:val="15"/>
              </w:rPr>
              <w:t>2</w:t>
            </w:r>
          </w:p>
        </w:tc>
        <w:tc>
          <w:tcPr>
            <w:tcW w:type="dxa" w:w="928"/>
            <w:tcBorders>
              <w:top w:val="single" w:sz="4" w:color="808080"/>
              <w:bottom w:val="single" w:sz="4" w:color="808080"/>
              <w:left w:val="nil"/>
              <w:right w:val="nil"/>
            </w:tcBorders>
          </w:tcPr>
          <w:p>
            <w:pPr>
              <w:spacing w:after="10"/>
              <w:keepNext/>
            </w:pPr>
            <w:r>
              <w:rPr>
                <w:rFonts w:ascii="Times New Roman" w:hAnsi="Times New Roman"/>
                <w:b w:val="0"/>
                <w:i w:val="0"/>
                <w:sz w:val="15"/>
              </w:rPr>
              <w:t>85.3%</w:t>
            </w:r>
          </w:p>
        </w:tc>
        <w:tc>
          <w:tcPr>
            <w:tcW w:type="dxa" w:w="1060"/>
            <w:tcBorders>
              <w:top w:val="single" w:sz="4" w:color="808080"/>
              <w:bottom w:val="single" w:sz="4" w:color="808080"/>
              <w:left w:val="nil"/>
              <w:right w:val="nil"/>
            </w:tcBorders>
          </w:tcPr>
          <w:p>
            <w:pPr>
              <w:spacing w:after="10"/>
              <w:keepNext/>
            </w:pPr>
            <w:r>
              <w:rPr>
                <w:rFonts w:ascii="Times New Roman" w:hAnsi="Times New Roman"/>
                <w:b w:val="0"/>
                <w:i w:val="0"/>
                <w:sz w:val="15"/>
              </w:rPr>
              <w:t>0.00%</w:t>
            </w:r>
          </w:p>
        </w:tc>
      </w:tr>
      <w:tr>
        <w:trPr>
          <w:cantSplit/>
        </w:trPr>
        <w:tc>
          <w:tcPr>
            <w:tcW w:type="dxa" w:w="2121"/>
            <w:tcBorders>
              <w:top w:val="single" w:sz="4" w:color="808080"/>
              <w:bottom w:val="single" w:sz="4" w:color="808080"/>
              <w:left w:val="nil"/>
              <w:right w:val="nil"/>
            </w:tcBorders>
          </w:tcPr>
          <w:p>
            <w:pPr>
              <w:spacing w:after="10"/>
              <w:keepNext/>
            </w:pPr>
            <w:r>
              <w:rPr>
                <w:rFonts w:ascii="Times New Roman" w:hAnsi="Times New Roman"/>
                <w:b/>
                <w:i w:val="0"/>
                <w:sz w:val="15"/>
              </w:rPr>
              <w:t>move left / move right / hold</w:t>
            </w:r>
          </w:p>
        </w:tc>
        <w:tc>
          <w:tcPr>
            <w:tcW w:type="dxa" w:w="596"/>
            <w:tcBorders>
              <w:top w:val="single" w:sz="4" w:color="808080"/>
              <w:bottom w:val="single" w:sz="4" w:color="808080"/>
              <w:left w:val="nil"/>
              <w:right w:val="nil"/>
            </w:tcBorders>
          </w:tcPr>
          <w:p>
            <w:pPr>
              <w:spacing w:after="10"/>
              <w:keepNext/>
            </w:pPr>
            <w:r>
              <w:rPr>
                <w:rFonts w:ascii="Times New Roman" w:hAnsi="Times New Roman"/>
                <w:b/>
                <w:i w:val="0"/>
                <w:sz w:val="15"/>
              </w:rPr>
              <w:t>3</w:t>
            </w:r>
          </w:p>
        </w:tc>
        <w:tc>
          <w:tcPr>
            <w:tcW w:type="dxa" w:w="928"/>
            <w:tcBorders>
              <w:top w:val="single" w:sz="4" w:color="808080"/>
              <w:bottom w:val="single" w:sz="4" w:color="808080"/>
              <w:left w:val="nil"/>
              <w:right w:val="nil"/>
            </w:tcBorders>
          </w:tcPr>
          <w:p>
            <w:pPr>
              <w:spacing w:after="10"/>
              <w:keepNext/>
            </w:pPr>
            <w:r>
              <w:rPr>
                <w:rFonts w:ascii="Times New Roman" w:hAnsi="Times New Roman"/>
                <w:b/>
                <w:i w:val="0"/>
                <w:sz w:val="15"/>
              </w:rPr>
              <w:t>85.2%</w:t>
            </w:r>
          </w:p>
        </w:tc>
        <w:tc>
          <w:tcPr>
            <w:tcW w:type="dxa" w:w="1060"/>
            <w:tcBorders>
              <w:top w:val="single" w:sz="4" w:color="808080"/>
              <w:bottom w:val="single" w:sz="4" w:color="808080"/>
              <w:left w:val="nil"/>
              <w:right w:val="nil"/>
            </w:tcBorders>
          </w:tcPr>
          <w:p>
            <w:pPr>
              <w:spacing w:after="10"/>
              <w:keepNext/>
            </w:pPr>
            <w:r>
              <w:rPr>
                <w:rFonts w:ascii="Times New Roman" w:hAnsi="Times New Roman"/>
                <w:b/>
                <w:i w:val="0"/>
                <w:sz w:val="15"/>
              </w:rPr>
              <w:t>0.10%</w:t>
            </w:r>
          </w:p>
        </w:tc>
      </w:tr>
      <w:tr>
        <w:trPr>
          <w:cantSplit/>
        </w:trPr>
        <w:tc>
          <w:tcPr>
            <w:tcW w:type="dxa" w:w="2121"/>
            <w:tcBorders>
              <w:top w:val="single" w:sz="4" w:color="808080"/>
              <w:bottom w:val="single" w:sz="4" w:color="808080"/>
              <w:left w:val="nil"/>
              <w:right w:val="nil"/>
            </w:tcBorders>
          </w:tcPr>
          <w:p>
            <w:pPr>
              <w:spacing w:after="10"/>
              <w:keepNext/>
            </w:pPr>
            <w:r>
              <w:rPr>
                <w:rFonts w:ascii="Times New Roman" w:hAnsi="Times New Roman"/>
                <w:b w:val="0"/>
                <w:i w:val="0"/>
                <w:sz w:val="15"/>
              </w:rPr>
              <w:t>+ two magnitude grades</w:t>
            </w:r>
          </w:p>
        </w:tc>
        <w:tc>
          <w:tcPr>
            <w:tcW w:type="dxa" w:w="596"/>
            <w:tcBorders>
              <w:top w:val="single" w:sz="4" w:color="808080"/>
              <w:bottom w:val="single" w:sz="4" w:color="808080"/>
              <w:left w:val="nil"/>
              <w:right w:val="nil"/>
            </w:tcBorders>
          </w:tcPr>
          <w:p>
            <w:pPr>
              <w:spacing w:after="10"/>
              <w:keepNext/>
            </w:pPr>
            <w:r>
              <w:rPr>
                <w:rFonts w:ascii="Times New Roman" w:hAnsi="Times New Roman"/>
                <w:b w:val="0"/>
                <w:i w:val="0"/>
                <w:sz w:val="15"/>
              </w:rPr>
              <w:t>5</w:t>
            </w:r>
          </w:p>
        </w:tc>
        <w:tc>
          <w:tcPr>
            <w:tcW w:type="dxa" w:w="928"/>
            <w:tcBorders>
              <w:top w:val="single" w:sz="4" w:color="808080"/>
              <w:bottom w:val="single" w:sz="4" w:color="808080"/>
              <w:left w:val="nil"/>
              <w:right w:val="nil"/>
            </w:tcBorders>
          </w:tcPr>
          <w:p>
            <w:pPr>
              <w:spacing w:after="10"/>
              <w:keepNext/>
            </w:pPr>
            <w:r>
              <w:rPr>
                <w:rFonts w:ascii="Times New Roman" w:hAnsi="Times New Roman"/>
                <w:b w:val="0"/>
                <w:i w:val="0"/>
                <w:sz w:val="15"/>
              </w:rPr>
              <w:t>76.5%</w:t>
            </w:r>
          </w:p>
        </w:tc>
        <w:tc>
          <w:tcPr>
            <w:tcW w:type="dxa" w:w="1060"/>
            <w:tcBorders>
              <w:top w:val="single" w:sz="4" w:color="808080"/>
              <w:bottom w:val="single" w:sz="4" w:color="808080"/>
              <w:left w:val="nil"/>
              <w:right w:val="nil"/>
            </w:tcBorders>
          </w:tcPr>
          <w:p>
            <w:pPr>
              <w:spacing w:after="10"/>
              <w:keepNext/>
            </w:pPr>
            <w:r>
              <w:rPr>
                <w:rFonts w:ascii="Times New Roman" w:hAnsi="Times New Roman"/>
                <w:b w:val="0"/>
                <w:i w:val="0"/>
                <w:sz w:val="15"/>
              </w:rPr>
              <w:t>0.10%</w:t>
            </w:r>
          </w:p>
        </w:tc>
      </w:tr>
      <w:tr>
        <w:trPr>
          <w:cantSplit/>
        </w:trPr>
        <w:tc>
          <w:tcPr>
            <w:tcW w:type="dxa" w:w="2121"/>
            <w:tcBorders>
              <w:top w:val="single" w:sz="4" w:color="808080"/>
              <w:bottom w:val="single" w:sz="4" w:color="808080"/>
              <w:left w:val="nil"/>
              <w:right w:val="nil"/>
            </w:tcBorders>
          </w:tcPr>
          <w:p>
            <w:pPr>
              <w:spacing w:after="10"/>
            </w:pPr>
            <w:r>
              <w:rPr>
                <w:rFonts w:ascii="Times New Roman" w:hAnsi="Times New Roman"/>
                <w:b w:val="0"/>
                <w:i w:val="0"/>
                <w:sz w:val="15"/>
              </w:rPr>
              <w:t>+ three magnitude grades</w:t>
            </w:r>
          </w:p>
        </w:tc>
        <w:tc>
          <w:tcPr>
            <w:tcW w:type="dxa" w:w="596"/>
            <w:tcBorders>
              <w:top w:val="single" w:sz="4" w:color="808080"/>
              <w:bottom w:val="single" w:sz="4" w:color="808080"/>
              <w:left w:val="nil"/>
              <w:right w:val="nil"/>
            </w:tcBorders>
          </w:tcPr>
          <w:p>
            <w:pPr>
              <w:spacing w:after="10"/>
            </w:pPr>
            <w:r>
              <w:rPr>
                <w:rFonts w:ascii="Times New Roman" w:hAnsi="Times New Roman"/>
                <w:b w:val="0"/>
                <w:i w:val="0"/>
                <w:sz w:val="15"/>
              </w:rPr>
              <w:t>7</w:t>
            </w:r>
          </w:p>
        </w:tc>
        <w:tc>
          <w:tcPr>
            <w:tcW w:type="dxa" w:w="928"/>
            <w:tcBorders>
              <w:top w:val="single" w:sz="4" w:color="808080"/>
              <w:bottom w:val="single" w:sz="4" w:color="808080"/>
              <w:left w:val="nil"/>
              <w:right w:val="nil"/>
            </w:tcBorders>
          </w:tcPr>
          <w:p>
            <w:pPr>
              <w:spacing w:after="10"/>
            </w:pPr>
            <w:r>
              <w:rPr>
                <w:rFonts w:ascii="Times New Roman" w:hAnsi="Times New Roman"/>
                <w:b w:val="0"/>
                <w:i w:val="0"/>
                <w:sz w:val="15"/>
              </w:rPr>
              <w:t>70.7%</w:t>
            </w:r>
          </w:p>
        </w:tc>
        <w:tc>
          <w:tcPr>
            <w:tcW w:type="dxa" w:w="1060"/>
            <w:tcBorders>
              <w:top w:val="single" w:sz="4" w:color="808080"/>
              <w:bottom w:val="single" w:sz="4" w:color="808080"/>
              <w:left w:val="nil"/>
              <w:right w:val="nil"/>
            </w:tcBorders>
          </w:tcPr>
          <w:p>
            <w:pPr>
              <w:spacing w:after="10"/>
            </w:pPr>
            <w:r>
              <w:rPr>
                <w:rFonts w:ascii="Times New Roman" w:hAnsi="Times New Roman"/>
                <w:b w:val="0"/>
                <w:i w:val="0"/>
                <w:sz w:val="15"/>
              </w:rPr>
              <w:t>0.10%</w:t>
            </w:r>
          </w:p>
        </w:tc>
      </w:tr>
    </w:tbl>
    <w:p>
      <w:pPr>
        <w:spacing w:after="60"/>
      </w:pPr>
    </w:p>
    <w:p>
      <w:pPr>
        <w:spacing w:before="0" w:after="64"/>
        <w:ind w:left="0"/>
        <w:jc w:val="both"/>
      </w:pPr>
      <w:r>
        <w:rPr>
          <w:rFonts w:ascii="Times New Roman" w:hAnsi="Times New Roman"/>
          <w:b w:val="0"/>
          <w:i w:val="0"/>
          <w:sz w:val="19"/>
        </w:rPr>
        <w:t>Each word is a complete instruction to two different readers. To the human operator the vocabulary is displayed or spoken as it stands: the word names the direction — the register in which probe handling is actually taught and corrected — while the measured displacement stands beside it as a number. To a robotic probe holder each word is a symbol with a defined condition and axis, so translation into a twist command is a lookup, not an inference (Table 4). The language layer is thus the interface between the two settings: the same judgment drives either operator, and nothing about the pipeline changes when the reader does.</w:t>
      </w:r>
    </w:p>
    <w:p>
      <w:pPr>
        <w:keepNext/>
        <w:spacing w:before="120" w:after="40"/>
      </w:pPr>
      <w:r>
        <w:rPr>
          <w:rFonts w:ascii="Times New Roman" w:hAnsi="Times New Roman"/>
          <w:b/>
          <w:i w:val="0"/>
          <w:sz w:val="15"/>
        </w:rPr>
        <w:t>Table 4.</w:t>
      </w:r>
      <w:r>
        <w:rPr>
          <w:rFonts w:ascii="Times New Roman" w:hAnsi="Times New Roman"/>
          <w:b w:val="0"/>
          <w:i w:val="0"/>
          <w:sz w:val="15"/>
        </w:rPr>
        <w:t xml:space="preserve"> One vocabulary, two readers. The mapping from word to action is fixed in advance on both sides; no model sits between the instruction and its execution.</w:t>
      </w:r>
    </w:p>
    <w:tbl>
      <w:tblPr>
        <w:tblW w:type="auto" w:w="0"/>
        <w:jc w:val="center"/>
        <w:tblLayout w:type="fixed"/>
        <w:tblLook w:firstColumn="1" w:firstRow="1" w:lastColumn="0" w:lastRow="0" w:noHBand="0" w:noVBand="1" w:val="04A0"/>
        <w:tblLayout w:type="fixed"/>
        <w:tblW w:w="4706" w:type="dxa"/>
      </w:tblPr>
      <w:tblGrid>
        <w:gridCol w:w="1327"/>
        <w:gridCol w:w="1689"/>
        <w:gridCol w:w="1689"/>
      </w:tblGrid>
      <w:tr>
        <w:trPr>
          <w:cantSplit/>
        </w:trPr>
        <w:tc>
          <w:tcPr>
            <w:tcW w:type="dxa" w:w="1327"/>
            <w:tcBorders>
              <w:top w:val="single" w:sz="8" w:color="000000"/>
              <w:bottom w:val="single" w:sz="8" w:color="000000"/>
              <w:left w:val="nil"/>
              <w:right w:val="nil"/>
            </w:tcBorders>
          </w:tcPr>
          <w:p>
            <w:pPr>
              <w:spacing w:after="10"/>
              <w:keepNext/>
            </w:pPr>
            <w:r>
              <w:rPr>
                <w:rFonts w:ascii="Times New Roman" w:hAnsi="Times New Roman"/>
                <w:b/>
                <w:i w:val="0"/>
                <w:sz w:val="15"/>
              </w:rPr>
              <w:t>Instruction</w:t>
            </w:r>
          </w:p>
        </w:tc>
        <w:tc>
          <w:tcPr>
            <w:tcW w:type="dxa" w:w="1689"/>
            <w:tcBorders>
              <w:top w:val="single" w:sz="8" w:color="000000"/>
              <w:bottom w:val="single" w:sz="8" w:color="000000"/>
              <w:left w:val="nil"/>
              <w:right w:val="nil"/>
            </w:tcBorders>
          </w:tcPr>
          <w:p>
            <w:pPr>
              <w:spacing w:after="10"/>
              <w:keepNext/>
            </w:pPr>
            <w:r>
              <w:rPr>
                <w:rFonts w:ascii="Times New Roman" w:hAnsi="Times New Roman"/>
                <w:b/>
                <w:i w:val="0"/>
                <w:sz w:val="15"/>
              </w:rPr>
              <w:t>Human operator</w:t>
            </w:r>
          </w:p>
        </w:tc>
        <w:tc>
          <w:tcPr>
            <w:tcW w:type="dxa" w:w="1689"/>
            <w:tcBorders>
              <w:top w:val="single" w:sz="8" w:color="000000"/>
              <w:bottom w:val="single" w:sz="8" w:color="000000"/>
              <w:left w:val="nil"/>
              <w:right w:val="nil"/>
            </w:tcBorders>
          </w:tcPr>
          <w:p>
            <w:pPr>
              <w:spacing w:after="10"/>
              <w:keepNext/>
            </w:pPr>
            <w:r>
              <w:rPr>
                <w:rFonts w:ascii="Times New Roman" w:hAnsi="Times New Roman"/>
                <w:b/>
                <w:i w:val="0"/>
                <w:sz w:val="15"/>
              </w:rPr>
              <w:t>Robotic probe holder</w:t>
            </w:r>
          </w:p>
        </w:tc>
      </w:tr>
      <w:tr>
        <w:trPr>
          <w:cantSplit/>
        </w:trPr>
        <w:tc>
          <w:tcPr>
            <w:tcW w:type="dxa" w:w="1327"/>
            <w:tcBorders>
              <w:top w:val="single" w:sz="4" w:color="808080"/>
              <w:bottom w:val="single" w:sz="4" w:color="808080"/>
              <w:left w:val="nil"/>
              <w:right w:val="nil"/>
            </w:tcBorders>
          </w:tcPr>
          <w:p>
            <w:pPr>
              <w:spacing w:after="10"/>
              <w:keepNext/>
            </w:pPr>
            <w:r>
              <w:rPr>
                <w:rFonts w:ascii="Times New Roman" w:hAnsi="Times New Roman"/>
                <w:b w:val="0"/>
                <w:i/>
                <w:sz w:val="15"/>
              </w:rPr>
              <w:t>check bladder filling</w:t>
            </w:r>
          </w:p>
        </w:tc>
        <w:tc>
          <w:tcPr>
            <w:tcW w:type="dxa" w:w="1689"/>
            <w:tcBorders>
              <w:top w:val="single" w:sz="4" w:color="808080"/>
              <w:bottom w:val="single" w:sz="4" w:color="808080"/>
              <w:left w:val="nil"/>
              <w:right w:val="nil"/>
            </w:tcBorders>
          </w:tcPr>
          <w:p>
            <w:pPr>
              <w:spacing w:after="10"/>
              <w:keepNext/>
            </w:pPr>
            <w:r>
              <w:rPr>
                <w:rFonts w:ascii="Times New Roman" w:hAnsi="Times New Roman"/>
                <w:b w:val="0"/>
                <w:i w:val="0"/>
                <w:sz w:val="15"/>
              </w:rPr>
              <w:t>pause; reassess filling before scanning on</w:t>
            </w:r>
          </w:p>
        </w:tc>
        <w:tc>
          <w:tcPr>
            <w:tcW w:type="dxa" w:w="1689"/>
            <w:tcBorders>
              <w:top w:val="single" w:sz="4" w:color="808080"/>
              <w:bottom w:val="single" w:sz="4" w:color="808080"/>
              <w:left w:val="nil"/>
              <w:right w:val="nil"/>
            </w:tcBorders>
          </w:tcPr>
          <w:p>
            <w:pPr>
              <w:spacing w:after="10"/>
              <w:keepNext/>
            </w:pPr>
            <w:r>
              <w:rPr>
                <w:rFonts w:ascii="Times New Roman" w:hAnsi="Times New Roman"/>
                <w:b w:val="0"/>
                <w:i w:val="0"/>
                <w:sz w:val="15"/>
              </w:rPr>
              <w:t>zero twist; hand control back to the supervisor</w:t>
            </w:r>
          </w:p>
        </w:tc>
      </w:tr>
      <w:tr>
        <w:trPr>
          <w:cantSplit/>
        </w:trPr>
        <w:tc>
          <w:tcPr>
            <w:tcW w:type="dxa" w:w="1327"/>
            <w:tcBorders>
              <w:top w:val="single" w:sz="4" w:color="808080"/>
              <w:bottom w:val="single" w:sz="4" w:color="808080"/>
              <w:left w:val="nil"/>
              <w:right w:val="nil"/>
            </w:tcBorders>
          </w:tcPr>
          <w:p>
            <w:pPr>
              <w:spacing w:after="10"/>
              <w:keepNext/>
            </w:pPr>
            <w:r>
              <w:rPr>
                <w:rFonts w:ascii="Times New Roman" w:hAnsi="Times New Roman"/>
                <w:b w:val="0"/>
                <w:i/>
                <w:sz w:val="15"/>
              </w:rPr>
              <w:t>move left</w:t>
            </w:r>
            <w:r>
              <w:rPr>
                <w:rFonts w:ascii="Times New Roman" w:hAnsi="Times New Roman"/>
                <w:b w:val="0"/>
                <w:i w:val="0"/>
                <w:sz w:val="15"/>
              </w:rPr>
              <w:t xml:space="preserve"> / </w:t>
            </w:r>
            <w:r>
              <w:rPr>
                <w:rFonts w:ascii="Times New Roman" w:hAnsi="Times New Roman"/>
                <w:b w:val="0"/>
                <w:i/>
                <w:sz w:val="15"/>
              </w:rPr>
              <w:t>move right</w:t>
            </w:r>
          </w:p>
        </w:tc>
        <w:tc>
          <w:tcPr>
            <w:tcW w:type="dxa" w:w="1689"/>
            <w:tcBorders>
              <w:top w:val="single" w:sz="4" w:color="808080"/>
              <w:bottom w:val="single" w:sz="4" w:color="808080"/>
              <w:left w:val="nil"/>
              <w:right w:val="nil"/>
            </w:tcBorders>
          </w:tcPr>
          <w:p>
            <w:pPr>
              <w:spacing w:after="10"/>
              <w:keepNext/>
            </w:pPr>
            <w:r>
              <w:rPr>
                <w:rFonts w:ascii="Times New Roman" w:hAnsi="Times New Roman"/>
                <w:b w:val="0"/>
                <w:i w:val="0"/>
                <w:sz w:val="15"/>
              </w:rPr>
              <w:t>slide the probe laterally by the displayed amount</w:t>
            </w:r>
          </w:p>
        </w:tc>
        <w:tc>
          <w:tcPr>
            <w:tcW w:type="dxa" w:w="1689"/>
            <w:tcBorders>
              <w:top w:val="single" w:sz="4" w:color="808080"/>
              <w:bottom w:val="single" w:sz="4" w:color="808080"/>
              <w:left w:val="nil"/>
              <w:right w:val="nil"/>
            </w:tcBorders>
          </w:tcPr>
          <w:p>
            <w:pPr>
              <w:spacing w:after="10"/>
              <w:keepNext/>
            </w:pPr>
            <w:r>
              <w:rPr>
                <w:rFonts w:ascii="Times New Roman" w:hAnsi="Times New Roman"/>
                <w:b w:val="0"/>
                <w:i/>
                <w:sz w:val="15"/>
              </w:rPr>
              <w:t>v</w:t>
            </w:r>
            <w:r>
              <w:rPr>
                <w:rFonts w:ascii="Times New Roman" w:hAnsi="Times New Roman"/>
                <w:b w:val="0"/>
                <w:i w:val="0"/>
                <w:sz w:val="15"/>
                <w:vertAlign w:val="subscript"/>
              </w:rPr>
              <w:t>x</w:t>
            </w:r>
            <w:r>
              <w:rPr>
                <w:rFonts w:ascii="Times New Roman" w:hAnsi="Times New Roman"/>
                <w:b w:val="0"/>
                <w:i w:val="0"/>
                <w:sz w:val="15"/>
              </w:rPr>
              <w:t xml:space="preserve"> = −</w:t>
            </w:r>
            <w:r>
              <w:rPr>
                <w:rFonts w:ascii="Times New Roman" w:hAnsi="Times New Roman"/>
                <w:b w:val="0"/>
                <w:i/>
                <w:sz w:val="15"/>
              </w:rPr>
              <w:t>k ê</w:t>
            </w:r>
            <w:r>
              <w:rPr>
                <w:rFonts w:ascii="Times New Roman" w:hAnsi="Times New Roman"/>
                <w:b w:val="0"/>
                <w:i w:val="0"/>
                <w:sz w:val="15"/>
              </w:rPr>
              <w:t>, saturated; other axes zero</w:t>
            </w:r>
          </w:p>
        </w:tc>
      </w:tr>
      <w:tr>
        <w:trPr>
          <w:cantSplit/>
        </w:trPr>
        <w:tc>
          <w:tcPr>
            <w:tcW w:type="dxa" w:w="1327"/>
            <w:tcBorders>
              <w:top w:val="single" w:sz="4" w:color="808080"/>
              <w:bottom w:val="single" w:sz="4" w:color="808080"/>
              <w:left w:val="nil"/>
              <w:right w:val="nil"/>
            </w:tcBorders>
          </w:tcPr>
          <w:p>
            <w:pPr>
              <w:spacing w:after="10"/>
            </w:pPr>
            <w:r>
              <w:rPr>
                <w:rFonts w:ascii="Times New Roman" w:hAnsi="Times New Roman"/>
                <w:b w:val="0"/>
                <w:i/>
                <w:sz w:val="15"/>
              </w:rPr>
              <w:t>hold</w:t>
            </w:r>
          </w:p>
        </w:tc>
        <w:tc>
          <w:tcPr>
            <w:tcW w:type="dxa" w:w="1689"/>
            <w:tcBorders>
              <w:top w:val="single" w:sz="4" w:color="808080"/>
              <w:bottom w:val="single" w:sz="4" w:color="808080"/>
              <w:left w:val="nil"/>
              <w:right w:val="nil"/>
            </w:tcBorders>
          </w:tcPr>
          <w:p>
            <w:pPr>
              <w:spacing w:after="10"/>
            </w:pPr>
            <w:r>
              <w:rPr>
                <w:rFonts w:ascii="Times New Roman" w:hAnsi="Times New Roman"/>
                <w:b w:val="0"/>
                <w:i w:val="0"/>
                <w:sz w:val="15"/>
              </w:rPr>
              <w:t>keep the current pose</w:t>
            </w:r>
          </w:p>
        </w:tc>
        <w:tc>
          <w:tcPr>
            <w:tcW w:type="dxa" w:w="1689"/>
            <w:tcBorders>
              <w:top w:val="single" w:sz="4" w:color="808080"/>
              <w:bottom w:val="single" w:sz="4" w:color="808080"/>
              <w:left w:val="nil"/>
              <w:right w:val="nil"/>
            </w:tcBorders>
          </w:tcPr>
          <w:p>
            <w:pPr>
              <w:spacing w:after="10"/>
            </w:pPr>
            <w:r>
              <w:rPr>
                <w:rFonts w:ascii="Times New Roman" w:hAnsi="Times New Roman"/>
                <w:b w:val="0"/>
                <w:i w:val="0"/>
                <w:sz w:val="15"/>
              </w:rPr>
              <w:t>zero lateral twist; no correction commanded</w:t>
            </w:r>
          </w:p>
        </w:tc>
      </w:tr>
    </w:tbl>
    <w:p>
      <w:pPr>
        <w:spacing w:after="60"/>
      </w:pPr>
    </w:p>
    <w:p>
      <w:pPr>
        <w:keepNext/>
        <w:spacing w:before="90" w:after="40"/>
        <w:ind w:left="0"/>
        <w:jc w:val="left"/>
      </w:pPr>
      <w:r>
        <w:rPr>
          <w:rFonts w:ascii="Times New Roman" w:hAnsi="Times New Roman"/>
          <w:b/>
          <w:i w:val="0"/>
          <w:sz w:val="18"/>
        </w:rPr>
        <w:t>3.5 Accuracy of the Emitted Instruction</w:t>
      </w:r>
    </w:p>
    <w:p>
      <w:pPr>
        <w:spacing w:before="0" w:after="64"/>
        <w:ind w:left="0"/>
        <w:jc w:val="both"/>
      </w:pPr>
      <w:r>
        <w:rPr>
          <w:rFonts w:ascii="Times New Roman" w:hAnsi="Times New Roman"/>
          <w:b w:val="0"/>
          <w:i w:val="0"/>
          <w:sz w:val="19"/>
        </w:rPr>
        <w:t>Figure 4 shows one frame of the sweep at three lateral displacements, including one inside the band where the direction is no longer trustworthy.</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5112000" cy="2016789"/>
            <wp:docPr id="4" name="Picture 4"/>
            <wp:cNvGraphicFramePr>
              <a:graphicFrameLocks noChangeAspect="1"/>
            </wp:cNvGraphicFramePr>
            <a:graphic>
              <a:graphicData uri="http://schemas.openxmlformats.org/drawingml/2006/picture">
                <pic:pic>
                  <pic:nvPicPr>
                    <pic:cNvPr id="0" name="fig_examples.png"/>
                    <pic:cNvPicPr/>
                  </pic:nvPicPr>
                  <pic:blipFill>
                    <a:blip r:embed="rId13"/>
                    <a:stretch>
                      <a:fillRect/>
                    </a:stretch>
                  </pic:blipFill>
                  <pic:spPr>
                    <a:xfrm>
                      <a:off x="0" y="0"/>
                      <a:ext cx="5112000" cy="2016789"/>
                    </a:xfrm>
                    <a:prstGeom prst="rect"/>
                  </pic:spPr>
                </pic:pic>
              </a:graphicData>
            </a:graphic>
          </wp:inline>
        </w:drawing>
      </w:r>
    </w:p>
    <w:p>
      <w:pPr>
        <w:spacing w:after="120"/>
        <w:jc w:val="both"/>
      </w:pPr>
      <w:r>
        <w:rPr>
          <w:rFonts w:ascii="Times New Roman" w:hAnsi="Times New Roman"/>
          <w:b/>
          <w:i w:val="0"/>
          <w:sz w:val="15"/>
        </w:rPr>
        <w:t>Figure 4.</w:t>
      </w:r>
      <w:r>
        <w:rPr>
          <w:rFonts w:ascii="Times New Roman" w:hAnsi="Times New Roman"/>
          <w:b w:val="0"/>
          <w:i w:val="0"/>
          <w:sz w:val="15"/>
        </w:rPr>
        <w:t xml:space="preserve"> One frame at three lateral displacements. Cyan is the annotation, orange dashed the prediction, white dashed the beam axis, the arrow the instruction. At </w:t>
      </w:r>
      <w:r>
        <w:rPr>
          <w:rFonts w:ascii="Times New Roman" w:hAnsi="Times New Roman"/>
          <w:b w:val="0"/>
          <w:i/>
          <w:sz w:val="15"/>
        </w:rPr>
        <w:t>e</w:t>
      </w:r>
      <w:r>
        <w:rPr>
          <w:rFonts w:ascii="Times New Roman" w:hAnsi="Times New Roman"/>
          <w:b w:val="0"/>
          <w:i w:val="0"/>
          <w:sz w:val="15"/>
        </w:rPr>
        <w:t xml:space="preserve"> = +2.1 px the instruction has collapsed to +0.8 px: the loop has entered the band where Equation (2) says the direction is no longer reliable.</w:t>
      </w:r>
    </w:p>
    <w:p>
      <w:pPr>
        <w:sectPr>
          <w:type w:val="continuous"/>
          <w:pgSz w:w="11906" w:h="16838"/>
          <w:pgMar w:top="1077" w:right="1020" w:bottom="1077" w:left="1020" w:header="567" w:footer="567" w:gutter="0"/>
          <w:cols w:space="396" w:num="1"/>
          <w:docGrid w:linePitch="360"/>
        </w:sectPr>
      </w:pPr>
    </w:p>
    <w:p>
      <w:pPr>
        <w:spacing w:before="0" w:after="64"/>
        <w:ind w:left="0"/>
        <w:jc w:val="both"/>
      </w:pPr>
      <w:r>
        <w:rPr>
          <w:rFonts w:ascii="Times New Roman" w:hAnsi="Times New Roman"/>
          <w:b w:val="0"/>
          <w:i w:val="0"/>
          <w:sz w:val="19"/>
        </w:rPr>
        <w:t xml:space="preserve">The instruction agrees with the truth in 93.7% of frames, with a median magnitude error of 3.15 px, a regression slope of 0.993 and </w:t>
      </w:r>
      <w:r>
        <w:rPr>
          <w:rFonts w:ascii="Times New Roman" w:hAnsi="Times New Roman"/>
          <w:b w:val="0"/>
          <w:i/>
          <w:sz w:val="19"/>
        </w:rPr>
        <w:t>r</w:t>
      </w:r>
      <w:r>
        <w:rPr>
          <w:rFonts w:ascii="Times New Roman" w:hAnsi="Times New Roman"/>
          <w:b w:val="0"/>
          <w:i w:val="0"/>
          <w:sz w:val="19"/>
        </w:rPr>
        <w:t xml:space="preserve"> = 0.970. A slope this close to unity means the instruction is correctly scaled and not merely directional. The two held-out frame sets agree to within 0.7 px of median error.</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4968000" cy="2593735"/>
            <wp:docPr id="5" name="Picture 5"/>
            <wp:cNvGraphicFramePr>
              <a:graphicFrameLocks noChangeAspect="1"/>
            </wp:cNvGraphicFramePr>
            <a:graphic>
              <a:graphicData uri="http://schemas.openxmlformats.org/drawingml/2006/picture">
                <pic:pic>
                  <pic:nvPicPr>
                    <pic:cNvPr id="0" name="fig_agreement.png"/>
                    <pic:cNvPicPr/>
                  </pic:nvPicPr>
                  <pic:blipFill>
                    <a:blip r:embed="rId14"/>
                    <a:stretch>
                      <a:fillRect/>
                    </a:stretch>
                  </pic:blipFill>
                  <pic:spPr>
                    <a:xfrm>
                      <a:off x="0" y="0"/>
                      <a:ext cx="4968000" cy="2593735"/>
                    </a:xfrm>
                    <a:prstGeom prst="rect"/>
                  </pic:spPr>
                </pic:pic>
              </a:graphicData>
            </a:graphic>
          </wp:inline>
        </w:drawing>
      </w:r>
    </w:p>
    <w:p>
      <w:pPr>
        <w:spacing w:after="120"/>
        <w:jc w:val="both"/>
      </w:pPr>
      <w:r>
        <w:rPr>
          <w:rFonts w:ascii="Times New Roman" w:hAnsi="Times New Roman"/>
          <w:b/>
          <w:i w:val="0"/>
          <w:sz w:val="15"/>
        </w:rPr>
        <w:t>Figure 5.</w:t>
      </w:r>
      <w:r>
        <w:rPr>
          <w:rFonts w:ascii="Times New Roman" w:hAnsi="Times New Roman"/>
          <w:b w:val="0"/>
          <w:i w:val="0"/>
          <w:sz w:val="15"/>
        </w:rPr>
        <w:t xml:space="preserve"> Instructed against ground-truth lateral displacement, one panel per held-out frame set; per-set agreement statistics are inset. Shaded quadrants are wrong-direction outcomes; every one lies within a few pixels of the axis.</w:t>
      </w:r>
    </w:p>
    <w:p>
      <w:pPr>
        <w:sectPr>
          <w:type w:val="continuous"/>
          <w:pgSz w:w="11906" w:h="16838"/>
          <w:pgMar w:top="1077" w:right="1020" w:bottom="1077" w:left="1020" w:header="567" w:footer="567" w:gutter="0"/>
          <w:cols w:space="396" w:num="1"/>
          <w:docGrid w:linePitch="360"/>
        </w:sectPr>
      </w:pPr>
    </w:p>
    <w:p>
      <w:pPr>
        <w:spacing w:before="0" w:after="64"/>
        <w:ind w:left="0"/>
        <w:jc w:val="both"/>
      </w:pPr>
      <w:r>
        <w:rPr>
          <w:rFonts w:ascii="Times New Roman" w:hAnsi="Times New Roman"/>
          <w:b/>
          <w:i w:val="0"/>
          <w:sz w:val="19"/>
        </w:rPr>
        <w:t>The result is not that percentage but the shape of its failure.</w:t>
      </w:r>
      <w:r>
        <w:rPr>
          <w:rFonts w:ascii="Times New Roman" w:hAnsi="Times New Roman"/>
          <w:b w:val="0"/>
          <w:i w:val="0"/>
          <w:sz w:val="19"/>
        </w:rPr>
        <w:t xml:space="preserve"> Wrong directions occur only near the axis — their median required displacement is 7.9 px against 15.8 px for correct ones — and their rate follows Equation (2) with </w:t>
      </w:r>
      <w:r>
        <w:rPr>
          <w:rFonts w:ascii="Times New Roman" w:hAnsi="Times New Roman"/>
          <w:b w:val="0"/>
          <w:i/>
          <w:sz w:val="19"/>
        </w:rPr>
        <w:t>σ</w:t>
      </w:r>
      <w:r>
        <w:rPr>
          <w:rFonts w:ascii="Times New Roman" w:hAnsi="Times New Roman"/>
          <w:b w:val="0"/>
          <w:i w:val="0"/>
          <w:sz w:val="19"/>
        </w:rPr>
        <w:t xml:space="preserve"> fitted once to the centroid error and not to this curve (Figure 6). Agreement across two decades of error rate is what licenses deriving the vocabulary boundary from the model rather than reading it off the data.</w:t>
      </w:r>
    </w:p>
    <w:p>
      <w:pPr>
        <w:sectPr>
          <w:type w:val="continuous"/>
          <w:pgSz w:w="11906" w:h="16838"/>
          <w:pgMar w:top="1077" w:right="1020" w:bottom="1077" w:left="1020" w:header="567" w:footer="567" w:gutter="0"/>
          <w:cols w:space="396" w:num="2"/>
          <w:docGrid w:linePitch="360"/>
        </w:sectPr>
      </w:pPr>
    </w:p>
    <w:p>
      <w:pPr>
        <w:keepNext/>
        <w:spacing w:before="120" w:after="40"/>
        <w:jc w:val="center"/>
      </w:pPr>
      <w:r>
        <w:drawing>
          <wp:inline xmlns:a="http://schemas.openxmlformats.org/drawingml/2006/main" xmlns:pic="http://schemas.openxmlformats.org/drawingml/2006/picture">
            <wp:extent cx="4968000" cy="2231309"/>
            <wp:docPr id="6" name="Picture 6"/>
            <wp:cNvGraphicFramePr>
              <a:graphicFrameLocks noChangeAspect="1"/>
            </wp:cNvGraphicFramePr>
            <a:graphic>
              <a:graphicData uri="http://schemas.openxmlformats.org/drawingml/2006/picture">
                <pic:pic>
                  <pic:nvPicPr>
                    <pic:cNvPr id="0" name="fig_validity.png"/>
                    <pic:cNvPicPr/>
                  </pic:nvPicPr>
                  <pic:blipFill>
                    <a:blip r:embed="rId15"/>
                    <a:stretch>
                      <a:fillRect/>
                    </a:stretch>
                  </pic:blipFill>
                  <pic:spPr>
                    <a:xfrm>
                      <a:off x="0" y="0"/>
                      <a:ext cx="4968000" cy="2231309"/>
                    </a:xfrm>
                    <a:prstGeom prst="rect"/>
                  </pic:spPr>
                </pic:pic>
              </a:graphicData>
            </a:graphic>
          </wp:inline>
        </w:drawing>
      </w:r>
    </w:p>
    <w:p>
      <w:pPr>
        <w:spacing w:after="120"/>
        <w:jc w:val="both"/>
      </w:pPr>
      <w:r>
        <w:rPr>
          <w:rFonts w:ascii="Times New Roman" w:hAnsi="Times New Roman"/>
          <w:b/>
          <w:i w:val="0"/>
          <w:sz w:val="15"/>
        </w:rPr>
        <w:t>Figure 6.</w:t>
      </w:r>
      <w:r>
        <w:rPr>
          <w:rFonts w:ascii="Times New Roman" w:hAnsi="Times New Roman"/>
          <w:b w:val="0"/>
          <w:i w:val="0"/>
          <w:sz w:val="15"/>
        </w:rPr>
        <w:t xml:space="preserve"> Wrong-direction rate against required displacement. The curve is Equation (2); circles are observed rates with frame counts. Dashed verticals mark where the modelled rate reaches 5% and 1%.</w:t>
      </w:r>
    </w:p>
    <w:p>
      <w:pPr>
        <w:sectPr>
          <w:type w:val="continuous"/>
          <w:pgSz w:w="11906" w:h="16838"/>
          <w:pgMar w:top="1077" w:right="1020" w:bottom="1077" w:left="1020" w:header="567" w:footer="567" w:gutter="0"/>
          <w:cols w:space="396" w:num="1"/>
          <w:docGrid w:linePitch="360"/>
        </w:sectPr>
      </w:pPr>
    </w:p>
    <w:p>
      <w:pPr>
        <w:spacing w:before="0" w:after="64"/>
        <w:ind w:left="0"/>
        <w:jc w:val="both"/>
      </w:pPr>
      <w:r>
        <w:rPr>
          <w:rFonts w:ascii="Times New Roman" w:hAnsi="Times New Roman"/>
          <w:b w:val="0"/>
          <w:i w:val="0"/>
          <w:sz w:val="19"/>
        </w:rPr>
        <w:t xml:space="preserve">The constants are stable against annotation quality. A model-blind label audit flags four of the frame sets' patients as carrying regions that cannot be lumen; recomputing without them moves </w:t>
      </w:r>
      <w:r>
        <w:rPr>
          <w:rFonts w:ascii="Times New Roman" w:hAnsi="Times New Roman"/>
          <w:b w:val="0"/>
          <w:i/>
          <w:sz w:val="19"/>
        </w:rPr>
        <w:t>σ</w:t>
      </w:r>
      <w:r>
        <w:rPr>
          <w:rFonts w:ascii="Times New Roman" w:hAnsi="Times New Roman"/>
          <w:b w:val="0"/>
          <w:i w:val="0"/>
          <w:sz w:val="19"/>
        </w:rPr>
        <w:t xml:space="preserve"> from 4.92 to 4.67 px (−5%), sign agreement from 93.7% to 94.1%, and the 5% boundary from 8.1 to 7.7 px.</w:t>
      </w:r>
    </w:p>
    <w:p>
      <w:pPr>
        <w:keepNext/>
        <w:spacing w:before="130" w:after="40"/>
        <w:ind w:left="0"/>
        <w:jc w:val="left"/>
      </w:pPr>
      <w:r>
        <w:rPr>
          <w:rFonts w:ascii="Times New Roman" w:hAnsi="Times New Roman"/>
          <w:b/>
          <w:i w:val="0"/>
          <w:sz w:val="20"/>
        </w:rPr>
        <w:t>4. Discussion</w:t>
      </w:r>
    </w:p>
    <w:p>
      <w:pPr>
        <w:spacing w:before="0" w:after="64"/>
        <w:ind w:left="0"/>
        <w:jc w:val="both"/>
      </w:pPr>
      <w:r>
        <w:rPr>
          <w:rFonts w:ascii="Times New Roman" w:hAnsi="Times New Roman"/>
          <w:b w:val="0"/>
          <w:i w:val="0"/>
          <w:sz w:val="19"/>
        </w:rPr>
        <w:t>Reporting an image-quality function by its correlation with a segmentation metric answers the wrong question. Correlation says how the score orders frames; the attained range over the function's own noise says how many states a reader can genuinely tell apart, and the two come apart — a score can rank frames respectably while supporting fewer distinctions than the instructions a controller would want to issue, a failure invisible to any accuracy figure. Range, its decomposition, and range-over-noise are cheap to compute and we suggest reporting them for any score intended to instruct an operator or drive a device. The decomposition also gives a concrete design rule: a term contributing none of the range is not underweighted but degenerate, and the fix is to measure it where the decision is hard or to remove it — here the two terms that consult the ultrasound image carry 92.4% of the range while three mask-side terms carry almost none.</w:t>
      </w:r>
    </w:p>
    <w:p>
      <w:pPr>
        <w:keepNext/>
        <w:spacing w:before="90" w:after="40"/>
        <w:ind w:left="0"/>
        <w:jc w:val="left"/>
      </w:pPr>
      <w:r>
        <w:rPr>
          <w:rFonts w:ascii="Times New Roman" w:hAnsi="Times New Roman"/>
          <w:b/>
          <w:i w:val="0"/>
          <w:sz w:val="18"/>
        </w:rPr>
        <w:t>4.1 The Action-Token Channel: From Judgment to Twist</w:t>
      </w:r>
    </w:p>
    <w:p>
      <w:pPr>
        <w:spacing w:before="0" w:after="64"/>
        <w:ind w:left="0"/>
        <w:jc w:val="both"/>
      </w:pPr>
      <w:r>
        <w:rPr>
          <w:rFonts w:ascii="Times New Roman" w:hAnsi="Times New Roman"/>
          <w:b w:val="0"/>
          <w:i w:val="0"/>
          <w:sz w:val="19"/>
        </w:rPr>
        <w:t xml:space="preserve">The pipeline validated above ends at the emitted instruction; this section records how a robotic probe holder consumes it — the design, not a result. The channel's input is the per-frame emission of stage 3: an action token (word, </w:t>
      </w:r>
      <w:r>
        <w:rPr>
          <w:rFonts w:ascii="Times New Roman" w:hAnsi="Times New Roman"/>
          <w:b w:val="0"/>
          <w:i/>
          <w:sz w:val="19"/>
        </w:rPr>
        <w:t>ê</w:t>
      </w:r>
      <w:r>
        <w:rPr>
          <w:rFonts w:ascii="Times New Roman" w:hAnsi="Times New Roman"/>
          <w:b w:val="0"/>
          <w:i w:val="0"/>
          <w:sz w:val="19"/>
        </w:rPr>
        <w:t xml:space="preserve">), with the quality scalar </w:t>
      </w:r>
      <w:r>
        <w:rPr>
          <w:rFonts w:ascii="Times New Roman" w:hAnsi="Times New Roman"/>
          <w:b w:val="0"/>
          <w:i/>
          <w:sz w:val="19"/>
        </w:rPr>
        <w:t>Q</w:t>
      </w:r>
      <w:r>
        <w:rPr>
          <w:rFonts w:ascii="Times New Roman" w:hAnsi="Times New Roman"/>
          <w:b w:val="0"/>
          <w:i w:val="0"/>
          <w:sz w:val="19"/>
        </w:rPr>
        <w:t xml:space="preserve"> beside it. Decoding is the fixed lookup of Table 4, and no model sits between token and twist. </w:t>
      </w:r>
      <w:r>
        <w:rPr>
          <w:rFonts w:ascii="Times New Roman" w:hAnsi="Times New Roman"/>
          <w:b w:val="0"/>
          <w:i/>
          <w:sz w:val="19"/>
        </w:rPr>
        <w:t>move left</w:t>
      </w:r>
      <w:r>
        <w:rPr>
          <w:rFonts w:ascii="Times New Roman" w:hAnsi="Times New Roman"/>
          <w:b w:val="0"/>
          <w:i w:val="0"/>
          <w:sz w:val="19"/>
        </w:rPr>
        <w:t xml:space="preserve"> and </w:t>
      </w:r>
      <w:r>
        <w:rPr>
          <w:rFonts w:ascii="Times New Roman" w:hAnsi="Times New Roman"/>
          <w:b w:val="0"/>
          <w:i/>
          <w:sz w:val="19"/>
        </w:rPr>
        <w:t>move right</w:t>
      </w:r>
      <w:r>
        <w:rPr>
          <w:rFonts w:ascii="Times New Roman" w:hAnsi="Times New Roman"/>
          <w:b w:val="0"/>
          <w:i w:val="0"/>
          <w:sz w:val="19"/>
        </w:rPr>
        <w:t xml:space="preserve"> select the lateral axis and let the number scale it — </w:t>
      </w:r>
      <w:r>
        <w:rPr>
          <w:rFonts w:ascii="Times New Roman" w:hAnsi="Times New Roman"/>
          <w:b w:val="0"/>
          <w:i/>
          <w:sz w:val="19"/>
        </w:rPr>
        <w:t>v</w:t>
      </w:r>
      <w:r>
        <w:rPr>
          <w:rFonts w:ascii="Times New Roman" w:hAnsi="Times New Roman"/>
          <w:b w:val="0"/>
          <w:i w:val="0"/>
          <w:sz w:val="19"/>
          <w:vertAlign w:val="subscript"/>
        </w:rPr>
        <w:t>x</w:t>
      </w:r>
      <w:r>
        <w:rPr>
          <w:rFonts w:ascii="Times New Roman" w:hAnsi="Times New Roman"/>
          <w:b w:val="0"/>
          <w:i w:val="0"/>
          <w:sz w:val="19"/>
        </w:rPr>
        <w:t xml:space="preserve"> = −</w:t>
      </w:r>
      <w:r>
        <w:rPr>
          <w:rFonts w:ascii="Times New Roman" w:hAnsi="Times New Roman"/>
          <w:b w:val="0"/>
          <w:i/>
          <w:sz w:val="19"/>
        </w:rPr>
        <w:t>k ê</w:t>
      </w:r>
      <w:r>
        <w:rPr>
          <w:rFonts w:ascii="Times New Roman" w:hAnsi="Times New Roman"/>
          <w:b w:val="0"/>
          <w:i w:val="0"/>
          <w:sz w:val="19"/>
        </w:rPr>
        <w:t xml:space="preserve">, saturated, every other axis commanded to zero, so the realisation is proportional rather than bang-bang. </w:t>
      </w:r>
      <w:r>
        <w:rPr>
          <w:rFonts w:ascii="Times New Roman" w:hAnsi="Times New Roman"/>
          <w:b w:val="0"/>
          <w:i/>
          <w:sz w:val="19"/>
        </w:rPr>
        <w:t>hold</w:t>
      </w:r>
      <w:r>
        <w:rPr>
          <w:rFonts w:ascii="Times New Roman" w:hAnsi="Times New Roman"/>
          <w:b w:val="0"/>
          <w:i w:val="0"/>
          <w:sz w:val="19"/>
        </w:rPr>
        <w:t xml:space="preserve"> commands zero twist: the 1.64</w:t>
      </w:r>
      <w:r>
        <w:rPr>
          <w:rFonts w:ascii="Times New Roman" w:hAnsi="Times New Roman"/>
          <w:b w:val="0"/>
          <w:i/>
          <w:sz w:val="19"/>
        </w:rPr>
        <w:t>σ</w:t>
      </w:r>
      <w:r>
        <w:rPr>
          <w:rFonts w:ascii="Times New Roman" w:hAnsi="Times New Roman"/>
          <w:b w:val="0"/>
          <w:i w:val="0"/>
          <w:sz w:val="19"/>
        </w:rPr>
        <w:t xml:space="preserve"> boundary of Section 3.4 arrives as a ready-made deadband, and a controller that kept acting inside it would be servoing its own segmentation error. </w:t>
      </w:r>
      <w:r>
        <w:rPr>
          <w:rFonts w:ascii="Times New Roman" w:hAnsi="Times New Roman"/>
          <w:b w:val="0"/>
          <w:i/>
          <w:sz w:val="19"/>
        </w:rPr>
        <w:t>check bladder filling</w:t>
      </w:r>
      <w:r>
        <w:rPr>
          <w:rFonts w:ascii="Times New Roman" w:hAnsi="Times New Roman"/>
          <w:b w:val="0"/>
          <w:i w:val="0"/>
          <w:sz w:val="19"/>
        </w:rPr>
        <w:t xml:space="preserve"> gates image-based motion outright — no twist is preferable to a twist computed from a mask that physics rejects — and because tokens are issued per frame, one degraded frame gates one command, not the session.</w:t>
      </w:r>
    </w:p>
    <w:p>
      <w:pPr>
        <w:spacing w:before="0" w:after="64"/>
        <w:ind w:left="0"/>
        <w:jc w:val="both"/>
      </w:pPr>
      <w:r>
        <w:rPr>
          <w:rFonts w:ascii="Times New Roman" w:hAnsi="Times New Roman"/>
          <w:b w:val="0"/>
          <w:i w:val="0"/>
          <w:sz w:val="19"/>
        </w:rPr>
        <w:t xml:space="preserve">Beyond the words, </w:t>
      </w:r>
      <w:r>
        <w:rPr>
          <w:rFonts w:ascii="Times New Roman" w:hAnsi="Times New Roman"/>
          <w:b w:val="0"/>
          <w:i/>
          <w:sz w:val="19"/>
        </w:rPr>
        <w:t>Q</w:t>
      </w:r>
      <w:r>
        <w:rPr>
          <w:rFonts w:ascii="Times New Roman" w:hAnsi="Times New Roman"/>
          <w:b w:val="0"/>
          <w:i w:val="0"/>
          <w:sz w:val="19"/>
        </w:rPr>
        <w:t xml:space="preserve"> has room to scale the commanded speed down as quality falls: 47 distinguishable states give it the room to do that honestly. The token acts only on </w:t>
      </w:r>
      <w:r>
        <w:rPr>
          <w:rFonts w:ascii="Times New Roman" w:hAnsi="Times New Roman"/>
          <w:b w:val="0"/>
          <w:i/>
          <w:sz w:val="19"/>
        </w:rPr>
        <w:t>v</w:t>
      </w:r>
      <w:r>
        <w:rPr>
          <w:rFonts w:ascii="Times New Roman" w:hAnsi="Times New Roman"/>
          <w:b w:val="0"/>
          <w:i w:val="0"/>
          <w:sz w:val="19"/>
          <w:vertAlign w:val="subscript"/>
        </w:rPr>
        <w:t>x</w:t>
      </w:r>
      <w:r>
        <w:rPr>
          <w:rFonts w:ascii="Times New Roman" w:hAnsi="Times New Roman"/>
          <w:b w:val="0"/>
          <w:i w:val="0"/>
          <w:sz w:val="19"/>
        </w:rPr>
        <w:t xml:space="preserve">, the one axis that leaves the imaging plane invariant, so nothing the image loop commands can rotate the anatomy out of its own view. Closing and validating this loop — its latency, and </w:t>
      </w:r>
      <w:r>
        <w:rPr>
          <w:rFonts w:ascii="Times New Roman" w:hAnsi="Times New Roman"/>
          <w:b w:val="0"/>
          <w:i/>
          <w:sz w:val="19"/>
        </w:rPr>
        <w:t>Q</w:t>
      </w:r>
      <w:r>
        <w:rPr>
          <w:rFonts w:ascii="Times New Roman" w:hAnsi="Times New Roman"/>
          <w:b w:val="0"/>
          <w:i w:val="0"/>
          <w:sz w:val="19"/>
        </w:rPr>
        <w:t xml:space="preserve"> measured while the probe actually moves — is deliberately outside this paper's scope.</w:t>
      </w:r>
    </w:p>
    <w:p>
      <w:pPr>
        <w:keepNext/>
        <w:spacing w:before="90" w:after="40"/>
        <w:ind w:left="0"/>
        <w:jc w:val="left"/>
      </w:pPr>
      <w:r>
        <w:rPr>
          <w:rFonts w:ascii="Times New Roman" w:hAnsi="Times New Roman"/>
          <w:b/>
          <w:i w:val="0"/>
          <w:sz w:val="18"/>
        </w:rPr>
        <w:t>4.2 Limitations</w:t>
      </w:r>
    </w:p>
    <w:p>
      <w:pPr>
        <w:spacing w:before="0" w:after="36"/>
        <w:ind w:left="198"/>
        <w:jc w:val="both"/>
      </w:pPr>
      <w:r>
        <w:rPr>
          <w:rFonts w:ascii="Times New Roman" w:hAnsi="Times New Roman"/>
          <w:b w:val="0"/>
          <w:i w:val="0"/>
          <w:sz w:val="17"/>
        </w:rPr>
        <w:t xml:space="preserve">— PFUS1 is transperineal pelvic-floor imaging of women [6], not HoLEP imaging. No suprapubic acoustic window, male pelvic anatomy, morcellator, or irrigation inflow appears in any frame, so every constant reported here — </w:t>
      </w:r>
      <w:r>
        <w:rPr>
          <w:rFonts w:ascii="Times New Roman" w:hAnsi="Times New Roman"/>
          <w:b w:val="0"/>
          <w:i/>
          <w:sz w:val="17"/>
        </w:rPr>
        <w:t>σ</w:t>
      </w:r>
      <w:r>
        <w:rPr>
          <w:rFonts w:ascii="Times New Roman" w:hAnsi="Times New Roman"/>
          <w:b w:val="0"/>
          <w:i w:val="0"/>
          <w:sz w:val="17"/>
        </w:rPr>
        <w:t xml:space="preserve"> and the boundaries derived from it included — must be re-estimated on intraoperative suprapubic frames before the vocabulary is trusted in theatre.</w:t>
      </w:r>
    </w:p>
    <w:p>
      <w:pPr>
        <w:spacing w:before="0" w:after="36"/>
        <w:ind w:left="198"/>
        <w:jc w:val="both"/>
      </w:pPr>
      <w:r>
        <w:rPr>
          <w:rFonts w:ascii="Times New Roman" w:hAnsi="Times New Roman"/>
          <w:b w:val="0"/>
          <w:i w:val="0"/>
          <w:sz w:val="17"/>
        </w:rPr>
        <w:t>— No real probe motion is validated. The frames are static examinations whose lumen centroid moves 0.45 px between samples, below the segmentation's own centroid error, so lateral displacement is simulated and the instruction has not been closed into a loop with a person or a robot.</w:t>
      </w:r>
    </w:p>
    <w:p>
      <w:pPr>
        <w:spacing w:before="0" w:after="36"/>
        <w:ind w:left="198"/>
        <w:jc w:val="both"/>
      </w:pPr>
      <w:r>
        <w:rPr>
          <w:rFonts w:ascii="Times New Roman" w:hAnsi="Times New Roman"/>
          <w:b w:val="0"/>
          <w:i w:val="0"/>
          <w:sz w:val="17"/>
        </w:rPr>
        <w:t xml:space="preserve">— Two of the image policy's three axes are untouched: </w:t>
      </w:r>
      <w:r>
        <w:rPr>
          <w:rFonts w:ascii="Times New Roman" w:hAnsi="Times New Roman"/>
          <w:b w:val="0"/>
          <w:i/>
          <w:sz w:val="17"/>
        </w:rPr>
        <w:t>v</w:t>
      </w:r>
      <w:r>
        <w:rPr>
          <w:rFonts w:ascii="Times New Roman" w:hAnsi="Times New Roman"/>
          <w:b w:val="0"/>
          <w:i w:val="0"/>
          <w:sz w:val="17"/>
          <w:vertAlign w:val="subscript"/>
        </w:rPr>
        <w:t>y</w:t>
      </w:r>
      <w:r>
        <w:rPr>
          <w:rFonts w:ascii="Times New Roman" w:hAnsi="Times New Roman"/>
          <w:b w:val="0"/>
          <w:i w:val="0"/>
          <w:sz w:val="17"/>
        </w:rPr>
        <w:t xml:space="preserve"> and </w:t>
      </w:r>
      <w:r>
        <w:rPr>
          <w:rFonts w:ascii="Times New Roman" w:hAnsi="Times New Roman"/>
          <w:b w:val="0"/>
          <w:i/>
          <w:sz w:val="17"/>
        </w:rPr>
        <w:t>ω</w:t>
      </w:r>
      <w:r>
        <w:rPr>
          <w:rFonts w:ascii="Times New Roman" w:hAnsi="Times New Roman"/>
          <w:b w:val="0"/>
          <w:i w:val="0"/>
          <w:sz w:val="17"/>
          <w:vertAlign w:val="subscript"/>
        </w:rPr>
        <w:t>z</w:t>
      </w:r>
      <w:r>
        <w:rPr>
          <w:rFonts w:ascii="Times New Roman" w:hAnsi="Times New Roman"/>
          <w:b w:val="0"/>
          <w:i w:val="0"/>
          <w:sz w:val="17"/>
        </w:rPr>
        <w:t xml:space="preserve"> leave the imaging plane, present only a scalar quality, and cannot be simulated from single-plane frames.</w:t>
      </w:r>
    </w:p>
    <w:p>
      <w:pPr>
        <w:spacing w:before="0" w:after="36"/>
        <w:ind w:left="198"/>
        <w:jc w:val="both"/>
      </w:pPr>
      <w:r>
        <w:rPr>
          <w:rFonts w:ascii="Times New Roman" w:hAnsi="Times New Roman"/>
          <w:b w:val="0"/>
          <w:i w:val="0"/>
          <w:sz w:val="17"/>
        </w:rPr>
        <w:t>— The target pose — lumen on the beam axis — is a design choice for the robotic setting. The archived frames were not acquired toward it, so the proportion of frames falling in each instruction band describes the frames, not the loop's steady state.</w:t>
      </w:r>
    </w:p>
    <w:p>
      <w:pPr>
        <w:spacing w:before="0" w:after="36"/>
        <w:ind w:left="198"/>
        <w:jc w:val="both"/>
      </w:pPr>
      <w:r>
        <w:rPr>
          <w:rFonts w:ascii="Times New Roman" w:hAnsi="Times New Roman"/>
          <w:b w:val="0"/>
          <w:i w:val="0"/>
          <w:sz w:val="17"/>
        </w:rPr>
        <w:t>— No pixel spacing accompanies the frames, so σ and every derived boundary are stated at 256 × 256 and must be rescaled before they mean millimetres.</w:t>
      </w:r>
    </w:p>
    <w:p>
      <w:pPr>
        <w:spacing w:before="0" w:after="36"/>
        <w:ind w:left="198"/>
        <w:jc w:val="both"/>
      </w:pPr>
      <w:r>
        <w:rPr>
          <w:rFonts w:ascii="Times New Roman" w:hAnsi="Times New Roman"/>
          <w:b w:val="0"/>
          <w:i w:val="0"/>
          <w:sz w:val="17"/>
        </w:rPr>
        <w:t>— σ is treated as one constant. Per-frame estimation would tighten the stopping boundary where the segmentation is confident and loosen it where it is not.</w:t>
      </w:r>
    </w:p>
    <w:p>
      <w:pPr>
        <w:spacing w:before="0" w:after="36"/>
        <w:ind w:left="198"/>
        <w:jc w:val="both"/>
      </w:pPr>
      <w:r>
        <w:rPr>
          <w:rFonts w:ascii="Times New Roman" w:hAnsi="Times New Roman"/>
          <w:b w:val="0"/>
          <w:i w:val="0"/>
          <w:sz w:val="17"/>
        </w:rPr>
        <w:t xml:space="preserve">— The </w:t>
      </w:r>
      <w:r>
        <w:rPr>
          <w:rFonts w:ascii="Times New Roman" w:hAnsi="Times New Roman"/>
          <w:b w:val="0"/>
          <w:i/>
          <w:sz w:val="17"/>
        </w:rPr>
        <w:t>check bladder filling</w:t>
      </w:r>
      <w:r>
        <w:rPr>
          <w:rFonts w:ascii="Times New Roman" w:hAnsi="Times New Roman"/>
          <w:b w:val="0"/>
          <w:i w:val="0"/>
          <w:sz w:val="17"/>
        </w:rPr>
        <w:t xml:space="preserve"> branch is supported by 13.1% of frames from four patients; whether the cause is under-distension or annotation is not separable here [TO BE CONFIRMED: IRB approval number, scanner model, annotation protocol].</w:t>
      </w:r>
    </w:p>
    <w:p>
      <w:pPr>
        <w:keepNext/>
        <w:spacing w:before="130" w:after="40"/>
        <w:ind w:left="0"/>
        <w:jc w:val="left"/>
      </w:pPr>
      <w:r>
        <w:rPr>
          <w:rFonts w:ascii="Times New Roman" w:hAnsi="Times New Roman"/>
          <w:b/>
          <w:i w:val="0"/>
          <w:sz w:val="20"/>
        </w:rPr>
        <w:t>References</w:t>
      </w:r>
    </w:p>
    <w:p>
      <w:pPr>
        <w:spacing w:before="0" w:after="40"/>
        <w:ind w:left="0"/>
        <w:jc w:val="both"/>
      </w:pPr>
      <w:r>
        <w:rPr>
          <w:rFonts w:ascii="Times New Roman" w:hAnsi="Times New Roman"/>
          <w:b w:val="0"/>
          <w:i w:val="0"/>
          <w:sz w:val="17"/>
        </w:rPr>
        <w:t>[1] T. Jang, H.-J. Kong, C. Baek, J. Kim, M. S. Choo, S.-J. Oh. Effect of Self-Training Using Virtual Reality Head-Mounted Display Simulator on the Acquisition of Holmium Laser Enucleation of the Prostate Surgical Skills. International Neurourology Journal 2024;28(2):138–146.</w:t>
      </w:r>
    </w:p>
    <w:p>
      <w:pPr>
        <w:spacing w:before="0" w:after="40"/>
        <w:ind w:left="0"/>
        <w:jc w:val="both"/>
      </w:pPr>
      <w:r>
        <w:rPr>
          <w:rFonts w:ascii="Times New Roman" w:hAnsi="Times New Roman"/>
          <w:b w:val="0"/>
          <w:i w:val="0"/>
          <w:sz w:val="17"/>
        </w:rPr>
        <w:t>[2] O. Ronneberger, P. Fischer, T. Brox. U-Net: Convolutional Networks for Biomedical Image Segmentation. In: Medical Image Computing and Computer-Assisted Intervention (MICCAI 2015), LNCS 9351, Springer, 2015, pp. 234–241.</w:t>
      </w:r>
    </w:p>
    <w:p>
      <w:pPr>
        <w:spacing w:before="0" w:after="40"/>
        <w:ind w:left="0"/>
        <w:jc w:val="both"/>
      </w:pPr>
      <w:r>
        <w:rPr>
          <w:rFonts w:ascii="Times New Roman" w:hAnsi="Times New Roman"/>
          <w:b w:val="0"/>
          <w:i w:val="0"/>
          <w:sz w:val="17"/>
        </w:rPr>
        <w:t>[3] M. Saini, Y. Jiang, T. Gangopadhyay, D. P. Rosen, A. Alizad, M. Fatemi. BWS-Net: An Optimal Deep Learning Architecture for the Anterior Bladder Wall Segmentation using Ultrasound Imaging. IEEE Journal of Biomedical and Health Informatics 2026. doi:10.1109/JBHI.2026.3675965.</w:t>
      </w:r>
    </w:p>
    <w:p>
      <w:pPr>
        <w:spacing w:before="0" w:after="40"/>
        <w:ind w:left="0"/>
        <w:jc w:val="both"/>
      </w:pPr>
      <w:r>
        <w:rPr>
          <w:rFonts w:ascii="Times New Roman" w:hAnsi="Times New Roman"/>
          <w:b w:val="0"/>
          <w:i w:val="0"/>
          <w:sz w:val="17"/>
        </w:rPr>
        <w:t>[4] Z. Song, M. Asiedu, S. Wang, Q. Li, A. Ozturk, V. Mittal, S. Schoen Jr., S. Ramaswamy, T. T. Pierce, A. E. Samir, Y. C. Eldar, A. Chandrakasan, V. Kumar. Memory-efficient low-compute segmentation algorithms for bladder-monitoring smart ultrasound devices. Scientific Reports 2023;13:16450.</w:t>
      </w:r>
    </w:p>
    <w:p>
      <w:pPr>
        <w:spacing w:before="0" w:after="40"/>
        <w:ind w:left="0"/>
        <w:jc w:val="both"/>
      </w:pPr>
      <w:r>
        <w:rPr>
          <w:rFonts w:ascii="Times New Roman" w:hAnsi="Times New Roman"/>
          <w:b w:val="0"/>
          <w:i w:val="0"/>
          <w:sz w:val="17"/>
        </w:rPr>
        <w:t>[5] H.-L. Hsu, M. Zahiri, G. Y. Li, R. Al Mukaddim, H. Lee, M. G. Wilson, J. Grube, S. Schmidt, G. Ghoshal, B. Raju. Active guidance in ultrasound bladder scanning using reinforcement learning. Scientific Reports 2026;16:5273.</w:t>
      </w:r>
    </w:p>
    <w:p>
      <w:pPr>
        <w:spacing w:before="0" w:after="40"/>
        <w:ind w:left="0"/>
        <w:jc w:val="both"/>
      </w:pPr>
      <w:r>
        <w:rPr>
          <w:rFonts w:ascii="Times New Roman" w:hAnsi="Times New Roman"/>
          <w:b w:val="0"/>
          <w:i w:val="0"/>
          <w:sz w:val="17"/>
        </w:rPr>
        <w:t>[6] D. Solís-Martín, J. A. Sainz, J. Galán-Páez, J. Borrego-Díaz, J. A. García-Mejido. PFUS1: Premier pelvic floor ultrasound segmentation dataset. A resource for advancing research. Data in Brief 2026;64:112346.</w:t>
      </w:r>
    </w:p>
    <w:p>
      <w:pPr>
        <w:spacing w:before="0" w:after="40"/>
        <w:ind w:left="0"/>
        <w:jc w:val="both"/>
      </w:pPr>
      <w:r>
        <w:rPr>
          <w:rFonts w:ascii="Times New Roman" w:hAnsi="Times New Roman"/>
          <w:b w:val="0"/>
          <w:i w:val="0"/>
          <w:sz w:val="17"/>
        </w:rPr>
        <w:t>[7] J. A. García-Mejido, D. Solís-Martín, M. Martín-Morán, C. Fernández-Conde, F. Fernández-Palacín, J. A. Sainz-Bueno. Applicability of deep learning to dynamically identify the different organs of the pelvic floor in the midsagittal plane. International Urogynecology Journal 2024;35(12):2285–2293.</w:t>
      </w:r>
    </w:p>
    <w:p>
      <w:pPr>
        <w:spacing w:before="0" w:after="40"/>
        <w:ind w:left="0"/>
        <w:jc w:val="both"/>
      </w:pPr>
      <w:r>
        <w:rPr>
          <w:rFonts w:ascii="Times New Roman" w:hAnsi="Times New Roman"/>
          <w:b w:val="0"/>
          <w:i w:val="0"/>
          <w:sz w:val="17"/>
        </w:rPr>
        <w:t>[8] Trinkler, Dietrich. Ultrasound of the Urinary Bladder. In: EFSUMB Course Book, European Federation of Societies for Ultrasound in Medicine and Biology, 2019.</w:t>
      </w:r>
    </w:p>
    <w:p>
      <w:pPr>
        <w:spacing w:before="0" w:after="64"/>
        <w:ind w:left="0"/>
        <w:jc w:val="both"/>
      </w:pPr>
      <w:r>
        <w:rPr>
          <w:rFonts w:ascii="Times New Roman" w:hAnsi="Times New Roman"/>
          <w:b w:val="0"/>
          <w:i/>
          <w:sz w:val="17"/>
        </w:rPr>
        <w:t>[TO BE COMPLETED] Citations for HoLEP morcellation, ultrasound visual servoing and image-quality assessment are to be added before submission.</w:t>
      </w:r>
    </w:p>
    <w:sectPr w:rsidR="00FC693F" w:rsidRPr="0006063C" w:rsidSect="00034616">
      <w:type w:val="continuous"/>
      <w:pgSz w:w="11906" w:h="16838"/>
      <w:pgMar w:top="1077" w:right="1020" w:bottom="1077" w:left="1020" w:header="567" w:footer="567" w:gutter="0"/>
      <w:cols w:space="396"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54"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