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val="0"/>
          <w:i w:val="0"/>
          <w:sz w:val="30"/>
        </w:rPr>
        <w:t>Keeping the Bladder in View: A Force Regulated Ultrasound Robot for HoLEP Morcellation Trained on Probe Mounted Demonstrations Without Robot Data</w:t>
      </w:r>
    </w:p>
    <w:p>
      <w:pPr>
        <w:spacing w:after="240"/>
        <w:jc w:val="center"/>
      </w:pPr>
      <w:r>
        <w:rPr>
          <w:rFonts w:ascii="Times New Roman" w:hAnsi="Times New Roman"/>
          <w:b w:val="0"/>
          <w:i w:val="0"/>
          <w:sz w:val="22"/>
        </w:rPr>
        <w:t>Anonymous Authors</w:t>
      </w:r>
    </w:p>
    <w:p>
      <w:pPr>
        <w:spacing w:after="60"/>
      </w:pPr>
      <w:r>
        <w:rPr>
          <w:rFonts w:ascii="Times New Roman" w:hAnsi="Times New Roman"/>
          <w:b/>
          <w:i w:val="0"/>
          <w:sz w:val="22"/>
        </w:rPr>
        <w:t>Abstract</w:t>
      </w:r>
    </w:p>
    <w:p>
      <w:pPr>
        <w:spacing w:after="160"/>
      </w:pPr>
      <w:r>
        <w:rPr>
          <w:rFonts w:ascii="Times New Roman" w:hAnsi="Times New Roman"/>
          <w:b w:val="0"/>
          <w:i w:val="0"/>
          <w:sz w:val="18"/>
        </w:rPr>
        <w:t xml:space="preserve">During the morcellation phase of holmium laser enucleation of the prostate (HoLEP), an assistant holds a suprapubic ultrasound probe for the length of the phase so that the surgeon can watch bladder filling and volume. The task is monotonous but not trivial: the probe must stay coupled at a safe force while the bladder changes shape and volume underneath it. We present an ultrasound robot that takes over this monitoring task, and a demonstration pipeline that trains it without ever moving the robot to collect data. Contact force is measured by a Hall effect force/torque sensor between the flange and the probe. Against a laboratory scale over 0.92–9.85 N the compensated reading is linear with slope 1.019 (95% CI 0.975–1.064, R²=0.993), and an admittance loop holds a commanded contact force to 0.028 N standard deviation across eight set points from 0.5–4.0 N on a torso mannequin holding an air tube that a syringe inflates and deflates. Demonstrations are recorded by instrumenting the clinical probe itself with a six axis inertial sensor: the sonographer scans by hand, and probe rotation is recovered at 2.50 ° geodesic RMS against robot forward kinematics, five times better than the on chip nine axis fusion near the robot (11.23 ° axial RMS). The two streams are joined on one host clock after removing a measured 200 ms effective image latency. A U-Net segments the bladder lumen (Dice 0.874 on bladder present held out frames) and feeds two separate quality functions: Q_seg, the learning objective, which scores whether the bladder is seen, large and laterally centred, and Q_raw, a segmentation independent image score that drives an extremum seeking search over the contact force set point. On 4389 demonstration chunks we train an ACT style conditional VAE that predicts 1.6 s action chunks and ranks candidate chunks by a predicted future quality head. </w:t>
      </w:r>
      <w:r>
        <w:rPr>
          <w:rFonts w:ascii="Times New Roman" w:hAnsi="Times New Roman"/>
          <w:b/>
          <w:i w:val="0"/>
          <w:color w:val="C00000"/>
          <w:sz w:val="18"/>
        </w:rPr>
        <w:t>[TODO: closed loop policy result on the dynamic bladder phantom]</w:t>
      </w:r>
      <w:r>
        <w:rPr>
          <w:rFonts w:ascii="Times New Roman" w:hAnsi="Times New Roman"/>
          <w:b w:val="0"/>
          <w:i w:val="0"/>
          <w:sz w:val="18"/>
        </w:rPr>
        <w:t>. We also report a negative result that constrains this class of method: on freehand demonstrations the quality head learns motion magnitude but not motion direction (mirror test 52.4 %, chance 50 %), so candidate ranking collapses onto a single elevational direction in 84 % of held out observations.</w:t>
      </w:r>
    </w:p>
    <w:p>
      <w:pPr>
        <w:sectPr>
          <w:pgSz w:w="12240" w:h="15840"/>
          <w:pgMar w:top="864" w:right="864" w:bottom="864" w:left="864" w:header="720" w:footer="720" w:gutter="0"/>
          <w:cols w:space="360" w:num="1" w:equalWidth="1"/>
          <w:docGrid w:linePitch="360"/>
        </w:sectPr>
      </w:pPr>
    </w:p>
    <w:p>
      <w:pPr>
        <w:spacing w:after="60"/>
      </w:pPr>
      <w:r>
        <w:rPr>
          <w:rFonts w:ascii="Times New Roman" w:hAnsi="Times New Roman"/>
          <w:b/>
          <w:i w:val="0"/>
          <w:sz w:val="22"/>
        </w:rPr>
        <w:t>Introduction</w:t>
      </w:r>
    </w:p>
    <w:p>
      <w:pPr>
        <w:spacing w:after="60"/>
      </w:pPr>
      <w:r>
        <w:rPr>
          <w:rFonts w:ascii="Times New Roman" w:hAnsi="Times New Roman"/>
          <w:b w:val="0"/>
          <w:i w:val="0"/>
          <w:sz w:val="18"/>
        </w:rPr>
        <w:t>Holmium laser enucleation of the prostate is performed under continuous irrigation, and during morcellation the bladder must stay adequately filled but never over distended. Standard practice is for an assistant to hold a suprapubic ultrasound probe over the bladder for the duration of the phase so that the operating surgeon can judge filling and volume [1, 2]. The work is static, long, and delegated to a person whose clinical judgement is spent on holding a probe still; and because the assistant tires, the view drifts at the moment the surgeon needs it.</w:t>
      </w:r>
    </w:p>
    <w:p>
      <w:pPr>
        <w:spacing w:after="60"/>
      </w:pPr>
      <w:r>
        <w:rPr>
          <w:rFonts w:ascii="Times New Roman" w:hAnsi="Times New Roman"/>
          <w:b w:val="0"/>
          <w:i w:val="0"/>
          <w:sz w:val="18"/>
        </w:rPr>
        <w:t>This paper asks whether that monitoring task can be handed to a robot without also handing over the clinical judgement. Our answer is a system built around two loops that are physically separable: a contact loop that keeps the probe pressed within a verified force envelope, and an image loop that keeps the bladder in the picture. Everything above those two loops stays with the clinician.</w:t>
      </w:r>
    </w:p>
    <w:p>
      <w:pPr>
        <w:spacing w:after="60"/>
      </w:pPr>
      <w:r>
        <w:rPr>
          <w:rFonts w:ascii="Times New Roman" w:hAnsi="Times New Roman"/>
          <w:b w:val="0"/>
          <w:i w:val="0"/>
          <w:sz w:val="18"/>
        </w:rPr>
        <w:t>The obstacle is not control but data. Learning a probe motion policy from demonstrations normally requires the demonstrations to be collected on the robot, and in an operating room that is precisely what cannot be done. Our second contribution is therefore a demonstration route that never involves the robot: the sonographer's own probe carries an inertial sensor, the ultrasound stream is captured in parallel, and the pair is turned into observation and action chunks after the fact. The robot appears only as the ground truth used to validate the sensor, and later as the executor.</w:t>
      </w:r>
    </w:p>
    <w:p>
      <w:pPr>
        <w:spacing w:after="60"/>
      </w:pPr>
      <w:r>
        <w:rPr>
          <w:rFonts w:ascii="Times New Roman" w:hAnsi="Times New Roman"/>
          <w:b w:val="0"/>
          <w:i w:val="0"/>
          <w:sz w:val="18"/>
        </w:rPr>
        <w:t>Our contributions are:</w:t>
      </w:r>
    </w:p>
    <w:p>
      <w:pPr>
        <w:pStyle w:val="ListNumber"/>
        <w:spacing w:after="60"/>
      </w:pPr>
      <w:r>
        <w:rPr>
          <w:rFonts w:ascii="Times New Roman" w:hAnsi="Times New Roman"/>
          <w:b/>
          <w:i w:val="0"/>
          <w:sz w:val="20"/>
        </w:rPr>
        <w:t>A force regulated ultrasound probing stack</w:t>
      </w:r>
      <w:r>
        <w:rPr>
          <w:rFonts w:ascii="Times New Roman" w:hAnsi="Times New Roman"/>
          <w:b w:val="0"/>
          <w:i w:val="0"/>
          <w:sz w:val="20"/>
        </w:rPr>
        <w:t xml:space="preserve"> (Sec. III): a Hall effect force/torque sensor between the FR5 flange and a wireless convex probe, attitude dependent gravity compensation validated against a laboratory scale, an admittance loop that owns the beam axis, and a safety envelope of 3 N target, 4.5 N warning and 5 N forced retreat, verified under repeated volume disturbances.</w:t>
      </w:r>
    </w:p>
    <w:p>
      <w:pPr>
        <w:pStyle w:val="ListNumber"/>
        <w:spacing w:after="60"/>
      </w:pPr>
      <w:r>
        <w:rPr>
          <w:rFonts w:ascii="Times New Roman" w:hAnsi="Times New Roman"/>
          <w:b/>
          <w:i w:val="0"/>
          <w:sz w:val="20"/>
        </w:rPr>
        <w:t>Robot free demonstration capture</w:t>
      </w:r>
      <w:r>
        <w:rPr>
          <w:rFonts w:ascii="Times New Roman" w:hAnsi="Times New Roman"/>
          <w:b w:val="0"/>
          <w:i w:val="0"/>
          <w:sz w:val="20"/>
        </w:rPr>
        <w:t xml:space="preserve"> (Sec. IV): probe mounted six axis inertial sensing with a measured image to inertial latency, stillness bracketed action chunks, and a characterisation of what such labels can and cannot support, namely rotation yes and translation no.</w:t>
      </w:r>
    </w:p>
    <w:p>
      <w:pPr>
        <w:pStyle w:val="ListNumber"/>
        <w:spacing w:after="60"/>
      </w:pPr>
      <w:r>
        <w:rPr>
          <w:rFonts w:ascii="Times New Roman" w:hAnsi="Times New Roman"/>
          <w:b/>
          <w:i w:val="0"/>
          <w:sz w:val="20"/>
        </w:rPr>
        <w:t>Two quality functions with different jobs</w:t>
      </w:r>
      <w:r>
        <w:rPr>
          <w:rFonts w:ascii="Times New Roman" w:hAnsi="Times New Roman"/>
          <w:b w:val="0"/>
          <w:i w:val="0"/>
          <w:sz w:val="20"/>
        </w:rPr>
        <w:t xml:space="preserve"> (Sec. V): a segmentation based score that defines the learning objective, and a segmentation independent score that defines the contact force set point, so that “press harder” and “look elsewhere” never compete for the same signal. Because the freehand demonstrations carry no force channel, the force axis cannot be imitated and is instead searched online.</w:t>
      </w:r>
    </w:p>
    <w:p>
      <w:pPr>
        <w:pStyle w:val="ListNumber"/>
        <w:spacing w:after="60"/>
      </w:pPr>
      <w:r>
        <w:rPr>
          <w:rFonts w:ascii="Times New Roman" w:hAnsi="Times New Roman"/>
          <w:b/>
          <w:i w:val="0"/>
          <w:sz w:val="20"/>
        </w:rPr>
        <w:t>An image conditioned action chunk policy</w:t>
      </w:r>
      <w:r>
        <w:rPr>
          <w:rFonts w:ascii="Times New Roman" w:hAnsi="Times New Roman"/>
          <w:b w:val="0"/>
          <w:i w:val="0"/>
          <w:sz w:val="20"/>
        </w:rPr>
        <w:t xml:space="preserve"> (Sec. VI) with a predicted quality head for candidate selection, evaluated against pre-registered hold and placebo controls on a dynamic bladder phantom (Sec. VII), together with an analysis of why the learned quality head cannot yet supply direction (Sec. VIII).</w:t>
      </w:r>
    </w:p>
    <w:p>
      <w:pPr>
        <w:spacing w:after="60"/>
      </w:pPr>
      <w:r>
        <w:rPr>
          <w:rFonts w:ascii="Times New Roman" w:hAnsi="Times New Roman"/>
          <w:b w:val="0"/>
          <w:i w:val="0"/>
          <w:sz w:val="18"/>
        </w:rPr>
        <w:t>We do not claim autonomy of the clinical task. The robot is a probe holder that keeps a view; the decisions that follow from the view remain the surgeon's.</w:t>
      </w:r>
    </w:p>
    <w:p>
      <w:pPr>
        <w:spacing w:after="40"/>
        <w:jc w:val="center"/>
      </w:pPr>
      <w:r>
        <w:rPr>
          <w:rFonts w:ascii="Times New Roman" w:hAnsi="Times New Roman"/>
          <w:b/>
          <w:sz w:val="16"/>
        </w:rPr>
        <w:t>[FIGURE TO BE DRAWN]</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160"/>
        <w:jc w:val="left"/>
      </w:pPr>
      <w:r>
        <w:rPr>
          <w:rFonts w:ascii="Times New Roman" w:hAnsi="Times New Roman"/>
          <w:b/>
          <w:i w:val="0"/>
          <w:sz w:val="16"/>
        </w:rPr>
        <w:t>From the sonographer's hand to the robot's.</w:t>
      </w:r>
      <w:r>
        <w:rPr>
          <w:rFonts w:ascii="Times New Roman" w:hAnsi="Times New Roman"/>
          <w:b w:val="0"/>
          <w:i w:val="0"/>
          <w:sz w:val="16"/>
        </w:rPr>
        <w:t xml:space="preserve"> (a) Demonstration capture: the clinical probe carries a six axis inertial sensor, and ultrasound and inertial data are joined on one host clock. (b) The robot: FR5 arm, Hall effect force/torque sensor, wireless convex probe. (c) Closed loop operation on the dynamic bladder phantom, with the force loop on the beam axis and the policy on the rotational axes.</w:t>
      </w:r>
    </w:p>
    <w:p>
      <w:pPr>
        <w:spacing w:after="60"/>
      </w:pPr>
      <w:r>
        <w:rPr>
          <w:rFonts w:ascii="Times New Roman" w:hAnsi="Times New Roman"/>
          <w:b/>
          <w:i w:val="0"/>
          <w:sz w:val="22"/>
        </w:rPr>
        <w:t>Related Work</w:t>
      </w:r>
    </w:p>
    <w:p>
      <w:pPr>
        <w:spacing w:after="60"/>
      </w:pPr>
      <w:r>
        <w:rPr>
          <w:rFonts w:ascii="Times New Roman" w:hAnsi="Times New Roman"/>
          <w:b/>
          <w:i w:val="0"/>
          <w:sz w:val="18"/>
        </w:rPr>
        <w:t>Robotic ultrasound.</w:t>
      </w:r>
      <w:r>
        <w:rPr>
          <w:rFonts w:ascii="Times New Roman" w:hAnsi="Times New Roman"/>
          <w:b w:val="0"/>
          <w:i w:val="0"/>
          <w:sz w:val="18"/>
        </w:rPr>
        <w:t xml:space="preserve"> Robotic ultrasound systems and their control strategies are surveyed in [3, 4, 5, 6]. Force is usually handled either by a hybrid force and position controller for freehand assisted scanning [7] or by pressing along a planned trajectory registered to a preoperative volume [8], and the closest analogue to an image driven objective is confidence driven servoing, which steers the probe by an ultrasound confidence map [9]. Existing systems therefore either servo towards a target view learned from robot collected sweeps, or press with a fixed force profile. Our setting differs in both respects: the demonstrations come from a hand held clinical probe, and the force set point is not fixed but searched online against image quality.</w:t>
      </w:r>
    </w:p>
    <w:p>
      <w:pPr>
        <w:spacing w:after="60"/>
      </w:pPr>
      <w:r>
        <w:rPr>
          <w:rFonts w:ascii="Times New Roman" w:hAnsi="Times New Roman"/>
          <w:b/>
          <w:i w:val="0"/>
          <w:sz w:val="18"/>
        </w:rPr>
        <w:t>Demonstration collection without a robot.</w:t>
      </w:r>
      <w:r>
        <w:rPr>
          <w:rFonts w:ascii="Times New Roman" w:hAnsi="Times New Roman"/>
          <w:b w:val="0"/>
          <w:i w:val="0"/>
          <w:sz w:val="18"/>
        </w:rPr>
        <w:t xml:space="preserve"> Learning from demonstration normally assumes the demonstration is recorded on the learner [10, 11]; hand held capture devices break that assumption by instrumenting the tool instead [12]. Recovering probe motion from a hand held ultrasound probe is an old problem in freehand 3D reconstruction, solved with external trackers, with speckle decorrelation [13, 14] or, more recently, learned from the images themselves [15]. The medical variant of the problem is that the instrument belongs to the clinician, not the robot. In our case the instrument is the ultrasound probe itself, and the signal that must survive the transfer is probe orientation rather than gripper pose.</w:t>
      </w:r>
    </w:p>
    <w:p>
      <w:pPr>
        <w:spacing w:after="60"/>
      </w:pPr>
      <w:r>
        <w:rPr>
          <w:rFonts w:ascii="Times New Roman" w:hAnsi="Times New Roman"/>
          <w:b/>
          <w:i w:val="0"/>
          <w:sz w:val="18"/>
        </w:rPr>
        <w:t>Action chunking and imitation.</w:t>
      </w:r>
      <w:r>
        <w:rPr>
          <w:rFonts w:ascii="Times New Roman" w:hAnsi="Times New Roman"/>
          <w:b w:val="0"/>
          <w:i w:val="0"/>
          <w:sz w:val="18"/>
        </w:rPr>
        <w:t xml:space="preserve"> We build on ACT style action chunking with a conditional VAE [16], and add a quality head that scores the future image consequence of a candidate chunk. That head is what is meant to turn replay into selection, and Sec. VIII reports how far it actually gets on freehand data.</w:t>
      </w:r>
    </w:p>
    <w:p>
      <w:pPr>
        <w:spacing w:after="60"/>
      </w:pPr>
      <w:r>
        <w:rPr>
          <w:rFonts w:ascii="Times New Roman" w:hAnsi="Times New Roman"/>
          <w:b/>
          <w:i w:val="0"/>
          <w:sz w:val="18"/>
        </w:rPr>
        <w:t>Bladder segmentation and ultrasound image quality.</w:t>
      </w:r>
      <w:r>
        <w:rPr>
          <w:rFonts w:ascii="Times New Roman" w:hAnsi="Times New Roman"/>
          <w:b w:val="0"/>
          <w:i w:val="0"/>
          <w:sz w:val="18"/>
        </w:rPr>
        <w:t xml:space="preserve"> Bladder segmentation from ultrasound is well covered, from wall segmentation networks [17] to compute constrained models for handheld bladder monitors [18], and reinforcement learning has been used to guide a bladder scan towards a better view [19]. Our perception stage follows the standard U-Net recipe [20], pretrained on a public pelvic floor corpus [21, 22]. The contribution here is not the network but the physical gating that deletes predictions where no measurement exists, and the separation of the two quality functions.</w:t>
      </w:r>
    </w:p>
    <w:p>
      <w:pPr>
        <w:spacing w:after="60"/>
      </w:pPr>
      <w:r>
        <w:rPr>
          <w:rFonts w:ascii="Times New Roman" w:hAnsi="Times New Roman"/>
          <w:b/>
          <w:i w:val="0"/>
          <w:sz w:val="22"/>
        </w:rPr>
        <w:t>System</w:t>
      </w:r>
    </w:p>
    <w:p>
      <w:pPr>
        <w:spacing w:after="40"/>
      </w:pPr>
      <w:r>
        <w:rPr>
          <w:rFonts w:ascii="Times New Roman" w:hAnsi="Times New Roman"/>
          <w:b w:val="0"/>
          <w:i/>
          <w:sz w:val="20"/>
        </w:rPr>
        <w:t>Hardware</w:t>
      </w:r>
    </w:p>
    <w:p>
      <w:pPr>
        <w:spacing w:after="60"/>
      </w:pPr>
      <w:r>
        <w:rPr>
          <w:rFonts w:ascii="Times New Roman" w:hAnsi="Times New Roman"/>
          <w:b w:val="0"/>
          <w:i w:val="0"/>
          <w:sz w:val="18"/>
        </w:rPr>
        <w:t>A Fairino FR5 six axis arm carries, in series from the flange, a PX6D Hall effect six axis force/torque sensor, a printed mount, and a Konted C10UR wireless convex ultrasound probe. The mount places the probe axis at 43 ° to the flange plane with a 199 mm lever arm, and the probe assembly mass is 231 g. The probe streams 160 A-lines by 512 depth samples as uint8, before scan conversion, at 9.98–10.4 Hz over its own Wi-Fi access point. Differential inverse kinematics runs at 100 Hz, the joint servo at 125 Hz, and the force/torque sensor streams at 1 kHz.</w:t>
      </w:r>
    </w:p>
    <w:p>
      <w:pPr>
        <w:spacing w:after="40"/>
      </w:pPr>
      <w:r>
        <w:rPr>
          <w:rFonts w:ascii="Times New Roman" w:hAnsi="Times New Roman"/>
          <w:b w:val="0"/>
          <w:i/>
          <w:sz w:val="20"/>
        </w:rPr>
        <w:t>Force measurement and gravity compensation</w:t>
      </w:r>
    </w:p>
    <w:p>
      <w:pPr>
        <w:spacing w:after="60"/>
      </w:pPr>
      <w:r>
        <w:rPr>
          <w:rFonts w:ascii="Times New Roman" w:hAnsi="Times New Roman"/>
          <w:b w:val="0"/>
          <w:i w:val="0"/>
          <w:sz w:val="18"/>
        </w:rPr>
        <w:t>The sensor sits proximal to a heavy, off axis tool, so the raw wrench is dominated by the tool's own weight, which rotates with the arm; before compensation the beam axis component moves by about ± 8 N with attitude. Mass, centre of mass and mounting angle are identified from a 19 pose sweep (identified mass 200 g, fit residual 0.152 N), and constraining the fit to the single physical stack axis reduces the residual from 0.183 N to 0.047 N on the same data. Only the compensated wrench is published to the control stack.</w:t>
      </w:r>
    </w:p>
    <w:p>
      <w:pPr>
        <w:spacing w:after="60"/>
      </w:pPr>
      <w:r>
        <w:rPr>
          <w:rFonts w:ascii="Times New Roman" w:hAnsi="Times New Roman"/>
          <w:b w:val="0"/>
          <w:i w:val="0"/>
          <w:sz w:val="18"/>
        </w:rPr>
        <w:t>Over 19 unloaded poses the compensation residual is 0.000±0.182 N (mean ± SD, RMSE 0.177 N, maximum 0.376 N). The residual is not white: its rank correlation with pose index is ρ = +0.896 (p &lt; 1e-4), that is, a systematic attitude dependent term rather than noise. We therefore do not subtract it. In deployment the constant part is removed by a working pose tare taken immediately before each run, and what remains bounds the accuracy of the force loop. Sensor noise is ± 0.05 N per axis at the configured dead band, and 0.015 N standard deviation at 1 kHz.</w:t>
      </w:r>
    </w:p>
    <w:p>
      <w:pPr>
        <w:spacing w:after="40"/>
      </w:pPr>
      <w:r>
        <w:rPr>
          <w:rFonts w:ascii="Times New Roman" w:hAnsi="Times New Roman"/>
          <w:b w:val="0"/>
          <w:i/>
          <w:sz w:val="20"/>
        </w:rPr>
        <w:t>Validation against a laboratory scale</w:t>
      </w:r>
    </w:p>
    <w:p>
      <w:pPr>
        <w:spacing w:after="60"/>
      </w:pPr>
      <w:r>
        <w:rPr>
          <w:rFonts w:ascii="Times New Roman" w:hAnsi="Times New Roman"/>
          <w:b w:val="0"/>
          <w:i w:val="0"/>
          <w:sz w:val="18"/>
        </w:rPr>
        <w:t xml:space="preserve">To check that the compensated reading is the contact force and not an artefact of the compensation, the mounted probe was pressed onto a laboratory scale (resolution 1 g, standard uncertainty 0.0028 N) at loads from 0.92 N to 9.85 N; 19 of 20 trials were analysed. Regressing the robot reading on the scale reference gives slope 1.019 (95% CI 0.975–1.064), intercept -0.373 N (95% CI -0.587–-0.158) and R² = 0.99269. Bland and Altman analysis gives a bias of -0.293 N with 95% limits of agreement -0.734–+0.148 N; mean absolute error is 0.344 N, which is 3.49 % of the 9.85 N full scale. In other words the </w:t>
      </w:r>
      <w:r>
        <w:rPr>
          <w:rFonts w:ascii="Times New Roman" w:hAnsi="Times New Roman"/>
          <w:b w:val="0"/>
          <w:i/>
          <w:sz w:val="18"/>
        </w:rPr>
        <w:t>scale factor</w:t>
      </w:r>
      <w:r>
        <w:rPr>
          <w:rFonts w:ascii="Times New Roman" w:hAnsi="Times New Roman"/>
          <w:b w:val="0"/>
          <w:i w:val="0"/>
          <w:sz w:val="18"/>
        </w:rPr>
        <w:t xml:space="preserve"> is correct to within 2 % while a sub newton offset remains, of the same order as the attitude dependent compensation residual. We report the offset rather than calibrating it away: a fixed offset correction was implemented and then removed, because it is not constant across attitudes and would hide the residual it partially cancels.</w:t>
      </w:r>
    </w:p>
    <w:p>
      <w:pPr>
        <w:sectPr>
          <w:type w:val="continuous"/>
          <w:pgSz w:w="12240" w:h="15840"/>
          <w:pgMar w:top="864" w:right="864" w:bottom="864" w:left="864" w:header="720" w:footer="720" w:gutter="0"/>
          <w:cols w:space="360" w:num="2" w:equalWidth="1"/>
          <w:docGrid w:linePitch="360"/>
        </w:sectPr>
      </w:pPr>
    </w:p>
    <w:p>
      <w:pPr>
        <w:spacing w:after="40"/>
        <w:jc w:val="center"/>
      </w:pPr>
      <w:r>
        <w:drawing>
          <wp:inline xmlns:a="http://schemas.openxmlformats.org/drawingml/2006/main" xmlns:pic="http://schemas.openxmlformats.org/drawingml/2006/picture">
            <wp:extent cx="5065776" cy="2784755"/>
            <wp:docPr id="1" name="Picture 1"/>
            <wp:cNvGraphicFramePr>
              <a:graphicFrameLocks noChangeAspect="1"/>
            </wp:cNvGraphicFramePr>
            <a:graphic>
              <a:graphicData uri="http://schemas.openxmlformats.org/drawingml/2006/picture">
                <pic:pic>
                  <pic:nvPicPr>
                    <pic:cNvPr id="0" name="console_bladder.png"/>
                    <pic:cNvPicPr/>
                  </pic:nvPicPr>
                  <pic:blipFill>
                    <a:blip r:embed="rId9"/>
                    <a:stretch>
                      <a:fillRect/>
                    </a:stretch>
                  </pic:blipFill>
                  <pic:spPr>
                    <a:xfrm>
                      <a:off x="0" y="0"/>
                      <a:ext cx="5065776" cy="2784755"/>
                    </a:xfrm>
                    <a:prstGeom prst="rect"/>
                  </pic:spPr>
                </pic:pic>
              </a:graphicData>
            </a:graphic>
          </wp:inline>
        </w:drawing>
      </w:r>
    </w:p>
    <w:p>
      <w:pPr>
        <w:spacing w:after="160"/>
        <w:jc w:val="left"/>
      </w:pPr>
      <w:r>
        <w:rPr>
          <w:rFonts w:ascii="Times New Roman" w:hAnsi="Times New Roman"/>
          <w:b/>
          <w:i w:val="0"/>
          <w:sz w:val="16"/>
        </w:rPr>
        <w:t>The operator console during a policy episode.</w:t>
      </w:r>
      <w:r>
        <w:rPr>
          <w:rFonts w:ascii="Times New Roman" w:hAnsi="Times New Roman"/>
          <w:b w:val="0"/>
          <w:i w:val="0"/>
          <w:sz w:val="16"/>
        </w:rPr>
        <w:t xml:space="preserve"> Left: the live sector image with the bladder in view. Centre: the arm in its own workspace, and below it the contact force trend against the hold band and the warning line. Right: the declared regime and the contact force with its bands, and at the bottom the two quality readings, Q_seg and Q_raw, beside the policy panel that starts and stops inference and shows the commanded angular rates. The console reads and displays; it issues no motion of its own beyond the two buttons.</w:t>
      </w:r>
    </w:p>
    <w:p>
      <w:pPr>
        <w:sectPr>
          <w:type w:val="continuous"/>
          <w:pgSz w:w="12240" w:h="15840"/>
          <w:pgMar w:top="864" w:right="864" w:bottom="864" w:left="864" w:header="720" w:footer="720" w:gutter="0"/>
          <w:cols w:space="360" w:num="1" w:equalWidth="1"/>
          <w:docGrid w:linePitch="360"/>
        </w:sectPr>
      </w:pPr>
    </w:p>
    <w:p>
      <w:pPr>
        <w:spacing w:after="40"/>
      </w:pPr>
      <w:r>
        <w:rPr>
          <w:rFonts w:ascii="Times New Roman" w:hAnsi="Times New Roman"/>
          <w:b w:val="0"/>
          <w:i/>
          <w:sz w:val="20"/>
        </w:rPr>
        <w:t>Contact regulation and the safety envelope</w:t>
      </w:r>
    </w:p>
    <w:p>
      <w:pPr>
        <w:spacing w:after="60"/>
      </w:pPr>
      <w:r>
        <w:rPr>
          <w:rFonts w:ascii="Times New Roman" w:hAnsi="Times New Roman"/>
          <w:b w:val="0"/>
          <w:i w:val="0"/>
          <w:sz w:val="18"/>
        </w:rPr>
        <w:t>The beam axis z is owned by an admittance regulator, never by the operator and never by the policy:</w:t>
      </w:r>
    </w:p>
    <w:p>
      <w:pPr>
        <w:spacing w:after="160"/>
        <w:jc w:val="center"/>
      </w:pPr>
      <w:r>
        <w:rPr>
          <w:rFonts w:ascii="Times New Roman" w:hAnsi="Times New Roman"/>
          <w:b w:val="0"/>
          <w:i w:val="0"/>
          <w:sz w:val="20"/>
        </w:rPr>
        <w:t>v_z = (F* - F_n)/(B_z), |v_z| ≤ v_\max,</w:t>
      </w:r>
    </w:p>
    <w:p>
      <w:pPr>
        <w:spacing w:after="60"/>
      </w:pPr>
      <w:r>
        <w:rPr>
          <w:rFonts w:ascii="Times New Roman" w:hAnsi="Times New Roman"/>
          <w:b w:val="0"/>
          <w:i w:val="0"/>
          <w:sz w:val="18"/>
        </w:rPr>
        <w:t>with B_z = 4500 N·s/m, a dead band of 0.05 N about F*, and a retreat speed of 5 mm/s. The dead band and gain were chosen together: at B_z = 1000 and 3000 the loop limit cycles with a period of 8–9 s and a force amplitude of ± 0.35 N, because the measured contact stiffness of the phantom rises from 0.28 N/mm at 0.5 N to 1.8 N/mm at 4 N while the force lags indentation by 1.5–2.4 s. At B_z = 4500 the loop gain falls to 0.01–0.20 over that stiffness range and the limit cycle disappears, at the cost of a slow response: the time constant is B_z/k ≈ 12 s for the measured phantom stiffness k = 0.374 N/mm.</w:t>
      </w:r>
    </w:p>
    <w:p>
      <w:pPr>
        <w:spacing w:after="60"/>
      </w:pPr>
      <w:r>
        <w:rPr>
          <w:rFonts w:ascii="Times New Roman" w:hAnsi="Times New Roman"/>
          <w:b w:val="0"/>
          <w:i w:val="0"/>
          <w:sz w:val="18"/>
        </w:rPr>
        <w:t>Three limits are enforced above the regulator: a hold target of 3 N, a soft warning at 4.5 N at which rising commands are refused, and a hard limit of 5 N at which the regulator overrides everything and retreats along -z until the force falls below 0.2 N. A two layer watchdog retreats the probe if twist commands stop for 100 ms and stops the joints if joint commands stop for the same interval. Velocity limits are switched by regime: 150 mm/s in free space, 10 mm/s and 0.2 rad/s once the contact regime is entered.</w:t>
      </w:r>
    </w:p>
    <w:p>
      <w:pPr>
        <w:spacing w:after="60"/>
      </w:pPr>
      <w:r>
        <w:rPr>
          <w:rFonts w:ascii="Times New Roman" w:hAnsi="Times New Roman"/>
          <w:b/>
          <w:i w:val="0"/>
          <w:sz w:val="22"/>
        </w:rPr>
        <w:t>Demonstrations Without a Robot</w:t>
      </w:r>
    </w:p>
    <w:p>
      <w:pPr>
        <w:spacing w:after="40"/>
      </w:pPr>
      <w:r>
        <w:rPr>
          <w:rFonts w:ascii="Times New Roman" w:hAnsi="Times New Roman"/>
          <w:b w:val="0"/>
          <w:i/>
          <w:sz w:val="20"/>
        </w:rPr>
        <w:t>Instrumented probe and synchronisation</w:t>
      </w:r>
    </w:p>
    <w:p>
      <w:pPr>
        <w:spacing w:after="60"/>
      </w:pPr>
      <w:r>
        <w:rPr>
          <w:rFonts w:ascii="Times New Roman" w:hAnsi="Times New Roman"/>
          <w:b w:val="0"/>
          <w:i w:val="0"/>
          <w:sz w:val="18"/>
        </w:rPr>
        <w:t>A BNO085 inertial measurement unit on a Seeed XIAO nRF52840 Sense is clamped to the probe in a printed split shell. Accelerometer and gyroscope report at 200 Hz each and the on chip rotation vector at 100 Hz; the host runs a magnetometer free gradient descent attitude filter [23] and logs 250–256 Hz of CRC protected records over USB serial, keeping both device and host timestamps. The ultrasound stream and the inertial stream share exactly one clock, the host's reception time.</w:t>
      </w:r>
    </w:p>
    <w:p>
      <w:pPr>
        <w:spacing w:after="60"/>
      </w:pPr>
      <w:r>
        <w:rPr>
          <w:rFonts w:ascii="Times New Roman" w:hAnsi="Times New Roman"/>
          <w:b w:val="0"/>
          <w:i w:val="0"/>
          <w:sz w:val="18"/>
        </w:rPr>
        <w:t>Reception time is not acquisition time. We measure the fixed delay of the ultrasound path by cross correlating frame to frame image change with the box integrated gyroscope magnitude over the same interval,</w:t>
      </w:r>
    </w:p>
    <w:p>
      <w:pPr>
        <w:spacing w:after="160"/>
        <w:jc w:val="center"/>
      </w:pPr>
      <w:r>
        <w:rPr>
          <w:rFonts w:ascii="Times New Roman" w:hAnsi="Times New Roman"/>
          <w:b w:val="0"/>
          <w:i w:val="0"/>
          <w:sz w:val="20"/>
        </w:rPr>
        <w:t>τ_us = argmax_τ\ corr(Δ I_i,\ Ω_i(τ)),</w:t>
      </w:r>
    </w:p>
    <w:p>
      <w:pPr>
        <w:spacing w:after="60"/>
      </w:pPr>
      <w:r>
        <w:rPr>
          <w:rFonts w:ascii="Times New Roman" w:hAnsi="Times New Roman"/>
          <w:b w:val="0"/>
          <w:i w:val="0"/>
          <w:sz w:val="18"/>
        </w:rPr>
        <w:t xml:space="preserve">and obtain τ_us = 200 ms pooled over 268 sessions (r = 0.817, session bootstrap 95% CI 190–200 ms, and injected artificial delays are recovered with 0 ms error). This is an </w:t>
      </w:r>
      <w:r>
        <w:rPr>
          <w:rFonts w:ascii="Times New Roman" w:hAnsi="Times New Roman"/>
          <w:b w:val="0"/>
          <w:i/>
          <w:sz w:val="18"/>
        </w:rPr>
        <w:t>effective</w:t>
      </w:r>
      <w:r>
        <w:rPr>
          <w:rFonts w:ascii="Times New Roman" w:hAnsi="Times New Roman"/>
          <w:b w:val="0"/>
          <w:i w:val="0"/>
          <w:sz w:val="18"/>
        </w:rPr>
        <w:t xml:space="preserve"> latency that includes the scanner's frame persistence rather than a transport delay specification. It is subtracted once, in the dataset builder.</w:t>
      </w:r>
    </w:p>
    <w:p>
      <w:pPr>
        <w:spacing w:after="40"/>
      </w:pPr>
      <w:r>
        <w:rPr>
          <w:rFonts w:ascii="Times New Roman" w:hAnsi="Times New Roman"/>
          <w:b w:val="0"/>
          <w:i/>
          <w:sz w:val="20"/>
        </w:rPr>
        <w:t>Six axes, not nine</w:t>
      </w:r>
    </w:p>
    <w:p>
      <w:pPr>
        <w:spacing w:after="60"/>
      </w:pPr>
      <w:r>
        <w:rPr>
          <w:rFonts w:ascii="Times New Roman" w:hAnsi="Times New Roman"/>
          <w:b w:val="0"/>
          <w:i w:val="0"/>
          <w:sz w:val="18"/>
        </w:rPr>
        <w:t xml:space="preserve">Near a moving steel arm, magnetometer aided fusion is not merely noisier, it is wrong. We characterise the sensor on a bench in which the instrumented probe is held by the robot, so that forward kinematics supplies ground truth over an 83.8 s teleoperated block of probing rhythm (16757 paired samples). The bench probe is a clamped clinical convex probe in a printed split shell; the phantom demonstrations reported below were captured with a second, wireless probe in the same manner, so the orientation figures characterise the sensing route rather than one specific clamp. Against that ground truth, host side six axis fusion gives per channel rotation RMS of 1.14 °, 0.73 ° and 1.95 ° (tilt x, tilt y, axial), geodesic RMS 2.50 ° (p95 3.56 °), static alignment residual 0.81 ° and axial drift 0.23 °/min. The on chip nine axis rotation vector, on the same recordings, gives 11.23 ° axial RMS, 6.68 ° alignment residual and 8.29 °/min drift (Table 2). The cause is positional rather than attitudinal: a pose paired magnetic test near the robot found no usable stationary pairs at all, and a sensor fixed distortion model leaves residuals up to 9.6 times the noise with direction errors up to 56.8 °. A field that changes with </w:t>
      </w:r>
      <w:r>
        <w:rPr>
          <w:rFonts w:ascii="Times New Roman" w:hAnsi="Times New Roman"/>
          <w:b w:val="0"/>
          <w:i/>
          <w:sz w:val="18"/>
        </w:rPr>
        <w:t>where</w:t>
      </w:r>
      <w:r>
        <w:rPr>
          <w:rFonts w:ascii="Times New Roman" w:hAnsi="Times New Roman"/>
          <w:b w:val="0"/>
          <w:i w:val="0"/>
          <w:sz w:val="18"/>
        </w:rPr>
        <w:t xml:space="preserve"> the probe is cannot be calibrated out by any attitude model, which is the failure mode reported for motion laboratories [24, 25], so we disable the magnetometer, give up absolute heading, and claim only rotation relative to a session reference pose. Against our own pre-registered limit of 2.0 ° the geodesic RMS of 2.50 ° is a fail, and we report it as one; every other criterion (alignment, latency, correlation, drift, displacement floor) passes.</w:t>
      </w:r>
    </w:p>
    <w:p>
      <w:pPr>
        <w:spacing w:after="60"/>
      </w:pPr>
      <w:r>
        <w:rPr>
          <w:rFonts w:ascii="Times New Roman" w:hAnsi="Times New Roman"/>
          <w:b w:val="0"/>
          <w:i w:val="0"/>
          <w:sz w:val="18"/>
        </w:rPr>
        <w:t>Translation is the counter example. With zero velocity bracketing the displacement error floor is 0.25 mm at 0.5 s and 6.32 mm at 5 s, against 12.4 mm and 1236.5 mm for raw double integration; over 21 real move segments the error is one to two orders of magnitude above that floor. On 65 elevational sweep segments of the demonstration set, the drift removed by the zero velocity bracket has a median of 60 mm against a median net displacement of 14 mm, a ratio of 2.75. Translation is kept in the dataset for completeness and is never commanded.</w:t>
      </w:r>
    </w:p>
    <w:p>
      <w:pPr>
        <w:spacing w:after="40"/>
      </w:pPr>
      <w:r>
        <w:rPr>
          <w:rFonts w:ascii="Times New Roman" w:hAnsi="Times New Roman"/>
          <w:b w:val="0"/>
          <w:i/>
          <w:sz w:val="20"/>
        </w:rPr>
        <w:t>Sensor to probe rotation</w:t>
      </w:r>
    </w:p>
    <w:p>
      <w:pPr>
        <w:spacing w:after="60"/>
      </w:pPr>
      <w:r>
        <w:rPr>
          <w:rFonts w:ascii="Times New Roman" w:hAnsi="Times New Roman"/>
          <w:b w:val="0"/>
          <w:i w:val="0"/>
          <w:sz w:val="18"/>
        </w:rPr>
        <w:t xml:space="preserve">The inertial sensor is clamped in an arbitrary attitude. We rotate the probe about each of its own axes in a dedicated session and take the principal axis of the gyroscope samples, the first right singular vector, as the corresponding row of R_SP. The recovered axes are mutually 93.2 °, 92.7 ° and 97.7 ° apart with a 4.20 ° projection residual and \det R_SP = +1.000, and a gravity check fixes the beam axis sign. Axis assignment is unambiguous, with off diagonal terms below 0.024. The </w:t>
      </w:r>
      <w:r>
        <w:rPr>
          <w:rFonts w:ascii="Times New Roman" w:hAnsi="Times New Roman"/>
          <w:b w:val="0"/>
          <w:i/>
          <w:sz w:val="18"/>
        </w:rPr>
        <w:t>signs</w:t>
      </w:r>
      <w:r>
        <w:rPr>
          <w:rFonts w:ascii="Times New Roman" w:hAnsi="Times New Roman"/>
          <w:b w:val="0"/>
          <w:i w:val="0"/>
          <w:sz w:val="18"/>
        </w:rPr>
        <w:t xml:space="preserve"> of the lateral and elevational rows are not: an independent argument from the demonstration data, in which the sign of the starting acceleration agrees with the direction of image structure motion in 146 of 146 lateral translation sessions, yields the opposite sign to the rotation session above. Both candidates have determinant +1, so this is a convention difference rather than a mounting difference, and it stays open (Sec. IX).</w:t>
      </w:r>
    </w:p>
    <w:p>
      <w:pPr>
        <w:spacing w:after="40"/>
      </w:pPr>
      <w:r>
        <w:rPr>
          <w:rFonts w:ascii="Times New Roman" w:hAnsi="Times New Roman"/>
          <w:b w:val="0"/>
          <w:i/>
          <w:sz w:val="20"/>
        </w:rPr>
        <w:t>From freehand scanning to action chunks</w:t>
      </w:r>
    </w:p>
    <w:p>
      <w:pPr>
        <w:spacing w:after="60"/>
      </w:pPr>
      <w:r>
        <w:rPr>
          <w:rFonts w:ascii="Times New Roman" w:hAnsi="Times New Roman"/>
          <w:b w:val="0"/>
          <w:i w:val="0"/>
          <w:sz w:val="18"/>
        </w:rPr>
        <w:t>Freehand scanning is not continuous: the sonographer moves, holds, and moves again. We detect stillness from gyroscope and accelerometer statistics in a 0.30 s window and take each still to still interval as one move segment, accepting durations from 0.15 s to 8.0 s. The median still fraction is 54.2 % and 82 % of intervals are accepted. Within a segment, rotation comes from the fused rotation vector and translation from doubly integrated linear acceleration with a zero end velocity de-drift, the bracketing idea that pedestrian inertial navigation uses between footfalls [26, 27].</w:t>
      </w:r>
    </w:p>
    <w:p>
      <w:pPr>
        <w:spacing w:after="60"/>
      </w:pPr>
      <w:r>
        <w:rPr>
          <w:rFonts w:ascii="Times New Roman" w:hAnsi="Times New Roman"/>
          <w:b w:val="0"/>
          <w:i w:val="0"/>
          <w:sz w:val="18"/>
        </w:rPr>
        <w:t>The dataset is 268 sessions and 45902 frames, comprising a continuous scanning day (20 sessions, 19708 frames) and a search task (248 episodes, 26194 frames) in which each episode begins with the bladder out of view. Total recording time is 77 min. It yields 1818 move segments and 4389 observation and action chunks, split by session (218 train, 26 validation, 24 test) into 3297, 576 and 516 chunks. Each observation is m = 20 frames at 256^2 with a 21 dimensional perception state per frame and a 15 dimensional scalar vector; each action label is a k = 8 step chunk of 1.6 s at 5 Hz. All demonstrations come from one bladder phantom and one operator, so the validation and test splits measure reproducibility on that phantom, not generalisation.</w:t>
      </w:r>
    </w:p>
    <w:p>
      <w:pPr>
        <w:spacing w:after="60"/>
      </w:pPr>
      <w:r>
        <w:rPr>
          <w:rFonts w:ascii="Times New Roman" w:hAnsi="Times New Roman"/>
          <w:b/>
          <w:i w:val="0"/>
          <w:sz w:val="22"/>
        </w:rPr>
        <w:t>Perception and the Two Quality Functions</w:t>
      </w:r>
    </w:p>
    <w:p>
      <w:pPr>
        <w:spacing w:after="40"/>
      </w:pPr>
      <w:r>
        <w:rPr>
          <w:rFonts w:ascii="Times New Roman" w:hAnsi="Times New Roman"/>
          <w:b w:val="0"/>
          <w:i/>
          <w:sz w:val="20"/>
        </w:rPr>
        <w:t>Scan conversion and contact measurement</w:t>
      </w:r>
    </w:p>
    <w:p>
      <w:pPr>
        <w:spacing w:after="60"/>
      </w:pPr>
      <w:r>
        <w:rPr>
          <w:rFonts w:ascii="Times New Roman" w:hAnsi="Times New Roman"/>
          <w:b w:val="0"/>
          <w:i w:val="0"/>
          <w:sz w:val="18"/>
        </w:rPr>
        <w:t>Polar frames are converted to a sector B-mode image with the vendor geometry (radius 59 mm, half angle 28 °, depth 220 mm), giving 0.443 mm per pixel and a 512 × 591 grid that is letterboxed to 256^2. The same converter runs in training and at run time.</w:t>
      </w:r>
    </w:p>
    <w:p>
      <w:pPr>
        <w:spacing w:after="60"/>
      </w:pPr>
      <w:r>
        <w:rPr>
          <w:rFonts w:ascii="Times New Roman" w:hAnsi="Times New Roman"/>
          <w:b w:val="0"/>
          <w:i w:val="0"/>
          <w:sz w:val="18"/>
        </w:rPr>
        <w:t>In freehand capture the probe is often only partially coupled, and near field brightness cannot decide coupling because transducer ring down is bright in air as well (mid depth mean: 6 in air against 55 in contact). We call an A-line coupled when its mid depth mean exceeds a threshold, and define the frame contact ratio ρ as the fraction of coupled lines. Over 45902 frames, 70.0 % of continuous scanning frames are fully coupled (ρ ≥ 0.90) against 43.8 % of search episode frames, and ρ predicts segmentation accuracy monotonically.</w:t>
      </w:r>
    </w:p>
    <w:p>
      <w:pPr>
        <w:spacing w:after="40"/>
      </w:pPr>
      <w:r>
        <w:rPr>
          <w:rFonts w:ascii="Times New Roman" w:hAnsi="Times New Roman"/>
          <w:b w:val="0"/>
          <w:i/>
          <w:sz w:val="20"/>
        </w:rPr>
        <w:t>Bladder segmentation</w:t>
      </w:r>
    </w:p>
    <w:p>
      <w:pPr>
        <w:spacing w:after="60"/>
      </w:pPr>
      <w:r>
        <w:rPr>
          <w:rFonts w:ascii="Times New Roman" w:hAnsi="Times New Roman"/>
          <w:b w:val="0"/>
          <w:i w:val="0"/>
          <w:sz w:val="18"/>
        </w:rPr>
        <w:t>A standard U-Net (8.6 M parameters, 16.3 GMAC at 256^2), pretrained on a public pelvic floor ultrasound corpus of 110 patients and 14852 annotated frames, is fine tuned on the phantom with 234 human drawn labels collected over six active learning rounds. Inference takes 1.1 ms per frame and the full perception chain, including the control features, 3.0 ms on an RTX 4090, against a runtime budget of 125 ms set by the observation window. The acquisition function ranks frames by boundary entropy and neighbour frame mask IoU, which correlate with per frame Dice (r = -0.636 and r = +0.694), whereas a threshold free confidence score does not (r = +0.507, and degenerate at 1.0 for empty predictions).</w:t>
      </w:r>
    </w:p>
    <w:p>
      <w:pPr>
        <w:spacing w:after="60"/>
      </w:pPr>
      <w:r>
        <w:rPr>
          <w:rFonts w:ascii="Times New Roman" w:hAnsi="Times New Roman"/>
          <w:b w:val="0"/>
          <w:i w:val="0"/>
          <w:sz w:val="18"/>
        </w:rPr>
        <w:t xml:space="preserve">Predictions are then </w:t>
      </w:r>
      <w:r>
        <w:rPr>
          <w:rFonts w:ascii="Times New Roman" w:hAnsi="Times New Roman"/>
          <w:b w:val="0"/>
          <w:i/>
          <w:sz w:val="18"/>
        </w:rPr>
        <w:t>physically gated</w:t>
      </w:r>
      <w:r>
        <w:rPr>
          <w:rFonts w:ascii="Times New Roman" w:hAnsi="Times New Roman"/>
          <w:b w:val="0"/>
          <w:i w:val="0"/>
          <w:sz w:val="18"/>
        </w:rPr>
        <w:t>: frames below ρ &lt; 0.10 are emptied, masks lying mostly outside the coupled angular sector are emptied, and fragments smaller than the smallest human drawn mask are emptied. On a fixed 49 frame held out set the final model reaches Dice 0.815 overall and 0.874 on the 40 bladder present frames (IoU 0.787, recall 0.861, precision 0.903, predicted to human area ratio 0.99, zero missed bladders). The residual error is concentrated in presence decisions rather than boundaries: in an unbiased random audit, 10 of 18 truly empty frames received a mask, and thresholding does not fix it.</w:t>
      </w:r>
    </w:p>
    <w:p>
      <w:pPr>
        <w:spacing w:after="40"/>
      </w:pPr>
      <w:r>
        <w:rPr>
          <w:rFonts w:ascii="Times New Roman" w:hAnsi="Times New Roman"/>
          <w:b w:val="0"/>
          <w:i/>
          <w:sz w:val="20"/>
        </w:rPr>
        <w:t>Q_seg, the learning objective</w:t>
      </w:r>
    </w:p>
    <w:p>
      <w:pPr>
        <w:spacing w:after="60"/>
      </w:pPr>
      <w:r>
        <w:rPr>
          <w:rFonts w:ascii="Times New Roman" w:hAnsi="Times New Roman"/>
          <w:b w:val="0"/>
          <w:i w:val="0"/>
          <w:sz w:val="18"/>
        </w:rPr>
        <w:t xml:space="preserve">Q_seg is a weighted mean of interpretable mask and image terms. The version used to label the training data weights eight terms summing to 6.5, of which mask area carries only 1.0: the remaining 85 % asks whether the mask is </w:t>
      </w:r>
      <w:r>
        <w:rPr>
          <w:rFonts w:ascii="Times New Roman" w:hAnsi="Times New Roman"/>
          <w:b w:val="0"/>
          <w:i/>
          <w:sz w:val="18"/>
        </w:rPr>
        <w:t>clean</w:t>
      </w:r>
      <w:r>
        <w:rPr>
          <w:rFonts w:ascii="Times New Roman" w:hAnsi="Times New Roman"/>
          <w:b w:val="0"/>
          <w:i w:val="0"/>
          <w:sz w:val="18"/>
        </w:rPr>
        <w:t xml:space="preserve"> (segmentation confidence, border penalty, component quality, temporal IoU, centroid and area stability, lumen contrast) rather than whether the bladder is in view. As an image quality score this behaves well: on the public test split it ranks frames by Dice with ρ = 0.766 and detects Dice ≥ 0.80 with AUROC 0.891.</w:t>
      </w:r>
    </w:p>
    <w:p>
      <w:pPr>
        <w:spacing w:after="60"/>
      </w:pPr>
      <w:r>
        <w:rPr>
          <w:rFonts w:ascii="Times New Roman" w:hAnsi="Times New Roman"/>
          <w:b w:val="0"/>
          <w:i w:val="0"/>
          <w:sz w:val="18"/>
        </w:rPr>
        <w:t xml:space="preserve">As a </w:t>
      </w:r>
      <w:r>
        <w:rPr>
          <w:rFonts w:ascii="Times New Roman" w:hAnsi="Times New Roman"/>
          <w:b w:val="0"/>
          <w:i/>
          <w:sz w:val="18"/>
        </w:rPr>
        <w:t>task</w:t>
      </w:r>
      <w:r>
        <w:rPr>
          <w:rFonts w:ascii="Times New Roman" w:hAnsi="Times New Roman"/>
          <w:b w:val="0"/>
          <w:i w:val="0"/>
          <w:sz w:val="18"/>
        </w:rPr>
        <w:t xml:space="preserve"> objective it is nearly flat, which matters for Sec. VIII: varying area alone moves it from 0.89 with no bladder to 0.95 with the bladder perfectly captured, a span of 0.06, and in one recorded episode it varied by 1.4e-7 over 636 decisions. An objective that barely separates “bladder found” from “bladder absent” cannot teach a value head where to look. We therefore redefined the reported score on the axis of the success criterion, with presence, area and lateral centring carrying 76 % of the weight: 0.07 with no bladder, 0.77 at 0.5 % area, 0.97 at the 8 % success threshold. The redefined score is reported and displayed only; the policy's input and trained target remain the original definition, since changing a trained policy's input mid-experiment would silently change the model.</w:t>
      </w:r>
    </w:p>
    <w:p>
      <w:pPr>
        <w:spacing w:after="40"/>
      </w:pPr>
      <w:r>
        <w:rPr>
          <w:rFonts w:ascii="Times New Roman" w:hAnsi="Times New Roman"/>
          <w:b w:val="0"/>
          <w:i/>
          <w:sz w:val="20"/>
        </w:rPr>
        <w:t>Q_raw, the force objective</w:t>
      </w:r>
    </w:p>
    <w:p>
      <w:pPr>
        <w:spacing w:after="60"/>
      </w:pPr>
      <w:r>
        <w:rPr>
          <w:rFonts w:ascii="Times New Roman" w:hAnsi="Times New Roman"/>
          <w:b w:val="0"/>
          <w:i w:val="0"/>
          <w:sz w:val="18"/>
        </w:rPr>
        <w:t>Q_raw is computed from the B-mode image alone, with no network, no mask and no previous frame. It averages four sub scores: near field echo against a reference level (weight 1.0), contact continuity, the fraction of A-lines that are not dark (1.5), total echo energy as a plateau about a target level (0.5), and a shadow penalty counting A-lines whose far field has collapsed relative to the frame's own 90th percentile (1.0); the near field is the shallowest 15 % of the depth range and the far field the deepest 35 %. Below 16 usable A-lines the score is undefined rather than zero. Its constants are provisional and the monotonicity of each sub score in contact force is unverified. It is deliberately not the policy's objective: the freehand demonstrations carry no valid force label, so contact force cannot be imitated and the set point is instead found online by square wave dither extremum seeking on Q_raw. The set point is dithered by ± 0.25 N with a 5 s period, the gradient is demodulated once per period, and the set point moves by at most 0.1 N per period within 1.0–4.5 N, the upper bound being the warning line rather than the hard limit.</w:t>
      </w:r>
    </w:p>
    <w:p>
      <w:pPr>
        <w:spacing w:after="60"/>
      </w:pPr>
      <w:r>
        <w:rPr>
          <w:rFonts w:ascii="Times New Roman" w:hAnsi="Times New Roman"/>
          <w:b w:val="0"/>
          <w:i w:val="0"/>
          <w:sz w:val="18"/>
        </w:rPr>
        <w:t>On this phantom the measured gradient is small, \partial Q_raw / \partial F ∈ 0.0003–0.008 /N near 3 N. The loop gain of 20 N per quality unit per newton makes a typical gradient produce a step at the per period limit; at unit gain the set point would move less than 0.09 N in a 90 second episode. The flatness is itself a result: above coupling, the image on this phantom is nearly indifferent to contact force, so the light strategy is the safe one.</w:t>
      </w:r>
    </w:p>
    <w:p>
      <w:pPr>
        <w:spacing w:after="60"/>
      </w:pPr>
      <w:r>
        <w:rPr>
          <w:rFonts w:ascii="Times New Roman" w:hAnsi="Times New Roman"/>
          <w:b/>
          <w:i w:val="0"/>
          <w:sz w:val="22"/>
        </w:rPr>
        <w:t>Policy</w:t>
      </w:r>
    </w:p>
    <w:p>
      <w:pPr>
        <w:spacing w:after="40"/>
      </w:pPr>
      <w:r>
        <w:rPr>
          <w:rFonts w:ascii="Times New Roman" w:hAnsi="Times New Roman"/>
          <w:b w:val="0"/>
          <w:i/>
          <w:sz w:val="20"/>
        </w:rPr>
        <w:t>Architecture</w:t>
      </w:r>
    </w:p>
    <w:p>
      <w:pPr>
        <w:spacing w:after="60"/>
      </w:pPr>
      <w:r>
        <w:rPr>
          <w:rFonts w:ascii="Times New Roman" w:hAnsi="Times New Roman"/>
          <w:b w:val="0"/>
          <w:i w:val="0"/>
          <w:sz w:val="18"/>
        </w:rPr>
        <w:t>The policy is an ACT style conditional VAE with 2.69 M parameters. A convolutional frame encoder (channels 32, 64, 128, 256, input 128^2) reduces each of the m = 20 observation frames to a token; the last valid frame also contributes 4 × 4 spatial tokens, and one further token carries the scalar vector. A two layer transformer encoder and two layer decoder (d = 128, 8 heads, feed forward 512) emit a k+1 step cumulative displacement trajectory P ∈ R^(k+1) × 6, from which velocities follow by differencing.</w:t>
      </w:r>
    </w:p>
    <w:p>
      <w:pPr>
        <w:spacing w:after="60"/>
      </w:pPr>
      <w:r>
        <w:rPr>
          <w:rFonts w:ascii="Times New Roman" w:hAnsi="Times New Roman"/>
          <w:b w:val="0"/>
          <w:i w:val="0"/>
          <w:sz w:val="18"/>
        </w:rPr>
        <w:t>Two departures from ACT matter here. First, the latent z (dimension 4) is added to the decoder queries only, not to the encoder tokens, so that the observation summary seen by the quality head cannot carry label information from the posterior path. Second, the test time convention z = 0 is not used: near a target the demonstrated action distribution is bimodal in the elevational axis, and the mean of a bimodal distribution is the one action that is certainly wrong.</w:t>
      </w:r>
    </w:p>
    <w:p>
      <w:pPr>
        <w:spacing w:after="60"/>
      </w:pPr>
      <w:r>
        <w:rPr>
          <w:rFonts w:ascii="Times New Roman" w:hAnsi="Times New Roman"/>
          <w:b w:val="0"/>
          <w:i w:val="0"/>
          <w:sz w:val="18"/>
        </w:rPr>
        <w:t>The quality head predicts the future Q_seg of a candidate chunk as a base term plus an action dependent residual,</w:t>
      </w:r>
    </w:p>
    <w:p>
      <w:pPr>
        <w:spacing w:after="160"/>
        <w:jc w:val="center"/>
      </w:pPr>
      <w:r>
        <w:rPr>
          <w:rFonts w:ascii="Times New Roman" w:hAnsi="Times New Roman"/>
          <w:b w:val="0"/>
          <w:i w:val="0"/>
          <w:sz w:val="20"/>
        </w:rPr>
        <w:t>Q̂(o, A) = b(o) + [g(o, A) - g(o, 0)],</w:t>
      </w:r>
    </w:p>
    <w:p>
      <w:pPr>
        <w:spacing w:after="60"/>
      </w:pPr>
      <w:r>
        <w:rPr>
          <w:rFonts w:ascii="Times New Roman" w:hAnsi="Times New Roman"/>
          <w:b w:val="0"/>
          <w:i w:val="0"/>
          <w:sz w:val="18"/>
        </w:rPr>
        <w:t>so that the residual vanishes identically at A = 0 without a penalty term. Training minimises a σ normalised Huber loss on the trajectory, a KL term, and quality, force, smoothness, feasibility and risk terms. The deployed checkpoint was trained for 25 epochs with batch 16, learning rate 1e-3, β_KL = 8.0 and λ_Q = 100; the weight λ_Q was chosen by a sweep in which the action effect correlation peaked at ρ = +0.150 for λ_Q = 100 against ρ = +0.050 at λ_Q = 1.</w:t>
      </w:r>
    </w:p>
    <w:p>
      <w:pPr>
        <w:spacing w:after="40"/>
      </w:pPr>
      <w:r>
        <w:rPr>
          <w:rFonts w:ascii="Times New Roman" w:hAnsi="Times New Roman"/>
          <w:b w:val="0"/>
          <w:i/>
          <w:sz w:val="20"/>
        </w:rPr>
        <w:t>Selection by predicted quality</w:t>
      </w:r>
    </w:p>
    <w:p>
      <w:pPr>
        <w:spacing w:after="60"/>
      </w:pPr>
      <w:r>
        <w:rPr>
          <w:rFonts w:ascii="Times New Roman" w:hAnsi="Times New Roman"/>
          <w:b w:val="0"/>
          <w:i w:val="0"/>
          <w:sz w:val="18"/>
        </w:rPr>
        <w:t>At run time the decoder is sampled M = 64 times from the prior and the candidates are ranked by</w:t>
      </w:r>
    </w:p>
    <w:p>
      <w:pPr>
        <w:spacing w:after="160"/>
        <w:jc w:val="center"/>
      </w:pPr>
      <w:r>
        <w:rPr>
          <w:rFonts w:ascii="Times New Roman" w:hAnsi="Times New Roman"/>
          <w:b w:val="0"/>
          <w:i w:val="0"/>
          <w:sz w:val="20"/>
        </w:rPr>
        <w:t>score(A) = Σ(i=1..k) Q̂(o, A)_i + γ sign(A_y) sign(A_y^prev) (k)/(2),</w:t>
      </w:r>
    </w:p>
    <w:p>
      <w:pPr>
        <w:spacing w:after="60"/>
      </w:pPr>
      <w:r>
        <w:rPr>
          <w:rFonts w:ascii="Times New Roman" w:hAnsi="Times New Roman"/>
          <w:b w:val="0"/>
          <w:i w:val="0"/>
          <w:sz w:val="18"/>
        </w:rPr>
        <w:t>where the second term is a mode consistency bonus that discourages reversing direction at every chunk. The first step of the selected chunk is issued as a twist. This selection step is what is meant to make the system a controller rather than a replayer.</w:t>
      </w:r>
    </w:p>
    <w:p>
      <w:pPr>
        <w:spacing w:after="40"/>
      </w:pPr>
      <w:r>
        <w:rPr>
          <w:rFonts w:ascii="Times New Roman" w:hAnsi="Times New Roman"/>
          <w:b w:val="0"/>
          <w:i/>
          <w:sz w:val="20"/>
        </w:rPr>
        <w:t>Execution</w:t>
      </w:r>
    </w:p>
    <w:p>
      <w:pPr>
        <w:spacing w:after="60"/>
      </w:pPr>
      <w:r>
        <w:rPr>
          <w:rFonts w:ascii="Times New Roman" w:hAnsi="Times New Roman"/>
          <w:b w:val="0"/>
          <w:i w:val="0"/>
          <w:sz w:val="18"/>
        </w:rPr>
        <w:t>Fig. 2 shows what the operator sees while this runs. The runner infers at 5 Hz and republishes the held command at 50 Hz to match the control stack's twist watchdog, expiring the held command after three inference periods so that a stalled policy triggers the watchdog rather than being repeated forever. In policy mode the stack passes the three rotational axes and keeps the beam axis for the force loop; translation is never commanded, for the reason given in Sec. IV. Commands are clipped to 3 °/s.</w:t>
      </w:r>
    </w:p>
    <w:p>
      <w:pPr>
        <w:spacing w:after="60"/>
      </w:pPr>
      <w:r>
        <w:rPr>
          <w:rFonts w:ascii="Times New Roman" w:hAnsi="Times New Roman"/>
          <w:b/>
          <w:i w:val="0"/>
          <w:sz w:val="22"/>
        </w:rPr>
        <w:t>Experiments</w:t>
      </w:r>
    </w:p>
    <w:p>
      <w:pPr>
        <w:spacing w:after="60"/>
      </w:pPr>
      <w:r>
        <w:rPr>
          <w:rFonts w:ascii="Times New Roman" w:hAnsi="Times New Roman"/>
          <w:b w:val="0"/>
          <w:i w:val="0"/>
          <w:sz w:val="18"/>
        </w:rPr>
        <w:t>Three phantoms are used, each for one question.</w:t>
      </w:r>
    </w:p>
    <w:p>
      <w:pPr>
        <w:spacing w:after="60"/>
      </w:pPr>
      <w:r>
        <w:rPr>
          <w:rFonts w:ascii="Times New Roman" w:hAnsi="Times New Roman"/>
          <w:b/>
          <w:i w:val="0"/>
          <w:sz w:val="18"/>
        </w:rPr>
        <w:t>Air tube phantom: is the force envelope safe under disturbance?</w:t>
      </w:r>
      <w:r>
        <w:rPr>
          <w:rFonts w:ascii="Times New Roman" w:hAnsi="Times New Roman"/>
          <w:b w:val="0"/>
          <w:i w:val="0"/>
          <w:sz w:val="18"/>
        </w:rPr>
        <w:t xml:space="preserve"> We built this one from an ordinary display mannequin with an inflatable balloon tube laid inside its torso, the tube's line running out to a 500 mL syringe (Fig. 3a). Inflating and deflating the tube lifts and drops the surface under the probe while the robot holds a commanded force, and the mannequin shell gives the probe an abdominal standoff and curvature. Air rather than liquid makes the disturbance compliant as well as large: the tube stores part of the injected volume as pressure, so a plunger step produces a surface displacement that keeps settling after the operator stops pushing, as a breathing abdomen does to a held probe. Eight set points from 0.5–4.0 N in 0.5 N steps were held for 30 s each in two independently calibrated sessions, giving 16 holds, and at each set point five injections and five withdrawals were then applied with force hold enabled and with it disabled, the disabled arm serving as the counterfactual for what the disturbance does on its own. Both phantoms are built in house rather than bought, so their mechanical properties are known by measurement rather than from a specification sheet, and neither is a commercial product whose behaviour a reader could look up.</w:t>
      </w:r>
    </w:p>
    <w:p>
      <w:pPr>
        <w:spacing w:after="60"/>
      </w:pPr>
      <w:r>
        <w:rPr>
          <w:rFonts w:ascii="Times New Roman" w:hAnsi="Times New Roman"/>
          <w:b/>
          <w:i w:val="0"/>
          <w:sz w:val="18"/>
        </w:rPr>
        <w:t>Bladder ultrasound phantom: can demonstrations be captured?</w:t>
      </w:r>
      <w:r>
        <w:rPr>
          <w:rFonts w:ascii="Times New Roman" w:hAnsi="Times New Roman"/>
          <w:b w:val="0"/>
          <w:i w:val="0"/>
          <w:sz w:val="18"/>
        </w:rPr>
        <w:t xml:space="preserve"> All 268 demonstration sessions were recorded by hand on this phantom with the instrumented probe. In 240 of 248 search episodes the bladder is detected for at least three consecutive frames, and the mask area rises from a median of 0.000 in the first third of an episode to 0.031 in the last third, increasing in 233 of 248 episodes; the task the policy is asked to learn is therefore present in the data.</w:t>
      </w:r>
    </w:p>
    <w:p>
      <w:pPr>
        <w:spacing w:after="60"/>
      </w:pPr>
      <w:r>
        <w:rPr>
          <w:rFonts w:ascii="Times New Roman" w:hAnsi="Times New Roman"/>
          <w:b/>
          <w:i w:val="0"/>
          <w:sz w:val="18"/>
        </w:rPr>
        <w:t>Dynamic bladder phantom: does the policy hold the view?</w:t>
      </w:r>
      <w:r>
        <w:rPr>
          <w:rFonts w:ascii="Times New Roman" w:hAnsi="Times New Roman"/>
          <w:b w:val="0"/>
          <w:i w:val="0"/>
          <w:sz w:val="18"/>
        </w:rPr>
        <w:t xml:space="preserve"> We cast the dynamic phantom in house from agar, distilled water and gelatin, following the tissue mimicking recipe of Fernandez </w:t>
      </w:r>
      <w:r>
        <w:rPr>
          <w:rFonts w:ascii="Times New Roman" w:hAnsi="Times New Roman"/>
          <w:b w:val="0"/>
          <w:i/>
          <w:sz w:val="18"/>
        </w:rPr>
        <w:t>et al.</w:t>
      </w:r>
      <w:r>
        <w:rPr>
          <w:rFonts w:ascii="Times New Roman" w:hAnsi="Times New Roman"/>
          <w:b w:val="0"/>
          <w:i w:val="0"/>
          <w:sz w:val="18"/>
        </w:rPr>
        <w:t xml:space="preserve"> [28]. The lumen is a pair of water balloons, one inside the other, so that a puncture of the inner wall does not end the run; it is filled and emptied with water through a syringe line, so that its volume and the motion of its surface can be varied while the robot is holding a view (Fig. 3b). The doubled wall also gives the lumen a boundary the segmentation can see, since a single balloon collapses against the gel when partly filled. The two phantoms therefore drive the disturbance differently: air in the force experiments, where compressibility is part of what the loop must absorb, and water here, where the lumen is what the image has to keep. Its contact stiffness was measured with the robot's own force sensor and forward kinematics, using a printed probe replica so that the measurement needs neither the scanner nor the control stack (Fig. 3c): over an indentation span of 4.7 mm and a force span of 2.5 N the secant stiffness is 0.52 N/mm (R² = 0.997), with tangent stiffness ranging from 0.43–0.66 N/mm. It is therefore slightly stiffer than the air tube mannequin used for the force experiments (0.374 N/mm), which shortens the admittance time constant from 12 s to about 9 s. The two also differ in kind: the gel is a solid elastic medium, whereas the stiffness of the air tube phantom includes the compressibility of the enclosed air and the compliance of the mannequin shell above it, so the force results transfer as an envelope check rather than as a prediction of the loop's behaviour here. Because k belongs to the phantom and the tip together, the absolute value holds for this replica geometry rather than for the clinical probe.</w:t>
      </w:r>
    </w:p>
    <w:p>
      <w:pPr>
        <w:sectPr>
          <w:type w:val="continuous"/>
          <w:pgSz w:w="12240" w:h="15840"/>
          <w:pgMar w:top="864" w:right="864" w:bottom="864" w:left="864" w:header="720" w:footer="720" w:gutter="0"/>
          <w:cols w:space="360" w:num="2" w:equalWidth="1"/>
          <w:docGrid w:linePitch="360"/>
        </w:sectPr>
      </w:pPr>
    </w:p>
    <w:p>
      <w:pPr>
        <w:spacing w:after="40"/>
        <w:jc w:val="center"/>
      </w:pPr>
      <w:r>
        <w:drawing>
          <wp:inline xmlns:a="http://schemas.openxmlformats.org/drawingml/2006/main" xmlns:pic="http://schemas.openxmlformats.org/drawingml/2006/picture">
            <wp:extent cx="1652015" cy="2202687"/>
            <wp:docPr id="2" name="Picture 2"/>
            <wp:cNvGraphicFramePr>
              <a:graphicFrameLocks noChangeAspect="1"/>
            </wp:cNvGraphicFramePr>
            <a:graphic>
              <a:graphicData uri="http://schemas.openxmlformats.org/drawingml/2006/picture">
                <pic:pic>
                  <pic:nvPicPr>
                    <pic:cNvPr id="0" name="force_rig_syringe.jpg"/>
                    <pic:cNvPicPr/>
                  </pic:nvPicPr>
                  <pic:blipFill>
                    <a:blip r:embed="rId10"/>
                    <a:stretch>
                      <a:fillRect/>
                    </a:stretch>
                  </pic:blipFill>
                  <pic:spPr>
                    <a:xfrm>
                      <a:off x="0" y="0"/>
                      <a:ext cx="1652015" cy="2202687"/>
                    </a:xfrm>
                    <a:prstGeom prst="rect"/>
                  </pic:spPr>
                </pic:pic>
              </a:graphicData>
            </a:graphic>
          </wp:inline>
        </w:drawing>
      </w:r>
      <w:r>
        <w:drawing>
          <wp:inline xmlns:a="http://schemas.openxmlformats.org/drawingml/2006/main" xmlns:pic="http://schemas.openxmlformats.org/drawingml/2006/picture">
            <wp:extent cx="1652015" cy="2202687"/>
            <wp:docPr id="3" name="Picture 3"/>
            <wp:cNvGraphicFramePr>
              <a:graphicFrameLocks noChangeAspect="1"/>
            </wp:cNvGraphicFramePr>
            <a:graphic>
              <a:graphicData uri="http://schemas.openxmlformats.org/drawingml/2006/picture">
                <pic:pic>
                  <pic:nvPicPr>
                    <pic:cNvPr id="0" name="final_setup.jpg"/>
                    <pic:cNvPicPr/>
                  </pic:nvPicPr>
                  <pic:blipFill>
                    <a:blip r:embed="rId11"/>
                    <a:stretch>
                      <a:fillRect/>
                    </a:stretch>
                  </pic:blipFill>
                  <pic:spPr>
                    <a:xfrm>
                      <a:off x="0" y="0"/>
                      <a:ext cx="1652015" cy="2202687"/>
                    </a:xfrm>
                    <a:prstGeom prst="rect"/>
                  </pic:spPr>
                </pic:pic>
              </a:graphicData>
            </a:graphic>
          </wp:inline>
        </w:drawing>
      </w:r>
      <w:r>
        <w:drawing>
          <wp:inline xmlns:a="http://schemas.openxmlformats.org/drawingml/2006/main" xmlns:pic="http://schemas.openxmlformats.org/drawingml/2006/picture">
            <wp:extent cx="1652015" cy="2202687"/>
            <wp:docPr id="4" name="Picture 4"/>
            <wp:cNvGraphicFramePr>
              <a:graphicFrameLocks noChangeAspect="1"/>
            </wp:cNvGraphicFramePr>
            <a:graphic>
              <a:graphicData uri="http://schemas.openxmlformats.org/drawingml/2006/picture">
                <pic:pic>
                  <pic:nvPicPr>
                    <pic:cNvPr id="0" name="stiffness_measurement.jpg"/>
                    <pic:cNvPicPr/>
                  </pic:nvPicPr>
                  <pic:blipFill>
                    <a:blip r:embed="rId12"/>
                    <a:stretch>
                      <a:fillRect/>
                    </a:stretch>
                  </pic:blipFill>
                  <pic:spPr>
                    <a:xfrm>
                      <a:off x="0" y="0"/>
                      <a:ext cx="1652015" cy="2202687"/>
                    </a:xfrm>
                    <a:prstGeom prst="rect"/>
                  </pic:spPr>
                </pic:pic>
              </a:graphicData>
            </a:graphic>
          </wp:inline>
        </w:drawing>
      </w:r>
    </w:p>
    <w:p>
      <w:pPr>
        <w:spacing w:after="160"/>
        <w:jc w:val="left"/>
      </w:pPr>
      <w:r>
        <w:rPr>
          <w:rFonts w:ascii="Times New Roman" w:hAnsi="Times New Roman"/>
          <w:b/>
          <w:i w:val="0"/>
          <w:sz w:val="16"/>
        </w:rPr>
        <w:t>The three benches.</w:t>
      </w:r>
      <w:r>
        <w:rPr>
          <w:rFonts w:ascii="Times New Roman" w:hAnsi="Times New Roman"/>
          <w:b w:val="0"/>
          <w:i w:val="0"/>
          <w:sz w:val="16"/>
        </w:rPr>
        <w:t xml:space="preserve"> (a) Force experiments: an inflatable air tube inside a torso mannequin, inflated and deflated through a 500 mL syringe while the robot holds a commanded force. (b) Final setup: the clinical probe on the gel bladder phantom in its water bath, with the syringe line that fills and empties the lumen and the console the operator watches. (c) Contact stiffness: a printed probe replica indents the gel while force comes from the force/torque sensor and depth from forward kinematics, so neither the scanner nor the control stack is involved (force noise 0.015 N, depth noise 0.4 µm, indentation steps about 1 mm).</w:t>
      </w:r>
    </w:p>
    <w:p>
      <w:pPr>
        <w:sectPr>
          <w:type w:val="continuous"/>
          <w:pgSz w:w="12240" w:h="15840"/>
          <w:pgMar w:top="864" w:right="864" w:bottom="864" w:left="864" w:header="720" w:footer="720" w:gutter="0"/>
          <w:cols w:space="360" w:num="1" w:equalWidth="1"/>
          <w:docGrid w:linePitch="360"/>
        </w:sectPr>
      </w:pPr>
    </w:p>
    <w:p>
      <w:pPr>
        <w:spacing w:after="40"/>
      </w:pPr>
      <w:r>
        <w:rPr>
          <w:rFonts w:ascii="Times New Roman" w:hAnsi="Times New Roman"/>
          <w:b w:val="0"/>
          <w:i/>
          <w:sz w:val="20"/>
        </w:rPr>
        <w:t>Pre-registered policy evaluation</w:t>
      </w:r>
    </w:p>
    <w:p>
      <w:pPr>
        <w:spacing w:after="60"/>
      </w:pPr>
      <w:r>
        <w:rPr>
          <w:rFonts w:ascii="Times New Roman" w:hAnsi="Times New Roman"/>
          <w:b w:val="0"/>
          <w:i w:val="0"/>
          <w:sz w:val="18"/>
        </w:rPr>
        <w:t>The evaluation is pre-registered. The primary endpoint is the acquisition success rate, defined as reaching a diagnostic view within 90 s and holding it for 3 s, where a diagnostic view requires simultaneously a bladder mask area of at least 8 % of the frame, a largest connected component of at least 80 % of the mask, and a lateral centroid within 0.30 of the frame centre. Neither Q̂ nor Q_raw is a primary endpoint: the first is the policy's own objective and would be circular, and the second measures coupling rather than anatomy.</w:t>
      </w:r>
    </w:p>
    <w:p>
      <w:pPr>
        <w:spacing w:after="60"/>
      </w:pPr>
      <w:r>
        <w:rPr>
          <w:rFonts w:ascii="Times New Roman" w:hAnsi="Times New Roman"/>
          <w:b w:val="0"/>
          <w:i w:val="0"/>
          <w:sz w:val="18"/>
        </w:rPr>
        <w:t>Each episode begins from a teleoperated approach to a starting pose in which the bladder is not visible although coupling is good (area below 2 % with Q_raw ≥ 0.6); the operator then releases the stylus and starts inference from the console. Conditions are hold (no command), placebo, policy, and optionally expert teleoperation as an upper bound. The placebo is pre-registered as motion of the same magnitude and duration as the policy's with the direction destroyed: the axes of the selected rotation command are shuffled and the signs flipped, so the multiset of command magnitudes is preserved exactly. Condition order is randomised within each starting pose and the operator is blind to the condition. The primary analysis is a paired McNemar exact test of policy against placebo with bootstrap confidence intervals, with Wilson intervals for proportions and a log rank test on acquisition time as a secondary analysis. A blinded human read of the last five seconds of each episode by two readers on a five point scale, with weighted \kappa, is reported alongside the automatic criterion.</w:t>
      </w:r>
    </w:p>
    <w:p>
      <w:pPr>
        <w:spacing w:after="60"/>
      </w:pPr>
      <w:r>
        <w:rPr>
          <w:rFonts w:ascii="Times New Roman" w:hAnsi="Times New Roman"/>
          <w:b w:val="0"/>
          <w:i w:val="0"/>
          <w:sz w:val="18"/>
        </w:rPr>
        <w:t>The pre-registration also fixes what would refute the claim: if policy is indistinguishable from placebo, the direction selection contributes nothing; if the safety indicators are poor, the system is unusable regardless of success rate.</w:t>
      </w:r>
    </w:p>
    <w:p>
      <w:pPr>
        <w:spacing w:after="60"/>
      </w:pPr>
      <w:r>
        <w:rPr>
          <w:rFonts w:ascii="Times New Roman" w:hAnsi="Times New Roman"/>
          <w:b/>
          <w:i w:val="0"/>
          <w:sz w:val="22"/>
        </w:rPr>
        <w:t>Results</w:t>
      </w:r>
    </w:p>
    <w:p>
      <w:pPr>
        <w:sectPr>
          <w:type w:val="continuous"/>
          <w:pgSz w:w="12240" w:h="15840"/>
          <w:pgMar w:top="864" w:right="864" w:bottom="864" w:left="864" w:header="720" w:footer="720" w:gutter="0"/>
          <w:cols w:space="360" w:num="2" w:equalWidth="1"/>
          <w:docGrid w:linePitch="360"/>
        </w:sectPr>
      </w:pPr>
    </w:p>
    <w:p>
      <w:pPr>
        <w:spacing w:after="40"/>
        <w:jc w:val="center"/>
      </w:pPr>
      <w:r>
        <w:drawing>
          <wp:inline xmlns:a="http://schemas.openxmlformats.org/drawingml/2006/main" xmlns:pic="http://schemas.openxmlformats.org/drawingml/2006/picture">
            <wp:extent cx="5065776" cy="1244517"/>
            <wp:docPr id="5" name="Picture 5"/>
            <wp:cNvGraphicFramePr>
              <a:graphicFrameLocks noChangeAspect="1"/>
            </wp:cNvGraphicFramePr>
            <a:graphic>
              <a:graphicData uri="http://schemas.openxmlformats.org/drawingml/2006/picture">
                <pic:pic>
                  <pic:nvPicPr>
                    <pic:cNvPr id="0" name="force_hold_bands.png"/>
                    <pic:cNvPicPr/>
                  </pic:nvPicPr>
                  <pic:blipFill>
                    <a:blip r:embed="rId13"/>
                    <a:stretch>
                      <a:fillRect/>
                    </a:stretch>
                  </pic:blipFill>
                  <pic:spPr>
                    <a:xfrm>
                      <a:off x="0" y="0"/>
                      <a:ext cx="5065776" cy="1244517"/>
                    </a:xfrm>
                    <a:prstGeom prst="rect"/>
                  </pic:spPr>
                </pic:pic>
              </a:graphicData>
            </a:graphic>
          </wp:inline>
        </w:drawing>
      </w:r>
    </w:p>
    <w:p>
      <w:pPr>
        <w:spacing w:after="160"/>
        <w:jc w:val="left"/>
      </w:pPr>
      <w:r>
        <w:rPr>
          <w:rFonts w:ascii="Times New Roman" w:hAnsi="Times New Roman"/>
          <w:b/>
          <w:i w:val="0"/>
          <w:sz w:val="16"/>
        </w:rPr>
        <w:t>Force hold at eight set points.</w:t>
      </w:r>
      <w:r>
        <w:rPr>
          <w:rFonts w:ascii="Times New Roman" w:hAnsi="Times New Roman"/>
          <w:b w:val="0"/>
          <w:i w:val="0"/>
          <w:sz w:val="16"/>
        </w:rPr>
        <w:t xml:space="preserve"> Left: error from the commanded force during the scored part of each hold, all eight set points from 0.5–4.0 N overlaid (light to dark), with the ± 0.05 N dead band shaded; the first 3 s of each hold are discarded and the traces are 1 kHz samples pooled over two independently calibrated sessions. Right: the equilibrium force against indentation past the 0.5 N point, whose slope is the phantom stiffness used in the time constant above.</w:t>
      </w:r>
    </w:p>
    <w:p>
      <w:pPr>
        <w:sectPr>
          <w:type w:val="continuous"/>
          <w:pgSz w:w="12240" w:h="15840"/>
          <w:pgMar w:top="864" w:right="864" w:bottom="864" w:left="864" w:header="720" w:footer="720" w:gutter="0"/>
          <w:cols w:space="360" w:num="1" w:equalWidth="1"/>
          <w:docGrid w:linePitch="360"/>
        </w:sectPr>
      </w:pPr>
    </w:p>
    <w:p>
      <w:pPr>
        <w:spacing w:after="40"/>
      </w:pPr>
      <w:r>
        <w:rPr>
          <w:rFonts w:ascii="Times New Roman" w:hAnsi="Times New Roman"/>
          <w:b w:val="0"/>
          <w:i/>
          <w:sz w:val="20"/>
        </w:rPr>
        <w:t>Force regulation</w:t>
      </w:r>
    </w:p>
    <w:p>
      <w:pPr>
        <w:spacing w:after="60"/>
      </w:pPr>
      <w:r>
        <w:rPr>
          <w:rFonts w:ascii="Times New Roman" w:hAnsi="Times New Roman"/>
          <w:b w:val="0"/>
          <w:i w:val="0"/>
          <w:sz w:val="18"/>
        </w:rPr>
        <w:t>Fig. 4 shows every hold as an error trace against its own set point. Across the 16 holds the standard deviation of the held force is 0.028 N on average and 0.073 N at worst, every hold sits inside the ± 0.05 N dead band, and the worst mean error is 0.049 N (Table 1). Relative error falls from 6.3 % at 0.5 N to 0.8–1.4 % above 3 N, and the two independently calibrated sessions agree to within 0.047 N, which is the reproducibility of the whole chain including recalibration.</w:t>
      </w:r>
    </w:p>
    <w:p>
      <w:pPr>
        <w:spacing w:after="60"/>
      </w:pPr>
      <w:r>
        <w:rPr>
          <w:rFonts w:ascii="Times New Roman" w:hAnsi="Times New Roman"/>
          <w:b w:val="0"/>
          <w:i w:val="0"/>
          <w:sz w:val="18"/>
        </w:rPr>
        <w:t>Under volume disturbance the loop behaves as its time constant predicts. Syringe steps arrive with a median spacing of 4.6 s and the force peak occurs 3.1 s after a step, while the dead band re-entry time is about 35 s. Consequently the regulator does not reduce the peak (0.83 N against 0.74 N with the loop disabled on injection), but it does change everything after the peak: the probe travels 0.17 mm (IQR 0.13–0.24) against 0.01 mm, the post peak return rate rises to 0.23 N\pers from 0.13 N\pers (p &lt; 0.001, n = 70 events per arm), and the residual deviation at the next step falls to 0.28 N from 0.38 N (p = 0.011). We report this as a bounded claim: on this phantom the loop recovers from disturbances but does not attenuate their peaks, and closing that gap requires a faster loop than the limit cycle permits.</w:t>
      </w:r>
    </w:p>
    <w:p>
      <w:pPr>
        <w:spacing w:after="60"/>
      </w:pPr>
      <w:r>
        <w:rPr>
          <w:rFonts w:ascii="Times New Roman" w:hAnsi="Times New Roman"/>
          <w:b w:val="0"/>
          <w:i w:val="0"/>
          <w:sz w:val="18"/>
        </w:rPr>
        <w:t>The hard limit was exercised rather than assumed. In the two runs at the 4.0 N set point the disturbance drove the force to 5.38 N and the 5 N retreat fired; in all other runs the peak stayed below the warning line.</w:t>
      </w:r>
    </w:p>
    <w:p>
      <w:pPr>
        <w:spacing w:after="60"/>
      </w:pPr>
      <w:r>
        <w:rPr>
          <w:rFonts w:ascii="Times New Roman" w:hAnsi="Times New Roman"/>
          <w:b/>
          <w:i w:val="0"/>
          <w:sz w:val="18"/>
        </w:rPr>
        <w:t>Force hold on the air tube mannequin phantom.</w:t>
      </w:r>
      <w:r>
        <w:rPr>
          <w:rFonts w:ascii="Times New Roman" w:hAnsi="Times New Roman"/>
          <w:b w:val="0"/>
          <w:i w:val="0"/>
          <w:sz w:val="18"/>
        </w:rPr>
        <w:t xml:space="preserve"> Pooled over two independently calibrated sessions, 30 s per hold, first 3 s discarded, 1 kHz sampling.</w:t>
      </w:r>
    </w:p>
    <w:tbl>
      <w:tblPr>
        <w:tblStyle w:val="TableGrid"/>
        <w:tblW w:type="auto" w:w="0"/>
        <w:tblLayout w:type="fixed"/>
        <w:tblLook w:firstColumn="1" w:firstRow="1" w:lastColumn="0" w:lastRow="0" w:noHBand="0" w:noVBand="1" w:val="04A0"/>
      </w:tblPr>
      <w:tblGrid>
        <w:gridCol w:w="2102"/>
        <w:gridCol w:w="2102"/>
        <w:gridCol w:w="2102"/>
        <w:gridCol w:w="2102"/>
        <w:gridCol w:w="2102"/>
      </w:tblGrid>
      <w:tr>
        <w:tc>
          <w:tcPr>
            <w:tcW w:type="dxa" w:w="1001"/>
          </w:tcPr>
          <w:p>
            <w:pPr>
              <w:spacing w:after="0"/>
            </w:pPr>
            <w:r>
              <w:rPr>
                <w:rFonts w:ascii="Times New Roman" w:hAnsi="Times New Roman"/>
                <w:b/>
                <w:i w:val="0"/>
                <w:sz w:val="14"/>
              </w:rPr>
              <w:t>Target [N]</w:t>
            </w:r>
          </w:p>
        </w:tc>
        <w:tc>
          <w:tcPr>
            <w:tcW w:type="dxa" w:w="1001"/>
          </w:tcPr>
          <w:p>
            <w:pPr>
              <w:spacing w:after="0"/>
            </w:pPr>
            <w:r>
              <w:rPr>
                <w:rFonts w:ascii="Times New Roman" w:hAnsi="Times New Roman"/>
                <w:b/>
                <w:i w:val="0"/>
                <w:sz w:val="14"/>
              </w:rPr>
              <w:t>SD [N]</w:t>
            </w:r>
          </w:p>
        </w:tc>
        <w:tc>
          <w:tcPr>
            <w:tcW w:type="dxa" w:w="1001"/>
          </w:tcPr>
          <w:p>
            <w:pPr>
              <w:spacing w:after="0"/>
            </w:pPr>
            <w:r>
              <w:rPr>
                <w:rFonts w:ascii="Times New Roman" w:hAnsi="Times New Roman"/>
                <w:b/>
                <w:i w:val="0"/>
                <w:sz w:val="14"/>
              </w:rPr>
              <w:t>Mean error [N]</w:t>
            </w:r>
          </w:p>
        </w:tc>
        <w:tc>
          <w:tcPr>
            <w:tcW w:type="dxa" w:w="1001"/>
          </w:tcPr>
          <w:p>
            <w:pPr>
              <w:spacing w:after="0"/>
            </w:pPr>
            <w:r>
              <w:rPr>
                <w:rFonts w:ascii="Times New Roman" w:hAnsi="Times New Roman"/>
                <w:b/>
                <w:i w:val="0"/>
                <w:sz w:val="14"/>
              </w:rPr>
              <w:t>In band [%]</w:t>
            </w:r>
          </w:p>
        </w:tc>
        <w:tc>
          <w:tcPr>
            <w:tcW w:type="dxa" w:w="1001"/>
          </w:tcPr>
          <w:p>
            <w:pPr>
              <w:spacing w:after="0"/>
            </w:pPr>
            <w:r>
              <w:rPr>
                <w:rFonts w:ascii="Times New Roman" w:hAnsi="Times New Roman"/>
                <w:b/>
                <w:i w:val="0"/>
                <w:sz w:val="14"/>
              </w:rPr>
              <w:t>Peak [N]</w:t>
            </w:r>
          </w:p>
        </w:tc>
      </w:tr>
      <w:tr>
        <w:tc>
          <w:tcPr>
            <w:tcW w:type="dxa" w:w="1001"/>
          </w:tcPr>
          <w:p>
            <w:pPr>
              <w:spacing w:after="0"/>
            </w:pPr>
            <w:r>
              <w:rPr>
                <w:rFonts w:ascii="Times New Roman" w:hAnsi="Times New Roman"/>
                <w:b w:val="0"/>
                <w:i w:val="0"/>
                <w:sz w:val="14"/>
              </w:rPr>
              <w:t>0.5</w:t>
            </w:r>
          </w:p>
        </w:tc>
        <w:tc>
          <w:tcPr>
            <w:tcW w:type="dxa" w:w="1001"/>
          </w:tcPr>
          <w:p>
            <w:pPr>
              <w:spacing w:after="0"/>
            </w:pPr>
            <w:r>
              <w:rPr>
                <w:rFonts w:ascii="Times New Roman" w:hAnsi="Times New Roman"/>
                <w:b w:val="0"/>
                <w:i w:val="0"/>
                <w:sz w:val="14"/>
              </w:rPr>
              <w:t>0.023</w:t>
            </w:r>
          </w:p>
        </w:tc>
        <w:tc>
          <w:tcPr>
            <w:tcW w:type="dxa" w:w="1001"/>
          </w:tcPr>
          <w:p>
            <w:pPr>
              <w:spacing w:after="0"/>
            </w:pPr>
            <w:r>
              <w:rPr>
                <w:rFonts w:ascii="Times New Roman" w:hAnsi="Times New Roman"/>
                <w:b w:val="0"/>
                <w:i w:val="0"/>
                <w:sz w:val="14"/>
              </w:rPr>
              <w:t>-0.017</w:t>
            </w:r>
          </w:p>
        </w:tc>
        <w:tc>
          <w:tcPr>
            <w:tcW w:type="dxa" w:w="1001"/>
          </w:tcPr>
          <w:p>
            <w:pPr>
              <w:spacing w:after="0"/>
            </w:pPr>
            <w:r>
              <w:rPr>
                <w:rFonts w:ascii="Times New Roman" w:hAnsi="Times New Roman"/>
                <w:b w:val="0"/>
                <w:i w:val="0"/>
                <w:sz w:val="14"/>
              </w:rPr>
              <w:t>88.9</w:t>
            </w:r>
          </w:p>
        </w:tc>
        <w:tc>
          <w:tcPr>
            <w:tcW w:type="dxa" w:w="1001"/>
          </w:tcPr>
          <w:p>
            <w:pPr>
              <w:spacing w:after="0"/>
            </w:pPr>
            <w:r>
              <w:rPr>
                <w:rFonts w:ascii="Times New Roman" w:hAnsi="Times New Roman"/>
                <w:b w:val="0"/>
                <w:i w:val="0"/>
                <w:sz w:val="14"/>
              </w:rPr>
              <w:t>0.60</w:t>
            </w:r>
          </w:p>
        </w:tc>
      </w:tr>
      <w:tr>
        <w:tc>
          <w:tcPr>
            <w:tcW w:type="dxa" w:w="1001"/>
          </w:tcPr>
          <w:p>
            <w:pPr>
              <w:spacing w:after="0"/>
            </w:pPr>
            <w:r>
              <w:rPr>
                <w:rFonts w:ascii="Times New Roman" w:hAnsi="Times New Roman"/>
                <w:b w:val="0"/>
                <w:i w:val="0"/>
                <w:sz w:val="14"/>
              </w:rPr>
              <w:t>1.0</w:t>
            </w:r>
          </w:p>
        </w:tc>
        <w:tc>
          <w:tcPr>
            <w:tcW w:type="dxa" w:w="1001"/>
          </w:tcPr>
          <w:p>
            <w:pPr>
              <w:spacing w:after="0"/>
            </w:pPr>
            <w:r>
              <w:rPr>
                <w:rFonts w:ascii="Times New Roman" w:hAnsi="Times New Roman"/>
                <w:b w:val="0"/>
                <w:i w:val="0"/>
                <w:sz w:val="14"/>
              </w:rPr>
              <w:t>0.022</w:t>
            </w:r>
          </w:p>
        </w:tc>
        <w:tc>
          <w:tcPr>
            <w:tcW w:type="dxa" w:w="1001"/>
          </w:tcPr>
          <w:p>
            <w:pPr>
              <w:spacing w:after="0"/>
            </w:pPr>
            <w:r>
              <w:rPr>
                <w:rFonts w:ascii="Times New Roman" w:hAnsi="Times New Roman"/>
                <w:b w:val="0"/>
                <w:i w:val="0"/>
                <w:sz w:val="14"/>
              </w:rPr>
              <w:t>-0.013</w:t>
            </w:r>
          </w:p>
        </w:tc>
        <w:tc>
          <w:tcPr>
            <w:tcW w:type="dxa" w:w="1001"/>
          </w:tcPr>
          <w:p>
            <w:pPr>
              <w:spacing w:after="0"/>
            </w:pPr>
            <w:r>
              <w:rPr>
                <w:rFonts w:ascii="Times New Roman" w:hAnsi="Times New Roman"/>
                <w:b w:val="0"/>
                <w:i w:val="0"/>
                <w:sz w:val="14"/>
              </w:rPr>
              <w:t>83.9</w:t>
            </w:r>
          </w:p>
        </w:tc>
        <w:tc>
          <w:tcPr>
            <w:tcW w:type="dxa" w:w="1001"/>
          </w:tcPr>
          <w:p>
            <w:pPr>
              <w:spacing w:after="0"/>
            </w:pPr>
            <w:r>
              <w:rPr>
                <w:rFonts w:ascii="Times New Roman" w:hAnsi="Times New Roman"/>
                <w:b w:val="0"/>
                <w:i w:val="0"/>
                <w:sz w:val="14"/>
              </w:rPr>
              <w:t>1.10</w:t>
            </w:r>
          </w:p>
        </w:tc>
      </w:tr>
      <w:tr>
        <w:tc>
          <w:tcPr>
            <w:tcW w:type="dxa" w:w="1001"/>
          </w:tcPr>
          <w:p>
            <w:pPr>
              <w:spacing w:after="0"/>
            </w:pPr>
            <w:r>
              <w:rPr>
                <w:rFonts w:ascii="Times New Roman" w:hAnsi="Times New Roman"/>
                <w:b w:val="0"/>
                <w:i w:val="0"/>
                <w:sz w:val="14"/>
              </w:rPr>
              <w:t>1.5</w:t>
            </w:r>
          </w:p>
        </w:tc>
        <w:tc>
          <w:tcPr>
            <w:tcW w:type="dxa" w:w="1001"/>
          </w:tcPr>
          <w:p>
            <w:pPr>
              <w:spacing w:after="0"/>
            </w:pPr>
            <w:r>
              <w:rPr>
                <w:rFonts w:ascii="Times New Roman" w:hAnsi="Times New Roman"/>
                <w:b w:val="0"/>
                <w:i w:val="0"/>
                <w:sz w:val="14"/>
              </w:rPr>
              <w:t>0.022</w:t>
            </w:r>
          </w:p>
        </w:tc>
        <w:tc>
          <w:tcPr>
            <w:tcW w:type="dxa" w:w="1001"/>
          </w:tcPr>
          <w:p>
            <w:pPr>
              <w:spacing w:after="0"/>
            </w:pPr>
            <w:r>
              <w:rPr>
                <w:rFonts w:ascii="Times New Roman" w:hAnsi="Times New Roman"/>
                <w:b w:val="0"/>
                <w:i w:val="0"/>
                <w:sz w:val="14"/>
              </w:rPr>
              <w:t>-0.012</w:t>
            </w:r>
          </w:p>
        </w:tc>
        <w:tc>
          <w:tcPr>
            <w:tcW w:type="dxa" w:w="1001"/>
          </w:tcPr>
          <w:p>
            <w:pPr>
              <w:spacing w:after="0"/>
            </w:pPr>
            <w:r>
              <w:rPr>
                <w:rFonts w:ascii="Times New Roman" w:hAnsi="Times New Roman"/>
                <w:b w:val="0"/>
                <w:i w:val="0"/>
                <w:sz w:val="14"/>
              </w:rPr>
              <w:t>94.1</w:t>
            </w:r>
          </w:p>
        </w:tc>
        <w:tc>
          <w:tcPr>
            <w:tcW w:type="dxa" w:w="1001"/>
          </w:tcPr>
          <w:p>
            <w:pPr>
              <w:spacing w:after="0"/>
            </w:pPr>
            <w:r>
              <w:rPr>
                <w:rFonts w:ascii="Times New Roman" w:hAnsi="Times New Roman"/>
                <w:b w:val="0"/>
                <w:i w:val="0"/>
                <w:sz w:val="14"/>
              </w:rPr>
              <w:t>1.57</w:t>
            </w:r>
          </w:p>
        </w:tc>
      </w:tr>
      <w:tr>
        <w:tc>
          <w:tcPr>
            <w:tcW w:type="dxa" w:w="1001"/>
          </w:tcPr>
          <w:p>
            <w:pPr>
              <w:spacing w:after="0"/>
            </w:pPr>
            <w:r>
              <w:rPr>
                <w:rFonts w:ascii="Times New Roman" w:hAnsi="Times New Roman"/>
                <w:b w:val="0"/>
                <w:i w:val="0"/>
                <w:sz w:val="14"/>
              </w:rPr>
              <w:t>2.0</w:t>
            </w:r>
          </w:p>
        </w:tc>
        <w:tc>
          <w:tcPr>
            <w:tcW w:type="dxa" w:w="1001"/>
          </w:tcPr>
          <w:p>
            <w:pPr>
              <w:spacing w:after="0"/>
            </w:pPr>
            <w:r>
              <w:rPr>
                <w:rFonts w:ascii="Times New Roman" w:hAnsi="Times New Roman"/>
                <w:b w:val="0"/>
                <w:i w:val="0"/>
                <w:sz w:val="14"/>
              </w:rPr>
              <w:t>0.026</w:t>
            </w:r>
          </w:p>
        </w:tc>
        <w:tc>
          <w:tcPr>
            <w:tcW w:type="dxa" w:w="1001"/>
          </w:tcPr>
          <w:p>
            <w:pPr>
              <w:spacing w:after="0"/>
            </w:pPr>
            <w:r>
              <w:rPr>
                <w:rFonts w:ascii="Times New Roman" w:hAnsi="Times New Roman"/>
                <w:b w:val="0"/>
                <w:i w:val="0"/>
                <w:sz w:val="14"/>
              </w:rPr>
              <w:t>-0.016</w:t>
            </w:r>
          </w:p>
        </w:tc>
        <w:tc>
          <w:tcPr>
            <w:tcW w:type="dxa" w:w="1001"/>
          </w:tcPr>
          <w:p>
            <w:pPr>
              <w:spacing w:after="0"/>
            </w:pPr>
            <w:r>
              <w:rPr>
                <w:rFonts w:ascii="Times New Roman" w:hAnsi="Times New Roman"/>
                <w:b w:val="0"/>
                <w:i w:val="0"/>
                <w:sz w:val="14"/>
              </w:rPr>
              <w:t>89.9</w:t>
            </w:r>
          </w:p>
        </w:tc>
        <w:tc>
          <w:tcPr>
            <w:tcW w:type="dxa" w:w="1001"/>
          </w:tcPr>
          <w:p>
            <w:pPr>
              <w:spacing w:after="0"/>
            </w:pPr>
            <w:r>
              <w:rPr>
                <w:rFonts w:ascii="Times New Roman" w:hAnsi="Times New Roman"/>
                <w:b w:val="0"/>
                <w:i w:val="0"/>
                <w:sz w:val="14"/>
              </w:rPr>
              <w:t>2.09</w:t>
            </w:r>
          </w:p>
        </w:tc>
      </w:tr>
      <w:tr>
        <w:tc>
          <w:tcPr>
            <w:tcW w:type="dxa" w:w="1001"/>
          </w:tcPr>
          <w:p>
            <w:pPr>
              <w:spacing w:after="0"/>
            </w:pPr>
            <w:r>
              <w:rPr>
                <w:rFonts w:ascii="Times New Roman" w:hAnsi="Times New Roman"/>
                <w:b w:val="0"/>
                <w:i w:val="0"/>
                <w:sz w:val="14"/>
              </w:rPr>
              <w:t>2.5</w:t>
            </w:r>
          </w:p>
        </w:tc>
        <w:tc>
          <w:tcPr>
            <w:tcW w:type="dxa" w:w="1001"/>
          </w:tcPr>
          <w:p>
            <w:pPr>
              <w:spacing w:after="0"/>
            </w:pPr>
            <w:r>
              <w:rPr>
                <w:rFonts w:ascii="Times New Roman" w:hAnsi="Times New Roman"/>
                <w:b w:val="0"/>
                <w:i w:val="0"/>
                <w:sz w:val="14"/>
              </w:rPr>
              <w:t>0.029</w:t>
            </w:r>
          </w:p>
        </w:tc>
        <w:tc>
          <w:tcPr>
            <w:tcW w:type="dxa" w:w="1001"/>
          </w:tcPr>
          <w:p>
            <w:pPr>
              <w:spacing w:after="0"/>
            </w:pPr>
            <w:r>
              <w:rPr>
                <w:rFonts w:ascii="Times New Roman" w:hAnsi="Times New Roman"/>
                <w:b w:val="0"/>
                <w:i w:val="0"/>
                <w:sz w:val="14"/>
              </w:rPr>
              <w:t>-0.031</w:t>
            </w:r>
          </w:p>
        </w:tc>
        <w:tc>
          <w:tcPr>
            <w:tcW w:type="dxa" w:w="1001"/>
          </w:tcPr>
          <w:p>
            <w:pPr>
              <w:spacing w:after="0"/>
            </w:pPr>
            <w:r>
              <w:rPr>
                <w:rFonts w:ascii="Times New Roman" w:hAnsi="Times New Roman"/>
                <w:b w:val="0"/>
                <w:i w:val="0"/>
                <w:sz w:val="14"/>
              </w:rPr>
              <w:t>72.9</w:t>
            </w:r>
          </w:p>
        </w:tc>
        <w:tc>
          <w:tcPr>
            <w:tcW w:type="dxa" w:w="1001"/>
          </w:tcPr>
          <w:p>
            <w:pPr>
              <w:spacing w:after="0"/>
            </w:pPr>
            <w:r>
              <w:rPr>
                <w:rFonts w:ascii="Times New Roman" w:hAnsi="Times New Roman"/>
                <w:b w:val="0"/>
                <w:i w:val="0"/>
                <w:sz w:val="14"/>
              </w:rPr>
              <w:t>2.59</w:t>
            </w:r>
          </w:p>
        </w:tc>
      </w:tr>
      <w:tr>
        <w:tc>
          <w:tcPr>
            <w:tcW w:type="dxa" w:w="1001"/>
          </w:tcPr>
          <w:p>
            <w:pPr>
              <w:spacing w:after="0"/>
            </w:pPr>
            <w:r>
              <w:rPr>
                <w:rFonts w:ascii="Times New Roman" w:hAnsi="Times New Roman"/>
                <w:b w:val="0"/>
                <w:i w:val="0"/>
                <w:sz w:val="14"/>
              </w:rPr>
              <w:t>3.0</w:t>
            </w:r>
          </w:p>
        </w:tc>
        <w:tc>
          <w:tcPr>
            <w:tcW w:type="dxa" w:w="1001"/>
          </w:tcPr>
          <w:p>
            <w:pPr>
              <w:spacing w:after="0"/>
            </w:pPr>
            <w:r>
              <w:rPr>
                <w:rFonts w:ascii="Times New Roman" w:hAnsi="Times New Roman"/>
                <w:b w:val="0"/>
                <w:i w:val="0"/>
                <w:sz w:val="14"/>
              </w:rPr>
              <w:t>0.026</w:t>
            </w:r>
          </w:p>
        </w:tc>
        <w:tc>
          <w:tcPr>
            <w:tcW w:type="dxa" w:w="1001"/>
          </w:tcPr>
          <w:p>
            <w:pPr>
              <w:spacing w:after="0"/>
            </w:pPr>
            <w:r>
              <w:rPr>
                <w:rFonts w:ascii="Times New Roman" w:hAnsi="Times New Roman"/>
                <w:b w:val="0"/>
                <w:i w:val="0"/>
                <w:sz w:val="14"/>
              </w:rPr>
              <w:t>-0.015</w:t>
            </w:r>
          </w:p>
        </w:tc>
        <w:tc>
          <w:tcPr>
            <w:tcW w:type="dxa" w:w="1001"/>
          </w:tcPr>
          <w:p>
            <w:pPr>
              <w:spacing w:after="0"/>
            </w:pPr>
            <w:r>
              <w:rPr>
                <w:rFonts w:ascii="Times New Roman" w:hAnsi="Times New Roman"/>
                <w:b w:val="0"/>
                <w:i w:val="0"/>
                <w:sz w:val="14"/>
              </w:rPr>
              <w:t>89.7</w:t>
            </w:r>
          </w:p>
        </w:tc>
        <w:tc>
          <w:tcPr>
            <w:tcW w:type="dxa" w:w="1001"/>
          </w:tcPr>
          <w:p>
            <w:pPr>
              <w:spacing w:after="0"/>
            </w:pPr>
            <w:r>
              <w:rPr>
                <w:rFonts w:ascii="Times New Roman" w:hAnsi="Times New Roman"/>
                <w:b w:val="0"/>
                <w:i w:val="0"/>
                <w:sz w:val="14"/>
              </w:rPr>
              <w:t>3.10</w:t>
            </w:r>
          </w:p>
        </w:tc>
      </w:tr>
      <w:tr>
        <w:tc>
          <w:tcPr>
            <w:tcW w:type="dxa" w:w="1001"/>
          </w:tcPr>
          <w:p>
            <w:pPr>
              <w:spacing w:after="0"/>
            </w:pPr>
            <w:r>
              <w:rPr>
                <w:rFonts w:ascii="Times New Roman" w:hAnsi="Times New Roman"/>
                <w:b w:val="0"/>
                <w:i w:val="0"/>
                <w:sz w:val="14"/>
              </w:rPr>
              <w:t>3.5</w:t>
            </w:r>
          </w:p>
        </w:tc>
        <w:tc>
          <w:tcPr>
            <w:tcW w:type="dxa" w:w="1001"/>
          </w:tcPr>
          <w:p>
            <w:pPr>
              <w:spacing w:after="0"/>
            </w:pPr>
            <w:r>
              <w:rPr>
                <w:rFonts w:ascii="Times New Roman" w:hAnsi="Times New Roman"/>
                <w:b w:val="0"/>
                <w:i w:val="0"/>
                <w:sz w:val="14"/>
              </w:rPr>
              <w:t>0.025</w:t>
            </w:r>
          </w:p>
        </w:tc>
        <w:tc>
          <w:tcPr>
            <w:tcW w:type="dxa" w:w="1001"/>
          </w:tcPr>
          <w:p>
            <w:pPr>
              <w:spacing w:after="0"/>
            </w:pPr>
            <w:r>
              <w:rPr>
                <w:rFonts w:ascii="Times New Roman" w:hAnsi="Times New Roman"/>
                <w:b w:val="0"/>
                <w:i w:val="0"/>
                <w:sz w:val="14"/>
              </w:rPr>
              <w:t>-0.008</w:t>
            </w:r>
          </w:p>
        </w:tc>
        <w:tc>
          <w:tcPr>
            <w:tcW w:type="dxa" w:w="1001"/>
          </w:tcPr>
          <w:p>
            <w:pPr>
              <w:spacing w:after="0"/>
            </w:pPr>
            <w:r>
              <w:rPr>
                <w:rFonts w:ascii="Times New Roman" w:hAnsi="Times New Roman"/>
                <w:b w:val="0"/>
                <w:i w:val="0"/>
                <w:sz w:val="14"/>
              </w:rPr>
              <w:t>93.7</w:t>
            </w:r>
          </w:p>
        </w:tc>
        <w:tc>
          <w:tcPr>
            <w:tcW w:type="dxa" w:w="1001"/>
          </w:tcPr>
          <w:p>
            <w:pPr>
              <w:spacing w:after="0"/>
            </w:pPr>
            <w:r>
              <w:rPr>
                <w:rFonts w:ascii="Times New Roman" w:hAnsi="Times New Roman"/>
                <w:b w:val="0"/>
                <w:i w:val="0"/>
                <w:sz w:val="14"/>
              </w:rPr>
              <w:t>3.59</w:t>
            </w:r>
          </w:p>
        </w:tc>
      </w:tr>
      <w:tr>
        <w:tc>
          <w:tcPr>
            <w:tcW w:type="dxa" w:w="1001"/>
          </w:tcPr>
          <w:p>
            <w:pPr>
              <w:spacing w:after="0"/>
            </w:pPr>
            <w:r>
              <w:rPr>
                <w:rFonts w:ascii="Times New Roman" w:hAnsi="Times New Roman"/>
                <w:b w:val="0"/>
                <w:i w:val="0"/>
                <w:sz w:val="14"/>
              </w:rPr>
              <w:t>4.0</w:t>
            </w:r>
          </w:p>
        </w:tc>
        <w:tc>
          <w:tcPr>
            <w:tcW w:type="dxa" w:w="1001"/>
          </w:tcPr>
          <w:p>
            <w:pPr>
              <w:spacing w:after="0"/>
            </w:pPr>
            <w:r>
              <w:rPr>
                <w:rFonts w:ascii="Times New Roman" w:hAnsi="Times New Roman"/>
                <w:b w:val="0"/>
                <w:i w:val="0"/>
                <w:sz w:val="14"/>
              </w:rPr>
              <w:t>0.049</w:t>
            </w:r>
          </w:p>
        </w:tc>
        <w:tc>
          <w:tcPr>
            <w:tcW w:type="dxa" w:w="1001"/>
          </w:tcPr>
          <w:p>
            <w:pPr>
              <w:spacing w:after="0"/>
            </w:pPr>
            <w:r>
              <w:rPr>
                <w:rFonts w:ascii="Times New Roman" w:hAnsi="Times New Roman"/>
                <w:b w:val="0"/>
                <w:i w:val="0"/>
                <w:sz w:val="14"/>
              </w:rPr>
              <w:t>-0.025</w:t>
            </w:r>
          </w:p>
        </w:tc>
        <w:tc>
          <w:tcPr>
            <w:tcW w:type="dxa" w:w="1001"/>
          </w:tcPr>
          <w:p>
            <w:pPr>
              <w:spacing w:after="0"/>
            </w:pPr>
            <w:r>
              <w:rPr>
                <w:rFonts w:ascii="Times New Roman" w:hAnsi="Times New Roman"/>
                <w:b w:val="0"/>
                <w:i w:val="0"/>
                <w:sz w:val="14"/>
              </w:rPr>
              <w:t>82.9</w:t>
            </w:r>
          </w:p>
        </w:tc>
        <w:tc>
          <w:tcPr>
            <w:tcW w:type="dxa" w:w="1001"/>
          </w:tcPr>
          <w:p>
            <w:pPr>
              <w:spacing w:after="0"/>
            </w:pPr>
            <w:r>
              <w:rPr>
                <w:rFonts w:ascii="Times New Roman" w:hAnsi="Times New Roman"/>
                <w:b w:val="0"/>
                <w:i w:val="0"/>
                <w:sz w:val="14"/>
              </w:rPr>
              <w:t>4.36</w:t>
            </w:r>
          </w:p>
        </w:tc>
      </w:tr>
    </w:tbl>
    <w:p>
      <w:pPr>
        <w:spacing w:after="120"/>
      </w:pPr>
    </w:p>
    <w:p>
      <w:pPr>
        <w:spacing w:after="40"/>
      </w:pPr>
      <w:r>
        <w:rPr>
          <w:rFonts w:ascii="Times New Roman" w:hAnsi="Times New Roman"/>
          <w:b w:val="0"/>
          <w:i/>
          <w:sz w:val="20"/>
        </w:rPr>
        <w:t>Demonstration quality</w:t>
      </w:r>
    </w:p>
    <w:p>
      <w:pPr>
        <w:spacing w:after="60"/>
      </w:pPr>
      <w:r>
        <w:rPr>
          <w:rFonts w:ascii="Times New Roman" w:hAnsi="Times New Roman"/>
          <w:b w:val="0"/>
          <w:i w:val="0"/>
          <w:sz w:val="18"/>
        </w:rPr>
        <w:t>Table 2 summarises the comparison that justifies the demonstration route: six axis fusion on the host against the on chip nine axis rotation vector, on the same recordings, next to the robot.</w:t>
      </w:r>
    </w:p>
    <w:p>
      <w:pPr>
        <w:spacing w:after="60"/>
      </w:pPr>
      <w:r>
        <w:rPr>
          <w:rFonts w:ascii="Times New Roman" w:hAnsi="Times New Roman"/>
          <w:b/>
          <w:i w:val="0"/>
          <w:sz w:val="18"/>
        </w:rPr>
        <w:t>Probe orientation against robot forward kinematics.</w:t>
      </w:r>
      <w:r>
        <w:rPr>
          <w:rFonts w:ascii="Times New Roman" w:hAnsi="Times New Roman"/>
          <w:b w:val="0"/>
          <w:i w:val="0"/>
          <w:sz w:val="18"/>
        </w:rPr>
        <w:t xml:space="preserve"> Host side six axis fusion against the on chip nine axis rotation vector, same recordings, near the robot.</w:t>
      </w:r>
    </w:p>
    <w:tbl>
      <w:tblPr>
        <w:tblStyle w:val="TableGrid"/>
        <w:tblW w:type="auto" w:w="0"/>
        <w:tblLayout w:type="fixed"/>
        <w:tblLook w:firstColumn="1" w:firstRow="1" w:lastColumn="0" w:lastRow="0" w:noHBand="0" w:noVBand="1" w:val="04A0"/>
      </w:tblPr>
      <w:tblGrid>
        <w:gridCol w:w="3504"/>
        <w:gridCol w:w="3504"/>
        <w:gridCol w:w="3504"/>
      </w:tblGrid>
      <w:tr>
        <w:tc>
          <w:tcPr>
            <w:tcW w:type="dxa" w:w="1668"/>
          </w:tcPr>
          <w:p>
            <w:pPr>
              <w:spacing w:after="0"/>
            </w:pPr>
          </w:p>
        </w:tc>
        <w:tc>
          <w:tcPr>
            <w:tcW w:type="dxa" w:w="1668"/>
          </w:tcPr>
          <w:p>
            <w:pPr>
              <w:spacing w:after="0"/>
            </w:pPr>
            <w:r>
              <w:rPr>
                <w:rFonts w:ascii="Times New Roman" w:hAnsi="Times New Roman"/>
                <w:b/>
                <w:i w:val="0"/>
                <w:sz w:val="14"/>
              </w:rPr>
              <w:t>Six axis</w:t>
            </w:r>
          </w:p>
        </w:tc>
        <w:tc>
          <w:tcPr>
            <w:tcW w:type="dxa" w:w="1668"/>
          </w:tcPr>
          <w:p>
            <w:pPr>
              <w:spacing w:after="0"/>
            </w:pPr>
            <w:r>
              <w:rPr>
                <w:rFonts w:ascii="Times New Roman" w:hAnsi="Times New Roman"/>
                <w:b/>
                <w:i w:val="0"/>
                <w:sz w:val="14"/>
              </w:rPr>
              <w:t>Nine axis</w:t>
            </w:r>
          </w:p>
        </w:tc>
      </w:tr>
      <w:tr>
        <w:tc>
          <w:tcPr>
            <w:tcW w:type="dxa" w:w="1668"/>
          </w:tcPr>
          <w:p>
            <w:pPr>
              <w:spacing w:after="0"/>
            </w:pPr>
            <w:r>
              <w:rPr>
                <w:rFonts w:ascii="Times New Roman" w:hAnsi="Times New Roman"/>
                <w:b w:val="0"/>
                <w:i w:val="0"/>
                <w:sz w:val="14"/>
              </w:rPr>
              <w:t>Axial rotation RMS [°]</w:t>
            </w:r>
          </w:p>
        </w:tc>
        <w:tc>
          <w:tcPr>
            <w:tcW w:type="dxa" w:w="1668"/>
          </w:tcPr>
          <w:p>
            <w:pPr>
              <w:spacing w:after="0"/>
            </w:pPr>
            <w:r>
              <w:rPr>
                <w:rFonts w:ascii="Times New Roman" w:hAnsi="Times New Roman"/>
                <w:b w:val="0"/>
                <w:i w:val="0"/>
                <w:sz w:val="14"/>
              </w:rPr>
              <w:t>1.95</w:t>
            </w:r>
          </w:p>
        </w:tc>
        <w:tc>
          <w:tcPr>
            <w:tcW w:type="dxa" w:w="1668"/>
          </w:tcPr>
          <w:p>
            <w:pPr>
              <w:spacing w:after="0"/>
            </w:pPr>
            <w:r>
              <w:rPr>
                <w:rFonts w:ascii="Times New Roman" w:hAnsi="Times New Roman"/>
                <w:b w:val="0"/>
                <w:i w:val="0"/>
                <w:sz w:val="14"/>
              </w:rPr>
              <w:t>11.23</w:t>
            </w:r>
          </w:p>
        </w:tc>
      </w:tr>
      <w:tr>
        <w:tc>
          <w:tcPr>
            <w:tcW w:type="dxa" w:w="1668"/>
          </w:tcPr>
          <w:p>
            <w:pPr>
              <w:spacing w:after="0"/>
            </w:pPr>
            <w:r>
              <w:rPr>
                <w:rFonts w:ascii="Times New Roman" w:hAnsi="Times New Roman"/>
                <w:b w:val="0"/>
                <w:i w:val="0"/>
                <w:sz w:val="14"/>
              </w:rPr>
              <w:t>Tilt x RMS [°]</w:t>
            </w:r>
          </w:p>
        </w:tc>
        <w:tc>
          <w:tcPr>
            <w:tcW w:type="dxa" w:w="1668"/>
          </w:tcPr>
          <w:p>
            <w:pPr>
              <w:spacing w:after="0"/>
            </w:pPr>
            <w:r>
              <w:rPr>
                <w:rFonts w:ascii="Times New Roman" w:hAnsi="Times New Roman"/>
                <w:b w:val="0"/>
                <w:i w:val="0"/>
                <w:sz w:val="14"/>
              </w:rPr>
              <w:t>1.14</w:t>
            </w:r>
          </w:p>
        </w:tc>
        <w:tc>
          <w:tcPr>
            <w:tcW w:type="dxa" w:w="1668"/>
          </w:tcPr>
          <w:p>
            <w:pPr>
              <w:spacing w:after="0"/>
            </w:pPr>
            <w:r>
              <w:rPr>
                <w:rFonts w:ascii="Times New Roman" w:hAnsi="Times New Roman"/>
                <w:b w:val="0"/>
                <w:i w:val="0"/>
                <w:sz w:val="14"/>
              </w:rPr>
              <w:t>6.17</w:t>
            </w:r>
          </w:p>
        </w:tc>
      </w:tr>
      <w:tr>
        <w:tc>
          <w:tcPr>
            <w:tcW w:type="dxa" w:w="1668"/>
          </w:tcPr>
          <w:p>
            <w:pPr>
              <w:spacing w:after="0"/>
            </w:pPr>
            <w:r>
              <w:rPr>
                <w:rFonts w:ascii="Times New Roman" w:hAnsi="Times New Roman"/>
                <w:b w:val="0"/>
                <w:i w:val="0"/>
                <w:sz w:val="14"/>
              </w:rPr>
              <w:t>Tilt y RMS [°]</w:t>
            </w:r>
          </w:p>
        </w:tc>
        <w:tc>
          <w:tcPr>
            <w:tcW w:type="dxa" w:w="1668"/>
          </w:tcPr>
          <w:p>
            <w:pPr>
              <w:spacing w:after="0"/>
            </w:pPr>
            <w:r>
              <w:rPr>
                <w:rFonts w:ascii="Times New Roman" w:hAnsi="Times New Roman"/>
                <w:b w:val="0"/>
                <w:i w:val="0"/>
                <w:sz w:val="14"/>
              </w:rPr>
              <w:t>0.73</w:t>
            </w:r>
          </w:p>
        </w:tc>
        <w:tc>
          <w:tcPr>
            <w:tcW w:type="dxa" w:w="1668"/>
          </w:tcPr>
          <w:p>
            <w:pPr>
              <w:spacing w:after="0"/>
            </w:pPr>
            <w:r>
              <w:rPr>
                <w:rFonts w:ascii="Times New Roman" w:hAnsi="Times New Roman"/>
                <w:b w:val="0"/>
                <w:i w:val="0"/>
                <w:sz w:val="14"/>
              </w:rPr>
              <w:t>3.98</w:t>
            </w:r>
          </w:p>
        </w:tc>
      </w:tr>
      <w:tr>
        <w:tc>
          <w:tcPr>
            <w:tcW w:type="dxa" w:w="1668"/>
          </w:tcPr>
          <w:p>
            <w:pPr>
              <w:spacing w:after="0"/>
            </w:pPr>
            <w:r>
              <w:rPr>
                <w:rFonts w:ascii="Times New Roman" w:hAnsi="Times New Roman"/>
                <w:b w:val="0"/>
                <w:i w:val="0"/>
                <w:sz w:val="14"/>
              </w:rPr>
              <w:t>Static alignment residual [°]</w:t>
            </w:r>
          </w:p>
        </w:tc>
        <w:tc>
          <w:tcPr>
            <w:tcW w:type="dxa" w:w="1668"/>
          </w:tcPr>
          <w:p>
            <w:pPr>
              <w:spacing w:after="0"/>
            </w:pPr>
            <w:r>
              <w:rPr>
                <w:rFonts w:ascii="Times New Roman" w:hAnsi="Times New Roman"/>
                <w:b w:val="0"/>
                <w:i w:val="0"/>
                <w:sz w:val="14"/>
              </w:rPr>
              <w:t>0.81</w:t>
            </w:r>
          </w:p>
        </w:tc>
        <w:tc>
          <w:tcPr>
            <w:tcW w:type="dxa" w:w="1668"/>
          </w:tcPr>
          <w:p>
            <w:pPr>
              <w:spacing w:after="0"/>
            </w:pPr>
            <w:r>
              <w:rPr>
                <w:rFonts w:ascii="Times New Roman" w:hAnsi="Times New Roman"/>
                <w:b w:val="0"/>
                <w:i w:val="0"/>
                <w:sz w:val="14"/>
              </w:rPr>
              <w:t>6.68</w:t>
            </w:r>
          </w:p>
        </w:tc>
      </w:tr>
      <w:tr>
        <w:tc>
          <w:tcPr>
            <w:tcW w:type="dxa" w:w="1668"/>
          </w:tcPr>
          <w:p>
            <w:pPr>
              <w:spacing w:after="0"/>
            </w:pPr>
            <w:r>
              <w:rPr>
                <w:rFonts w:ascii="Times New Roman" w:hAnsi="Times New Roman"/>
                <w:b w:val="0"/>
                <w:i w:val="0"/>
                <w:sz w:val="14"/>
              </w:rPr>
              <w:t>Axial drift [°/min]</w:t>
            </w:r>
          </w:p>
        </w:tc>
        <w:tc>
          <w:tcPr>
            <w:tcW w:type="dxa" w:w="1668"/>
          </w:tcPr>
          <w:p>
            <w:pPr>
              <w:spacing w:after="0"/>
            </w:pPr>
            <w:r>
              <w:rPr>
                <w:rFonts w:ascii="Times New Roman" w:hAnsi="Times New Roman"/>
                <w:b w:val="0"/>
                <w:i w:val="0"/>
                <w:sz w:val="14"/>
              </w:rPr>
              <w:t>0.23</w:t>
            </w:r>
          </w:p>
        </w:tc>
        <w:tc>
          <w:tcPr>
            <w:tcW w:type="dxa" w:w="1668"/>
          </w:tcPr>
          <w:p>
            <w:pPr>
              <w:spacing w:after="0"/>
            </w:pPr>
            <w:r>
              <w:rPr>
                <w:rFonts w:ascii="Times New Roman" w:hAnsi="Times New Roman"/>
                <w:b w:val="0"/>
                <w:i w:val="0"/>
                <w:sz w:val="14"/>
              </w:rPr>
              <w:t>8.29</w:t>
            </w:r>
          </w:p>
        </w:tc>
      </w:tr>
    </w:tbl>
    <w:p>
      <w:pPr>
        <w:spacing w:after="120"/>
      </w:pPr>
    </w:p>
    <w:p>
      <w:pPr>
        <w:spacing w:after="40"/>
      </w:pPr>
      <w:r>
        <w:rPr>
          <w:rFonts w:ascii="Times New Roman" w:hAnsi="Times New Roman"/>
          <w:b w:val="0"/>
          <w:i/>
          <w:sz w:val="20"/>
        </w:rPr>
        <w:t>What the policy learned</w:t>
      </w:r>
    </w:p>
    <w:p>
      <w:pPr>
        <w:spacing w:after="60"/>
      </w:pPr>
      <w:r>
        <w:rPr>
          <w:rFonts w:ascii="Times New Roman" w:hAnsi="Times New Roman"/>
          <w:b w:val="0"/>
          <w:i w:val="0"/>
          <w:sz w:val="18"/>
        </w:rPr>
        <w:t>Rotation is learned and translation is not. Against label dispersions of 14.5 mm and 13.4 mm in the lateral and elevational translation axes, the model's mean absolute errors are 12.2 mm and 7.0 mm, which is the accuracy of predicting a constant; against a rotation label dispersion of 0.96 ° the errors are 0.36–0.66 °. This is the empirical reason the deployed policy commands rotation only.</w:t>
      </w:r>
    </w:p>
    <w:p>
      <w:pPr>
        <w:spacing w:after="40"/>
      </w:pPr>
      <w:r>
        <w:rPr>
          <w:rFonts w:ascii="Times New Roman" w:hAnsi="Times New Roman"/>
          <w:b w:val="0"/>
          <w:i/>
          <w:sz w:val="20"/>
        </w:rPr>
        <w:t>Closed loop policy</w:t>
      </w:r>
    </w:p>
    <w:p>
      <w:pPr>
        <w:spacing w:after="60"/>
      </w:pPr>
      <w:r>
        <w:rPr>
          <w:rFonts w:ascii="Times New Roman" w:hAnsi="Times New Roman"/>
          <w:b/>
          <w:i w:val="0"/>
          <w:color w:val="C00000"/>
          <w:sz w:val="18"/>
        </w:rPr>
        <w:t>[TODO: Main result: success rate per condition with Wilson intervals, the paired McNemar comparison, acquisition time, and behaviour while the dynamic phantom volume changes. As of this draft, 4 of 18 pilot episodes have been run and none reached the success criterion.]</w:t>
      </w:r>
    </w:p>
    <w:p>
      <w:pPr>
        <w:spacing w:after="40"/>
        <w:jc w:val="center"/>
      </w:pPr>
      <w:r>
        <w:rPr>
          <w:rFonts w:ascii="Times New Roman" w:hAnsi="Times New Roman"/>
          <w:b/>
          <w:sz w:val="16"/>
        </w:rPr>
        <w:t>[FIGURE TO BE DRAWN]</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0"/>
      </w:pPr>
      <w:r>
        <w:rPr>
          <w:sz w:val="16"/>
        </w:rPr>
        <w:t xml:space="preserve"> </w:t>
      </w:r>
    </w:p>
    <w:p>
      <w:pPr>
        <w:spacing w:after="160"/>
        <w:jc w:val="left"/>
      </w:pPr>
      <w:r>
        <w:rPr>
          <w:rFonts w:ascii="Times New Roman" w:hAnsi="Times New Roman"/>
          <w:b/>
          <w:i w:val="0"/>
          <w:sz w:val="16"/>
        </w:rPr>
        <w:t>Closed loop behaviour on the dynamic bladder phantom.</w:t>
      </w:r>
      <w:r>
        <w:rPr>
          <w:rFonts w:ascii="Times New Roman" w:hAnsi="Times New Roman"/>
          <w:b w:val="0"/>
          <w:i w:val="0"/>
          <w:sz w:val="16"/>
        </w:rPr>
        <w:t xml:space="preserve"> </w:t>
      </w:r>
      <w:r>
        <w:rPr>
          <w:rFonts w:ascii="Times New Roman" w:hAnsi="Times New Roman"/>
          <w:b/>
          <w:i w:val="0"/>
          <w:color w:val="C00000"/>
          <w:sz w:val="16"/>
        </w:rPr>
        <w:t>[TODO: caption once the runs are complete]</w:t>
      </w:r>
    </w:p>
    <w:p>
      <w:pPr>
        <w:spacing w:after="40"/>
      </w:pPr>
      <w:r>
        <w:rPr>
          <w:rFonts w:ascii="Times New Roman" w:hAnsi="Times New Roman"/>
          <w:b w:val="0"/>
          <w:i/>
          <w:sz w:val="20"/>
        </w:rPr>
        <w:t>The quality head learns magnitude, not direction</w:t>
      </w:r>
    </w:p>
    <w:p>
      <w:pPr>
        <w:spacing w:after="60"/>
      </w:pPr>
      <w:r>
        <w:rPr>
          <w:rFonts w:ascii="Times New Roman" w:hAnsi="Times New Roman"/>
          <w:b w:val="0"/>
          <w:i w:val="0"/>
          <w:sz w:val="18"/>
        </w:rPr>
        <w:t>Candidate selection, equation 4, is where image information is supposed to enter, and it is where the current model fails in an instructive way. We measure the head directly with a mirror test: each candidate chunk is scored against a copy of itself with the elevational tilt sign flipped, and the head is asked which of the two is better. The trained head prefers the correct direction on 52.4 % of held out observations, against a chance level of 50 %, while it prefers the larger of two otherwise identical motions on 70.1 %. Retraining the head on an area weighted quality label raises the label fit from R² = 0.081 to 0.536 and the action effect correlation from -0.035 to +0.196, yet moves the mirror test only to 56.3 %. The two apparently improved numbers are explained by magnitude: in freehand data the size of a motion is correlated with the size of the resulting area change, so a head that has learned only “larger is better” improves on both.</w:t>
      </w:r>
    </w:p>
    <w:p>
      <w:pPr>
        <w:spacing w:after="60"/>
      </w:pPr>
      <w:r>
        <w:rPr>
          <w:rFonts w:ascii="Times New Roman" w:hAnsi="Times New Roman"/>
          <w:b w:val="0"/>
          <w:i w:val="0"/>
          <w:sz w:val="18"/>
        </w:rPr>
        <w:t>The consequence in closed loop is a policy that tilts steadily in one elevational direction rather than searching. On 480 held out observations the decoder proposes elevational tilt in both directions in equal proportion (52 % positive), matching the demonstration labels (50.4 % positive), but ranking those candidates by Q̂ selects the negative direction in 84 % of observations, and the candidate mean is uncorrelated with the demonstrated label (ρ = -0.04). Lowering the mode consistency bonus makes the lock stronger rather than weaker (78 % at γ = 0.2, 84 % at γ = 0), which places the bias in the quality head and not in the selection prior. The retrained head is worse in exactly this sense: it selects one direction in 91 % of observations.</w:t>
      </w:r>
    </w:p>
    <w:p>
      <w:pPr>
        <w:spacing w:after="60"/>
      </w:pPr>
      <w:r>
        <w:rPr>
          <w:rFonts w:ascii="Times New Roman" w:hAnsi="Times New Roman"/>
          <w:b w:val="0"/>
          <w:i w:val="0"/>
          <w:sz w:val="18"/>
        </w:rPr>
        <w:t>Part of the explanation is the objective itself. The head was trained to predict the original Q_seg, whose span between “no bladder” and “bladder perfectly captured” is 0.06 (Sec. V), while the span between a small and a large motion in the same data is larger than that. Given that target, a head that reports motion magnitude is not a bug but the best available fit.</w:t>
      </w:r>
    </w:p>
    <w:p>
      <w:pPr>
        <w:spacing w:after="60"/>
      </w:pPr>
      <w:r>
        <w:rPr>
          <w:rFonts w:ascii="Times New Roman" w:hAnsi="Times New Roman"/>
          <w:b w:val="0"/>
          <w:i w:val="0"/>
          <w:sz w:val="18"/>
        </w:rPr>
        <w:t>We report this because it is also a property of the data rather than only of the implementation. In demonstrations recorded by a sonographer who is already looking at the screen, the direction of motion is confounded with the operator's decision; the marginal rank correlation between elevational tilt and the subsequent area weighted quality change is ρ = +0.10 on the training split and -0.03 on test, which is below what candidate ranking can use, and of the opposite sign to the direction the head prefers. Direction requires interventional data: sweeps executed by the robot itself, labelled by forward kinematics, in which the direction is imposed rather than chosen. As an interim control we also evaluate a condition that replaces the learned ranking with measured hill climbing on Q_seg, which needs no new data but pays for every decision with probe motion.</w:t>
      </w:r>
    </w:p>
    <w:p>
      <w:pPr>
        <w:spacing w:after="60"/>
      </w:pPr>
      <w:r>
        <w:rPr>
          <w:rFonts w:ascii="Times New Roman" w:hAnsi="Times New Roman"/>
          <w:b/>
          <w:i w:val="0"/>
          <w:sz w:val="22"/>
        </w:rPr>
        <w:t>Limitations</w:t>
      </w:r>
    </w:p>
    <w:p>
      <w:pPr>
        <w:pStyle w:val="ListBullet"/>
        <w:spacing w:after="60"/>
      </w:pPr>
      <w:r>
        <w:rPr>
          <w:rFonts w:ascii="Times New Roman" w:hAnsi="Times New Roman"/>
          <w:b/>
          <w:i w:val="0"/>
          <w:sz w:val="20"/>
        </w:rPr>
        <w:t>One phantom, one operator.</w:t>
      </w:r>
      <w:r>
        <w:rPr>
          <w:rFonts w:ascii="Times New Roman" w:hAnsi="Times New Roman"/>
          <w:b w:val="0"/>
          <w:i w:val="0"/>
          <w:sz w:val="20"/>
        </w:rPr>
        <w:t xml:space="preserve"> All demonstrations come from a single bladder phantom, so validation and test splits measure reproducibility rather than generalisation, and no clinical data are used. Clinical recording is planned as non-interventional observation with no robot and no force control applied to subjects.</w:t>
      </w:r>
    </w:p>
    <w:p>
      <w:pPr>
        <w:pStyle w:val="ListBullet"/>
        <w:spacing w:after="60"/>
      </w:pPr>
      <w:r>
        <w:rPr>
          <w:rFonts w:ascii="Times New Roman" w:hAnsi="Times New Roman"/>
          <w:b/>
          <w:i w:val="0"/>
          <w:sz w:val="20"/>
        </w:rPr>
        <w:t>Direction is not learned</w:t>
      </w:r>
      <w:r>
        <w:rPr>
          <w:rFonts w:ascii="Times New Roman" w:hAnsi="Times New Roman"/>
          <w:b w:val="0"/>
          <w:i w:val="0"/>
          <w:sz w:val="20"/>
        </w:rPr>
        <w:t xml:space="preserve"> (Sec. VIII). The system maintains contact and image quality; it does not yet decide where to look.</w:t>
      </w:r>
    </w:p>
    <w:p>
      <w:pPr>
        <w:pStyle w:val="ListBullet"/>
        <w:spacing w:after="60"/>
      </w:pPr>
      <w:r>
        <w:rPr>
          <w:rFonts w:ascii="Times New Roman" w:hAnsi="Times New Roman"/>
          <w:b/>
          <w:i w:val="0"/>
          <w:sz w:val="20"/>
        </w:rPr>
        <w:t>Peaks are not attenuated.</w:t>
      </w:r>
      <w:r>
        <w:rPr>
          <w:rFonts w:ascii="Times New Roman" w:hAnsi="Times New Roman"/>
          <w:b w:val="0"/>
          <w:i w:val="0"/>
          <w:sz w:val="20"/>
        </w:rPr>
        <w:t xml:space="preserve"> The force loop recovers from volume disturbances but does not reduce their peaks, because its time constant (12 s) is far longer than the disturbance spacing (4.6 s); faster gains reintroduce a limit cycle.</w:t>
      </w:r>
    </w:p>
    <w:p>
      <w:pPr>
        <w:pStyle w:val="ListBullet"/>
        <w:spacing w:after="60"/>
      </w:pPr>
      <w:r>
        <w:rPr>
          <w:rFonts w:ascii="Times New Roman" w:hAnsi="Times New Roman"/>
          <w:b/>
          <w:i w:val="0"/>
          <w:sz w:val="20"/>
        </w:rPr>
        <w:t>A sub newton force offset remains.</w:t>
      </w:r>
      <w:r>
        <w:rPr>
          <w:rFonts w:ascii="Times New Roman" w:hAnsi="Times New Roman"/>
          <w:b w:val="0"/>
          <w:i w:val="0"/>
          <w:sz w:val="20"/>
        </w:rPr>
        <w:t xml:space="preserve"> The scale factor is accurate to 2 %, but a bias of -0.29 N and an attitude dependent compensation residual of the same order are not removed.</w:t>
      </w:r>
    </w:p>
    <w:p>
      <w:pPr>
        <w:pStyle w:val="ListBullet"/>
        <w:spacing w:after="60"/>
      </w:pPr>
      <w:r>
        <w:rPr>
          <w:rFonts w:ascii="Times New Roman" w:hAnsi="Times New Roman"/>
          <w:b/>
          <w:i w:val="0"/>
          <w:sz w:val="20"/>
        </w:rPr>
        <w:t>The orientation accuracy and the demonstration corpus come from different probes.</w:t>
      </w:r>
      <w:r>
        <w:rPr>
          <w:rFonts w:ascii="Times New Roman" w:hAnsi="Times New Roman"/>
          <w:b w:val="0"/>
          <w:i w:val="0"/>
          <w:sz w:val="20"/>
        </w:rPr>
        <w:t xml:space="preserve"> The bench characterisation against robot kinematics used an instrumented probe on a different scanner from the one used for the phantom demonstrations, and the clamp geometry differs; the transfer of the orientation figures between the two has not been measured.</w:t>
      </w:r>
    </w:p>
    <w:p>
      <w:pPr>
        <w:pStyle w:val="ListBullet"/>
        <w:spacing w:after="60"/>
      </w:pPr>
      <w:r>
        <w:rPr>
          <w:rFonts w:ascii="Times New Roman" w:hAnsi="Times New Roman"/>
          <w:b/>
          <w:i w:val="0"/>
          <w:sz w:val="20"/>
        </w:rPr>
        <w:t>Sign convention of two axes.</w:t>
      </w:r>
      <w:r>
        <w:rPr>
          <w:rFonts w:ascii="Times New Roman" w:hAnsi="Times New Roman"/>
          <w:b w:val="0"/>
          <w:i w:val="0"/>
          <w:sz w:val="20"/>
        </w:rPr>
        <w:t xml:space="preserve"> The axis assignment of the sensor to probe rotation is certain; the signs of the lateral and elevational rows are supported by conflicting evidence.</w:t>
      </w:r>
    </w:p>
    <w:p>
      <w:pPr>
        <w:pStyle w:val="ListBullet"/>
        <w:spacing w:after="60"/>
      </w:pPr>
      <w:r>
        <w:rPr>
          <w:rFonts w:ascii="Times New Roman" w:hAnsi="Times New Roman"/>
          <w:b/>
          <w:i w:val="0"/>
          <w:sz w:val="20"/>
        </w:rPr>
        <w:t>Vertical centring is unreachable.</w:t>
      </w:r>
      <w:r>
        <w:rPr>
          <w:rFonts w:ascii="Times New Roman" w:hAnsi="Times New Roman"/>
          <w:b w:val="0"/>
          <w:i w:val="0"/>
          <w:sz w:val="20"/>
        </w:rPr>
        <w:t xml:space="preserve"> At the depth setting used, the target lies in the near field and cannot be brought to the vertical centre of the frame by any probe motion, so a servo target defined in frame coordinates is infeasible in that axis.</w:t>
      </w:r>
    </w:p>
    <w:p>
      <w:pPr>
        <w:pStyle w:val="ListBullet"/>
        <w:spacing w:after="60"/>
      </w:pPr>
      <w:r>
        <w:rPr>
          <w:rFonts w:ascii="Times New Roman" w:hAnsi="Times New Roman"/>
          <w:b/>
          <w:i w:val="0"/>
          <w:sz w:val="20"/>
        </w:rPr>
        <w:t>Presence errors dominate segmentation error.</w:t>
      </w:r>
      <w:r>
        <w:rPr>
          <w:rFonts w:ascii="Times New Roman" w:hAnsi="Times New Roman"/>
          <w:b w:val="0"/>
          <w:i w:val="0"/>
          <w:sz w:val="20"/>
        </w:rPr>
        <w:t xml:space="preserve"> Boundaries are accurate, but the network still puts a mask on about half of audited empty frames.</w:t>
      </w:r>
    </w:p>
    <w:p>
      <w:pPr>
        <w:pStyle w:val="ListBullet"/>
        <w:spacing w:after="60"/>
      </w:pPr>
      <w:r>
        <w:rPr>
          <w:rFonts w:ascii="Times New Roman" w:hAnsi="Times New Roman"/>
          <w:b/>
          <w:i w:val="0"/>
          <w:sz w:val="20"/>
        </w:rPr>
        <w:t>Force labels were never supervised.</w:t>
      </w:r>
      <w:r>
        <w:rPr>
          <w:rFonts w:ascii="Times New Roman" w:hAnsi="Times New Roman"/>
          <w:b w:val="0"/>
          <w:i w:val="0"/>
          <w:sz w:val="20"/>
        </w:rPr>
        <w:t xml:space="preserve"> The force head and the feasibility and risk terms received no gradient, because the freehand demonstrations carry no valid force channel.</w:t>
      </w:r>
    </w:p>
    <w:p>
      <w:pPr>
        <w:spacing w:after="60"/>
      </w:pPr>
      <w:r>
        <w:rPr>
          <w:rFonts w:ascii="Times New Roman" w:hAnsi="Times New Roman"/>
          <w:b/>
          <w:i w:val="0"/>
          <w:sz w:val="22"/>
        </w:rPr>
        <w:t>Conclusion</w:t>
      </w:r>
    </w:p>
    <w:p>
      <w:pPr>
        <w:spacing w:after="60"/>
      </w:pPr>
      <w:r>
        <w:rPr>
          <w:rFonts w:ascii="Times New Roman" w:hAnsi="Times New Roman"/>
          <w:b w:val="0"/>
          <w:i w:val="0"/>
          <w:sz w:val="18"/>
        </w:rPr>
        <w:t xml:space="preserve">We described an ultrasound robot for the bladder monitoring task of HoLEP morcellation, in which contact force is regulated inside a verified envelope and the image objective is learned from demonstrations that were never collected on the robot. The demonstration route is validated end to end: six axis probe mounted inertial sensing recovers rotation to 2.50 ° against robot kinematics, the two streams are aligned to a measured 200 ms, and the resulting chunks train an action chunking policy with a predicted quality head. </w:t>
      </w:r>
      <w:r>
        <w:rPr>
          <w:rFonts w:ascii="Times New Roman" w:hAnsi="Times New Roman"/>
          <w:b/>
          <w:i w:val="0"/>
          <w:color w:val="C00000"/>
          <w:sz w:val="18"/>
        </w:rPr>
        <w:t>[TODO: closing sentence once the closed loop results are in.]</w:t>
      </w:r>
      <w:r>
        <w:rPr>
          <w:rFonts w:ascii="Times New Roman" w:hAnsi="Times New Roman"/>
          <w:b w:val="0"/>
          <w:i w:val="0"/>
          <w:sz w:val="18"/>
        </w:rPr>
        <w:t xml:space="preserve"> The negative result on direction learning identifies precisely which data the next iteration needs, and it is data this platform can now collect by itself.</w:t>
      </w:r>
    </w:p>
    <w:p>
      <w:pPr>
        <w:spacing w:after="80"/>
      </w:pPr>
      <w:r>
        <w:rPr>
          <w:rFonts w:ascii="Times New Roman" w:hAnsi="Times New Roman"/>
          <w:b/>
          <w:i w:val="0"/>
          <w:sz w:val="24"/>
        </w:rPr>
        <w:t>References</w:t>
      </w:r>
    </w:p>
    <w:p>
      <w:pPr>
        <w:spacing w:after="10"/>
      </w:pPr>
      <w:r>
        <w:rPr>
          <w:rFonts w:ascii="Times New Roman" w:hAnsi="Times New Roman"/>
          <w:b w:val="0"/>
          <w:i w:val="0"/>
          <w:sz w:val="15"/>
        </w:rPr>
        <w:t>[1] Jang, Taejin, et al.. Effect of Self-Training Using Virtual Reality Head-Mounted Display Simulator on the Acquisition of Holmium Laser Enucleation of the Prostate Surgical Skills. International Neurourology Journal. 28. 2. 138--146.</w:t>
      </w:r>
    </w:p>
    <w:p>
      <w:pPr>
        <w:spacing w:after="10"/>
      </w:pPr>
      <w:r>
        <w:rPr>
          <w:rFonts w:ascii="Times New Roman" w:hAnsi="Times New Roman"/>
          <w:b w:val="0"/>
          <w:i w:val="0"/>
          <w:sz w:val="15"/>
        </w:rPr>
        <w:t>[2] Trinkler, Friedrich, Dietrich, Christoph F.. Ultrasound of the Urinary Bladder. EFSUMB Course Book.</w:t>
      </w:r>
    </w:p>
    <w:p>
      <w:pPr>
        <w:spacing w:after="10"/>
      </w:pPr>
      <w:r>
        <w:rPr>
          <w:rFonts w:ascii="Times New Roman" w:hAnsi="Times New Roman"/>
          <w:b w:val="0"/>
          <w:i w:val="0"/>
          <w:sz w:val="15"/>
        </w:rPr>
        <w:t>[3] Priester, Alan M., Natarajan, Shyam, Culjat, Martin O.. Robotic Ultrasound Systems in Medicine. IEEE Transactions on Ultrasonics, Ferroelectrics, and Frequency Control. 60. 3. 507--523.</w:t>
      </w:r>
    </w:p>
    <w:p>
      <w:pPr>
        <w:spacing w:after="10"/>
      </w:pPr>
      <w:r>
        <w:rPr>
          <w:rFonts w:ascii="Times New Roman" w:hAnsi="Times New Roman"/>
          <w:b w:val="0"/>
          <w:i w:val="0"/>
          <w:sz w:val="15"/>
        </w:rPr>
        <w:t>[4] von Haxthausen, Felix, et al.. Medical Robots for Ultrasound Imaging: Current Systems and Future Trends. Current Robotics Reports. 2. 55--71.</w:t>
      </w:r>
    </w:p>
    <w:p>
      <w:pPr>
        <w:spacing w:after="10"/>
      </w:pPr>
      <w:r>
        <w:rPr>
          <w:rFonts w:ascii="Times New Roman" w:hAnsi="Times New Roman"/>
          <w:b w:val="0"/>
          <w:i w:val="0"/>
          <w:sz w:val="15"/>
        </w:rPr>
        <w:t>[5] Li, Keyu, Xu, Yangxin, Meng, Max Q.-H.. An Overview of Systems and Techniques for Autonomous Robotic Ultrasound Acquisitions. IEEE Transactions on Medical Robotics and Bionics. 3. 2. 510--524.</w:t>
      </w:r>
    </w:p>
    <w:p>
      <w:pPr>
        <w:spacing w:after="10"/>
      </w:pPr>
      <w:r>
        <w:rPr>
          <w:rFonts w:ascii="Times New Roman" w:hAnsi="Times New Roman"/>
          <w:b w:val="0"/>
          <w:i w:val="0"/>
          <w:sz w:val="15"/>
        </w:rPr>
        <w:t>[6] Jiang, Zhongliang, Salcudean, Septimiu E., Navab, Nassir. Robotic Ultrasound Imaging: State-of-the-Art and Future Perspectives. Medical Image Analysis. 89. 102878.</w:t>
      </w:r>
    </w:p>
    <w:p>
      <w:pPr>
        <w:spacing w:after="10"/>
      </w:pPr>
      <w:r>
        <w:rPr>
          <w:rFonts w:ascii="Times New Roman" w:hAnsi="Times New Roman"/>
          <w:b w:val="0"/>
          <w:i w:val="0"/>
          <w:sz w:val="15"/>
        </w:rPr>
        <w:t>[7] Gilbertson, Matthew W., Anthony, Brian W.. Force and Position Control System for Freehand Ultrasound. IEEE Transactions on Robotics. 31. 4. 835--849.</w:t>
      </w:r>
    </w:p>
    <w:p>
      <w:pPr>
        <w:spacing w:after="10"/>
      </w:pPr>
      <w:r>
        <w:rPr>
          <w:rFonts w:ascii="Times New Roman" w:hAnsi="Times New Roman"/>
          <w:b w:val="0"/>
          <w:i w:val="0"/>
          <w:sz w:val="15"/>
        </w:rPr>
        <w:t>[8] Hennersperger, Christoph, et al.. Towards MRI-Based Autonomous Robotic US Acquisitions: A First Feasibility Study. IEEE Transactions on Medical Imaging. 36. 2. 538--548.</w:t>
      </w:r>
    </w:p>
    <w:p>
      <w:pPr>
        <w:spacing w:after="10"/>
      </w:pPr>
      <w:r>
        <w:rPr>
          <w:rFonts w:ascii="Times New Roman" w:hAnsi="Times New Roman"/>
          <w:b w:val="0"/>
          <w:i w:val="0"/>
          <w:sz w:val="15"/>
        </w:rPr>
        <w:t>[9] Chatelain, Pierre, Krupa, Alexandre, Navab, Nassir. Confidence-Driven Control of an Ultrasound Probe. IEEE Transactions on Robotics. 33. 6. 1410--1424.</w:t>
      </w:r>
    </w:p>
    <w:p>
      <w:pPr>
        <w:spacing w:after="10"/>
      </w:pPr>
      <w:r>
        <w:rPr>
          <w:rFonts w:ascii="Times New Roman" w:hAnsi="Times New Roman"/>
          <w:b w:val="0"/>
          <w:i w:val="0"/>
          <w:sz w:val="15"/>
        </w:rPr>
        <w:t>[10] Argall, Brenna D., et al.. A Survey of Robot Learning from Demonstration. Robotics and Autonomous Systems. 57. 5. 469--483.</w:t>
      </w:r>
    </w:p>
    <w:p>
      <w:pPr>
        <w:spacing w:after="10"/>
      </w:pPr>
      <w:r>
        <w:rPr>
          <w:rFonts w:ascii="Times New Roman" w:hAnsi="Times New Roman"/>
          <w:b w:val="0"/>
          <w:i w:val="0"/>
          <w:sz w:val="15"/>
        </w:rPr>
        <w:t>[11] Ravichandar, Harish, et al.. Recent Advances in Robot Learning from Demonstration. Annual Review of Control, Robotics, and Autonomous Systems. 3. 297--330.</w:t>
      </w:r>
    </w:p>
    <w:p>
      <w:pPr>
        <w:spacing w:after="10"/>
      </w:pPr>
      <w:r>
        <w:rPr>
          <w:rFonts w:ascii="Times New Roman" w:hAnsi="Times New Roman"/>
          <w:b w:val="0"/>
          <w:i w:val="0"/>
          <w:sz w:val="15"/>
        </w:rPr>
        <w:t>[12] Chi, Cheng, et al.. Universal Manipulation Interface: In-the-Wild Robot Teaching Without In-the-Wild Robots. Robotics: Science and Systems (RSS).</w:t>
      </w:r>
    </w:p>
    <w:p>
      <w:pPr>
        <w:spacing w:after="10"/>
      </w:pPr>
      <w:r>
        <w:rPr>
          <w:rFonts w:ascii="Times New Roman" w:hAnsi="Times New Roman"/>
          <w:b w:val="0"/>
          <w:i w:val="0"/>
          <w:sz w:val="15"/>
        </w:rPr>
        <w:t>[13] Prager, Richard W., Gee, Andrew, Berman, Laurence. Stradx: Real-Time Acquisition and Visualization of Freehand Three-Dimensional Ultrasound. Medical Image Analysis. 3. 2. 129--140.</w:t>
      </w:r>
    </w:p>
    <w:p>
      <w:pPr>
        <w:spacing w:after="10"/>
      </w:pPr>
      <w:r>
        <w:rPr>
          <w:rFonts w:ascii="Times New Roman" w:hAnsi="Times New Roman"/>
          <w:b w:val="0"/>
          <w:i w:val="0"/>
          <w:sz w:val="15"/>
        </w:rPr>
        <w:t>[14] Housden, R. James, et al.. Sensorless Reconstruction of Unconstrained Freehand 3D Ultrasound Data. Ultrasound in Medicine and Biology. 33. 3. 408--419.</w:t>
      </w:r>
    </w:p>
    <w:p>
      <w:pPr>
        <w:spacing w:after="10"/>
      </w:pPr>
      <w:r>
        <w:rPr>
          <w:rFonts w:ascii="Times New Roman" w:hAnsi="Times New Roman"/>
          <w:b w:val="0"/>
          <w:i w:val="0"/>
          <w:sz w:val="15"/>
        </w:rPr>
        <w:t>[15] Prevost, Raphael, et al.. 3D Freehand Ultrasound Without External Tracking Using Deep Learning. Medical Image Analysis. 48. 187--202.</w:t>
      </w:r>
    </w:p>
    <w:p>
      <w:pPr>
        <w:spacing w:after="10"/>
      </w:pPr>
      <w:r>
        <w:rPr>
          <w:rFonts w:ascii="Times New Roman" w:hAnsi="Times New Roman"/>
          <w:b w:val="0"/>
          <w:i w:val="0"/>
          <w:sz w:val="15"/>
        </w:rPr>
        <w:t>[16] Zhao, Tony Z., et al.. Learning Fine-Grained Bimanual Manipulation with Low-Cost Hardware. Robotics: Science and Systems (RSS).</w:t>
      </w:r>
    </w:p>
    <w:p>
      <w:pPr>
        <w:spacing w:after="10"/>
      </w:pPr>
      <w:r>
        <w:rPr>
          <w:rFonts w:ascii="Times New Roman" w:hAnsi="Times New Roman"/>
          <w:b w:val="0"/>
          <w:i w:val="0"/>
          <w:sz w:val="15"/>
        </w:rPr>
        <w:t>[17] Saini, Manik, et al.. BWS-Net: An Optimal Deep Learning Architecture for the Anterior Bladder Wall Segmentation Using Ultrasound Imaging. IEEE Journal of Biomedical and Health Informatics. 2026.</w:t>
      </w:r>
    </w:p>
    <w:p>
      <w:pPr>
        <w:spacing w:after="10"/>
      </w:pPr>
      <w:r>
        <w:rPr>
          <w:rFonts w:ascii="Times New Roman" w:hAnsi="Times New Roman"/>
          <w:b w:val="0"/>
          <w:i w:val="0"/>
          <w:sz w:val="15"/>
        </w:rPr>
        <w:t>[18] Song, Zhiyu, et al.. Memory-Efficient Low-Compute Segmentation Algorithms for Bladder-Monitoring Smart Ultrasound Devices. Scientific Reports. 13. 16450.</w:t>
      </w:r>
    </w:p>
    <w:p>
      <w:pPr>
        <w:spacing w:after="10"/>
      </w:pPr>
      <w:r>
        <w:rPr>
          <w:rFonts w:ascii="Times New Roman" w:hAnsi="Times New Roman"/>
          <w:b w:val="0"/>
          <w:i w:val="0"/>
          <w:sz w:val="15"/>
        </w:rPr>
        <w:t>[19] Hsu, Hsiang-Ling, et al.. Active Guidance in Ultrasound Bladder Scanning Using Reinforcement Learning. Scientific Reports. 16. 5273.</w:t>
      </w:r>
    </w:p>
    <w:p>
      <w:pPr>
        <w:spacing w:after="10"/>
      </w:pPr>
      <w:r>
        <w:rPr>
          <w:rFonts w:ascii="Times New Roman" w:hAnsi="Times New Roman"/>
          <w:b w:val="0"/>
          <w:i w:val="0"/>
          <w:sz w:val="15"/>
        </w:rPr>
        <w:t>[20] Ronneberger, Olaf, Fischer, Philipp, Brox, Thomas. U-Net: Convolutional Networks for Biomedical Image Segmentation. Medical Image Computing and Computer-Assisted Intervention (MICCAI). 9351. 234--241. 2015.</w:t>
      </w:r>
    </w:p>
    <w:p>
      <w:pPr>
        <w:spacing w:after="10"/>
      </w:pPr>
      <w:r>
        <w:rPr>
          <w:rFonts w:ascii="Times New Roman" w:hAnsi="Times New Roman"/>
          <w:b w:val="0"/>
          <w:i w:val="0"/>
          <w:sz w:val="15"/>
        </w:rPr>
        <w:t>[21] Solís-Martín, David, et al.. PFUS1: Premier Pelvic Floor Ultrasound Segmentation Dataset. A Resource for Advancing Research. Data in Brief. 64. 112346.</w:t>
      </w:r>
    </w:p>
    <w:p>
      <w:pPr>
        <w:spacing w:after="10"/>
      </w:pPr>
      <w:r>
        <w:rPr>
          <w:rFonts w:ascii="Times New Roman" w:hAnsi="Times New Roman"/>
          <w:b w:val="0"/>
          <w:i w:val="0"/>
          <w:sz w:val="15"/>
        </w:rPr>
        <w:t>[22] García-Mejido, José Antonio, et al.. Applicability of Deep Learning to Dynamically Identify the Different Organs of the Pelvic Floor in the Midsagittal Plane. International Urogynecology Journal. 35. 12. 2285--2293.</w:t>
      </w:r>
    </w:p>
    <w:p>
      <w:pPr>
        <w:spacing w:after="10"/>
      </w:pPr>
      <w:r>
        <w:rPr>
          <w:rFonts w:ascii="Times New Roman" w:hAnsi="Times New Roman"/>
          <w:b w:val="0"/>
          <w:i w:val="0"/>
          <w:sz w:val="15"/>
        </w:rPr>
        <w:t>[23] Madgwick, Sebastian O. H., Harrison, Andrew J. L., Vaidyanathan, Ravi. Estimation of IMU and MARG Orientation Using a Gradient Descent Algorithm. IEEE International Conference on Rehabilitation Robotics (ICORR). 1--7.</w:t>
      </w:r>
    </w:p>
    <w:p>
      <w:pPr>
        <w:spacing w:after="10"/>
      </w:pPr>
      <w:r>
        <w:rPr>
          <w:rFonts w:ascii="Times New Roman" w:hAnsi="Times New Roman"/>
          <w:b w:val="0"/>
          <w:i w:val="0"/>
          <w:sz w:val="15"/>
        </w:rPr>
        <w:t>[24] de Vries, W. H. K., et al.. Magnetic Distortion in Motion Labs, Implications for Validating Inertial Magnetic Sensors. Gait and Posture. 29. 4. 535--541.</w:t>
      </w:r>
    </w:p>
    <w:p>
      <w:pPr>
        <w:spacing w:after="10"/>
      </w:pPr>
      <w:r>
        <w:rPr>
          <w:rFonts w:ascii="Times New Roman" w:hAnsi="Times New Roman"/>
          <w:b w:val="0"/>
          <w:i w:val="0"/>
          <w:sz w:val="15"/>
        </w:rPr>
        <w:t>[25] Sabatini, Angelo Maria. Estimating Three-Dimensional Orientation of Human Body Parts by Inertial/Magnetic Sensing. Sensors. 11. 2. 1489--1525.</w:t>
      </w:r>
    </w:p>
    <w:p>
      <w:pPr>
        <w:spacing w:after="10"/>
      </w:pPr>
      <w:r>
        <w:rPr>
          <w:rFonts w:ascii="Times New Roman" w:hAnsi="Times New Roman"/>
          <w:b w:val="0"/>
          <w:i w:val="0"/>
          <w:sz w:val="15"/>
        </w:rPr>
        <w:t>[26] Foxlin, Eric. Pedestrian Tracking with Shoe-Mounted Inertial Sensors. IEEE Computer Graphics and Applications. 25. 6. 38--46.</w:t>
      </w:r>
    </w:p>
    <w:p>
      <w:pPr>
        <w:spacing w:after="10"/>
      </w:pPr>
      <w:r>
        <w:rPr>
          <w:rFonts w:ascii="Times New Roman" w:hAnsi="Times New Roman"/>
          <w:b w:val="0"/>
          <w:i w:val="0"/>
          <w:sz w:val="15"/>
        </w:rPr>
        <w:t>[27] Skog, Isaac, et al.. Zero-Velocity Detection: An Algorithm Evaluation. IEEE Transactions on Biomedical Engineering. 57. 11. 2657--2666.</w:t>
      </w:r>
    </w:p>
    <w:p>
      <w:pPr>
        <w:spacing w:after="10"/>
      </w:pPr>
      <w:r>
        <w:rPr>
          <w:rFonts w:ascii="Times New Roman" w:hAnsi="Times New Roman"/>
          <w:b w:val="0"/>
          <w:i w:val="0"/>
          <w:sz w:val="15"/>
        </w:rPr>
        <w:t>[28] Fernandez, Sophia V., et al.. A Dynamic Ultrasound Phantom with Tissue-Mimicking Mechanical and Acoustic Properties. Advanced Science. 11. 19. 2400271. 2024.</w:t>
      </w:r>
    </w:p>
    <w:sectPr w:rsidR="00FC693F" w:rsidRPr="0006063C" w:rsidSect="00034616">
      <w:type w:val="continuous"/>
      <w:pgSz w:w="12240" w:h="15840"/>
      <w:pgMar w:top="864" w:right="864" w:bottom="864" w:left="864"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